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9.png" ContentType="image/png"/>
  <Override PartName="/word/media/rId46.png" ContentType="image/png"/>
  <Override PartName="/word/media/rId50.png" ContentType="image/png"/>
  <Override PartName="/word/media/rId64.png" ContentType="image/png"/>
  <Override PartName="/word/media/rId60.png" ContentType="image/png"/>
  <Override PartName="/word/media/rId68.png" ContentType="image/png"/>
  <Override PartName="/word/media/rId78.png" ContentType="image/png"/>
  <Override PartName="/word/media/rId82.png" ContentType="image/png"/>
  <Override PartName="/word/media/rId87.png" ContentType="image/png"/>
  <Override PartName="/word/media/rId92.png" ContentType="image/png"/>
  <Override PartName="/word/media/rId99.png" ContentType="image/png"/>
  <Override PartName="/word/media/rId105.png" ContentType="image/png"/>
  <Override PartName="/word/media/rId118.png" ContentType="image/png"/>
  <Override PartName="/word/media/rId128.png" ContentType="image/png"/>
  <Override PartName="/word/media/rId135.png" ContentType="image/png"/>
  <Override PartName="/word/media/rId1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묶음으로, 제3부(18~23장)와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23"/>
    <w:bookmarkStart w:id="38"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2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24"/>
    <w:bookmarkStart w:id="2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25"/>
    <w:bookmarkStart w:id="29"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27" name="Picture"/>
            <a:graphic>
              <a:graphicData uri="http://schemas.openxmlformats.org/drawingml/2006/picture">
                <pic:pic>
                  <pic:nvPicPr>
                    <pic:cNvPr descr="figures/fig_181_blindspot.png" id="28" name="Picture"/>
                    <pic:cNvPicPr>
                      <a:picLocks noChangeArrowheads="1" noChangeAspect="1"/>
                    </pic:cNvPicPr>
                  </pic:nvPicPr>
                  <pic:blipFill>
                    <a:blip r:embed="rId26"/>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29"/>
    <w:bookmarkStart w:id="30"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30"/>
    <w:bookmarkStart w:id="34"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32" name="Picture"/>
            <a:graphic>
              <a:graphicData uri="http://schemas.openxmlformats.org/drawingml/2006/picture">
                <pic:pic>
                  <pic:nvPicPr>
                    <pic:cNvPr descr="figures/fig_182_part3_map.png" id="33" name="Picture"/>
                    <pic:cNvPicPr>
                      <a:picLocks noChangeArrowheads="1" noChangeAspect="1"/>
                    </pic:cNvPicPr>
                  </pic:nvPicPr>
                  <pic:blipFill>
                    <a:blip r:embed="rId31"/>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34"/>
    <w:bookmarkStart w:id="35"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35"/>
    <w:bookmarkStart w:id="36" w:name="핵심-요약"/>
    <w:p>
      <w:pPr>
        <w:pStyle w:val="Heading2"/>
      </w:pPr>
      <w:r>
        <w:t xml:space="preserve">핵심 요약</w:t>
      </w:r>
    </w:p>
    <w:p>
      <w:pPr>
        <w:numPr>
          <w:ilvl w:val="0"/>
          <w:numId w:val="1002"/>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02"/>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02"/>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02"/>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02"/>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02"/>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6"/>
    <w:bookmarkStart w:id="37"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03"/>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03"/>
        </w:numPr>
        <w:pStyle w:val="Compact"/>
      </w:pPr>
      <w:r>
        <w:t xml:space="preserve">이 책 1부 5장(DMAIC 데이터 루프와 LLM 무한 루프), 2부 15장(Odoo AI의 Analyze·Improve 결핍 진단), 2부 16장(확장 부스터: 서드브레인 아키텍처).</w:t>
      </w:r>
    </w:p>
    <w:bookmarkEnd w:id="37"/>
    <w:bookmarkEnd w:id="38"/>
    <w:bookmarkStart w:id="57"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2"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0" name="Picture"/>
            <a:graphic>
              <a:graphicData uri="http://schemas.openxmlformats.org/drawingml/2006/picture">
                <pic:pic>
                  <pic:nvPicPr>
                    <pic:cNvPr descr="figures/fig_191_jedaix_pipeline.png" id="41" name="Picture"/>
                    <pic:cNvPicPr>
                      <a:picLocks noChangeArrowheads="1" noChangeAspect="1"/>
                    </pic:cNvPicPr>
                  </pic:nvPicPr>
                  <pic:blipFill>
                    <a:blip r:embed="rId39"/>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2"/>
    <w:bookmarkStart w:id="43"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3"/>
    <w:bookmarkStart w:id="44"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4"/>
    <w:bookmarkStart w:id="45"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5"/>
    <w:bookmarkStart w:id="49"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7" name="Picture"/>
            <a:graphic>
              <a:graphicData uri="http://schemas.openxmlformats.org/drawingml/2006/picture">
                <pic:pic>
                  <pic:nvPicPr>
                    <pic:cNvPr descr="figures/fig_192_space_station.png" id="48" name="Picture"/>
                    <pic:cNvPicPr>
                      <a:picLocks noChangeArrowheads="1" noChangeAspect="1"/>
                    </pic:cNvPicPr>
                  </pic:nvPicPr>
                  <pic:blipFill>
                    <a:blip r:embed="rId46"/>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9"/>
    <w:bookmarkStart w:id="53"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51" name="Picture"/>
            <a:graphic>
              <a:graphicData uri="http://schemas.openxmlformats.org/drawingml/2006/picture">
                <pic:pic>
                  <pic:nvPicPr>
                    <pic:cNvPr descr="figures/fig_193_spectrum.png" id="52" name="Picture"/>
                    <pic:cNvPicPr>
                      <a:picLocks noChangeArrowheads="1" noChangeAspect="1"/>
                    </pic:cNvPicPr>
                  </pic:nvPicPr>
                  <pic:blipFill>
                    <a:blip r:embed="rId50"/>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53"/>
    <w:bookmarkStart w:id="54"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54"/>
    <w:bookmarkStart w:id="55" w:name="핵심-요약-1"/>
    <w:p>
      <w:pPr>
        <w:pStyle w:val="Heading2"/>
      </w:pPr>
      <w:r>
        <w:t xml:space="preserve">핵심 요약</w:t>
      </w:r>
    </w:p>
    <w:p>
      <w:pPr>
        <w:numPr>
          <w:ilvl w:val="0"/>
          <w:numId w:val="1004"/>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04"/>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04"/>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04"/>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04"/>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04"/>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04"/>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55"/>
    <w:bookmarkStart w:id="56"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 — 3장(핵심 개념: 전체 아키텍처·5Space·Station·PTGDA), 8.4절(FAQ), 부록 B~D 인용의 출처.</w:t>
      </w:r>
    </w:p>
    <w:p>
      <w:pPr>
        <w:numPr>
          <w:ilvl w:val="0"/>
          <w:numId w:val="1005"/>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05"/>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05"/>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05"/>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05"/>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05"/>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05"/>
        </w:numPr>
        <w:pStyle w:val="Compact"/>
      </w:pPr>
      <w:r>
        <w:t xml:space="preserve">이 책 1부 5장(DMAIC 데이터 루프·통계적 사고·삼분법), 2부 15장(Odoo AI의 결핍 진단), 2부 16장(온톨로지 지식그래프 부스터), 3부 18장(경영 사각지대의 정의).</w:t>
      </w:r>
    </w:p>
    <w:bookmarkEnd w:id="56"/>
    <w:bookmarkEnd w:id="57"/>
    <w:bookmarkStart w:id="75"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58"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58"/>
    <w:bookmarkStart w:id="59"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59"/>
    <w:bookmarkStart w:id="63"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61" name="Picture"/>
            <a:graphic>
              <a:graphicData uri="http://schemas.openxmlformats.org/drawingml/2006/picture">
                <pic:pic>
                  <pic:nvPicPr>
                    <pic:cNvPr descr="figures/fig_202_ptgda_states.png" id="62" name="Picture"/>
                    <pic:cNvPicPr>
                      <a:picLocks noChangeArrowheads="1" noChangeAspect="1"/>
                    </pic:cNvPicPr>
                  </pic:nvPicPr>
                  <pic:blipFill>
                    <a:blip r:embed="rId60"/>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63"/>
    <w:bookmarkStart w:id="67"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65" name="Picture"/>
            <a:graphic>
              <a:graphicData uri="http://schemas.openxmlformats.org/drawingml/2006/picture">
                <pic:pic>
                  <pic:nvPicPr>
                    <pic:cNvPr descr="figures/fig_201_seed_chain.png" id="66" name="Picture"/>
                    <pic:cNvPicPr>
                      <a:picLocks noChangeArrowheads="1" noChangeAspect="1"/>
                    </pic:cNvPicPr>
                  </pic:nvPicPr>
                  <pic:blipFill>
                    <a:blip r:embed="rId6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67"/>
    <w:bookmarkStart w:id="71"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69" name="Picture"/>
            <a:graphic>
              <a:graphicData uri="http://schemas.openxmlformats.org/drawingml/2006/picture">
                <pic:pic>
                  <pic:nvPicPr>
                    <pic:cNvPr descr="figures/fig_203_sentence_journey.png" id="70" name="Picture"/>
                    <pic:cNvPicPr>
                      <a:picLocks noChangeArrowheads="1" noChangeAspect="1"/>
                    </pic:cNvPicPr>
                  </pic:nvPicPr>
                  <pic:blipFill>
                    <a:blip r:embed="rId68"/>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71"/>
    <w:bookmarkStart w:id="72"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72"/>
    <w:bookmarkStart w:id="73" w:name="핵심-요약-2"/>
    <w:p>
      <w:pPr>
        <w:pStyle w:val="Heading2"/>
      </w:pPr>
      <w:r>
        <w:t xml:space="preserve">핵심 요약</w:t>
      </w:r>
    </w:p>
    <w:p>
      <w:pPr>
        <w:numPr>
          <w:ilvl w:val="0"/>
          <w:numId w:val="1006"/>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06"/>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06"/>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06"/>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06"/>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06"/>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73"/>
    <w:bookmarkStart w:id="74" w:name="이-장의-참고문헌-2"/>
    <w:p>
      <w:pPr>
        <w:pStyle w:val="Heading2"/>
      </w:pPr>
      <w:r>
        <w:t xml:space="preserve">이 장의 참고문헌</w:t>
      </w:r>
    </w:p>
    <w:p>
      <w:pPr>
        <w:numPr>
          <w:ilvl w:val="0"/>
          <w:numId w:val="1007"/>
        </w:numPr>
        <w:pStyle w:val="Compact"/>
      </w:pPr>
      <w:r>
        <w:t xml:space="preserve">정인호 (2026). 『JEDAIX 사용자 운영 매뉴얼 Base Camp 2 (v9)』. i7/JEDAIX. (본문 제3~4장, 부록 A·C·D)</w:t>
      </w:r>
    </w:p>
    <w:p>
      <w:pPr>
        <w:numPr>
          <w:ilvl w:val="0"/>
          <w:numId w:val="1007"/>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07"/>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07"/>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07"/>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07"/>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07"/>
        </w:numPr>
        <w:pStyle w:val="Compact"/>
      </w:pPr>
      <w:r>
        <w:t xml:space="preserve">Polanyi, M. (1966).</w:t>
      </w:r>
      <w:r>
        <w:t xml:space="preserve"> </w:t>
      </w:r>
      <w:r>
        <w:rPr>
          <w:iCs/>
          <w:i/>
        </w:rPr>
        <w:t xml:space="preserve">The Tacit Dimension</w:t>
      </w:r>
      <w:r>
        <w:t xml:space="preserve">. Routledge &amp; Kegan Paul.</w:t>
      </w:r>
    </w:p>
    <w:p>
      <w:pPr>
        <w:numPr>
          <w:ilvl w:val="0"/>
          <w:numId w:val="1007"/>
        </w:numPr>
        <w:pStyle w:val="Compact"/>
      </w:pPr>
      <w:r>
        <w:t xml:space="preserve">W3C (2012). OWL 2 Web Ontology Language Document Overview (Second Edition). W3C Recommendation.</w:t>
      </w:r>
    </w:p>
    <w:bookmarkEnd w:id="74"/>
    <w:bookmarkEnd w:id="75"/>
    <w:bookmarkStart w:id="98"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76"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76"/>
    <w:bookmarkStart w:id="77"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77"/>
    <w:bookmarkStart w:id="81"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79" name="Picture"/>
            <a:graphic>
              <a:graphicData uri="http://schemas.openxmlformats.org/drawingml/2006/picture">
                <pic:pic>
                  <pic:nvPicPr>
                    <pic:cNvPr descr="figures/fig_211_workflow_cycle.png" id="80" name="Picture"/>
                    <pic:cNvPicPr>
                      <a:picLocks noChangeArrowheads="1" noChangeAspect="1"/>
                    </pic:cNvPicPr>
                  </pic:nvPicPr>
                  <pic:blipFill>
                    <a:blip r:embed="rId7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81"/>
    <w:bookmarkStart w:id="85"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83" name="Picture"/>
            <a:graphic>
              <a:graphicData uri="http://schemas.openxmlformats.org/drawingml/2006/picture">
                <pic:pic>
                  <pic:nvPicPr>
                    <pic:cNvPr descr="figures/fig_212_buffer_agent.png" id="84" name="Picture"/>
                    <pic:cNvPicPr>
                      <a:picLocks noChangeArrowheads="1" noChangeAspect="1"/>
                    </pic:cNvPicPr>
                  </pic:nvPicPr>
                  <pic:blipFill>
                    <a:blip r:embed="rId82"/>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85"/>
    <w:bookmarkStart w:id="8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86"/>
    <w:bookmarkStart w:id="90"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88" name="Picture"/>
            <a:graphic>
              <a:graphicData uri="http://schemas.openxmlformats.org/drawingml/2006/picture">
                <pic:pic>
                  <pic:nvPicPr>
                    <pic:cNvPr descr="figures/fig_213_odoo_jedaix.png" id="89" name="Picture"/>
                    <pic:cNvPicPr>
                      <a:picLocks noChangeArrowheads="1" noChangeAspect="1"/>
                    </pic:cNvPicPr>
                  </pic:nvPicPr>
                  <pic:blipFill>
                    <a:blip r:embed="rId8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90"/>
    <w:bookmarkStart w:id="91"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것인가는 다음 장(AX 성공 방법론)에서 다룬다.</w:t>
      </w:r>
    </w:p>
    <w:bookmarkEnd w:id="91"/>
    <w:bookmarkStart w:id="95" w:name="온톨로지-다음의-세상-뉴로-심볼릭-ai와-우리의-자리"/>
    <w:p>
      <w:pPr>
        <w:pStyle w:val="Heading2"/>
      </w:pPr>
      <w:r>
        <w:t xml:space="preserve">21.8 온톨로지 다음의 세상: 뉴로-심볼릭 AI와 우리의 자리</w:t>
      </w:r>
    </w:p>
    <w:p>
      <w:pPr>
        <w:pStyle w:val="FirstParagraph"/>
      </w:pPr>
      <w:r>
        <w:t xml:space="preserve">장을 닫기 전에, 이 통합 아키텍처가 향하는 미래의 좌표 하나를 짚어 둔다. AI 연구의 최전선에서는 지금 뉴로-심볼릭(Neuro-Symbolic) AI가 의사결정 인공지능의 다음 단계로 부상하고 있다. 뉴럴(neural) — 신경망과 LLM — 은 패턴을 직관적으로 인식하지만 그럴듯한 거짓(환각)을 만들고 이유를 설명하지 못한다. 심볼릭(symbolic) — 온톨로지·규칙·논리 — 은 정확하고 설명 가능하지만 스스로 배우지 못한다. 카너먼의 은유를 빌리면 전자가 시스템 1(직관), 후자가 시스템 2(숙고)다. 뉴로-심볼릭 AI는 이 둘을 한 루프에 결합한다: 뉴럴이 제안하고, 심볼릭이 검증하며, 검증을 통과한 판단만 실행된다. 심볼릭 계층이 뉴럴의 출력에서 규칙 위반을 발견하면 그 출력을 거부하고 재평가를 요구한다 — 환각이 사후에 발견되는 것이 아니라 구조적으로 차단되는 것이다. 2020년 이후 학계의 체계적 조사가 이 분야의 급성장을 확인하고 있으며(Colelough &amp; Regli, 2025), 산업계에서는 시맨틱 지식그래프를 기반으로 한 데이터 패브릭과 GraphRAG가 기업 자동화의 백본으로 자리 잡는 흐름이 뚜렷하다.</w:t>
      </w:r>
    </w:p>
    <w:p>
      <w:pPr>
        <w:pStyle w:val="BodyText"/>
      </w:pPr>
      <w:r>
        <w:t xml:space="preserve">이 흐름에서 의사결정 플랫폼이 갖추어야 할 기둥은 셋이다. 첫째,</w:t>
      </w:r>
      <w:r>
        <w:t xml:space="preserve"> </w:t>
      </w:r>
      <w:r>
        <w:rPr>
          <w:bCs/>
          <w:b/>
        </w:rPr>
        <w:t xml:space="preserve">의미적 데이터 패브릭</w:t>
      </w:r>
      <w:r>
        <w:t xml:space="preserve"> </w:t>
      </w:r>
      <w:r>
        <w:t xml:space="preserve">— 흩어진 데이터가 온톨로지·메타데이터 카탈로그·계보(lineage) 관리를 통해 하나의 질의 가능한 의미망으로 통합되는 층. 둘째,</w:t>
      </w:r>
      <w:r>
        <w:t xml:space="preserve"> </w:t>
      </w:r>
      <w:r>
        <w:rPr>
          <w:bCs/>
          <w:b/>
        </w:rPr>
        <w:t xml:space="preserve">설명 가능한 AI(XAI)</w:t>
      </w:r>
      <w:r>
        <w:t xml:space="preserve"> </w:t>
      </w:r>
      <w:r>
        <w:t xml:space="preserve">— 사후 근사 설명(SHAP·LIME)이 아니라, 그래프 경로와 규칙 체인 자체가 곧 설명이 되는 구조.</w:t>
      </w:r>
      <w:r>
        <w:t xml:space="preserve"> </w:t>
      </w:r>
      <w:r>
        <w:t xml:space="preserve">“</w:t>
      </w:r>
      <w:r>
        <w:t xml:space="preserve">이 판단의 근거는 이 노드들과 이 규칙</w:t>
      </w:r>
      <w:r>
        <w:t xml:space="preserve">”</w:t>
      </w:r>
      <w:r>
        <w:t xml:space="preserve">이라고 시스템이 자신의 추론 경로를 보여주는 것이다. 셋째,</w:t>
      </w:r>
      <w:r>
        <w:t xml:space="preserve"> </w:t>
      </w:r>
      <w:r>
        <w:rPr>
          <w:bCs/>
          <w:b/>
        </w:rPr>
        <w:t xml:space="preserve">융합 추론</w:t>
      </w:r>
      <w:r>
        <w:t xml:space="preserve"> </w:t>
      </w:r>
      <w:r>
        <w:t xml:space="preserve">— 뉴럴이 비정형에서 지식을 추출하고(뉴럴→심볼릭), 온톨로지와 규칙이 뉴럴의 출력을 제약·검증하며(심볼릭→뉴럴), 그래프 검색이 LLM의 컨텍스트를 공급하는(GraphRAG) 양방향 결합이다.</w:t>
      </w:r>
    </w:p>
    <w:p>
      <w:pPr>
        <w:pStyle w:val="BodyText"/>
      </w:pPr>
      <w:r>
        <w:t xml:space="preserve">여기서 중요한 사실은, 이 장에서 완성한 Odoo × JEDAIX 통합 아키텍처가 이미 뉴로-심볼릭의 골격이라는 점이다. 대응은 다음과 같다.</w:t>
      </w:r>
    </w:p>
    <w:tbl>
      <w:tblPr>
        <w:tblStyle w:val="Table"/>
        <w:tblW w:type="pct" w:w="5000"/>
        <w:tblLook w:firstRow="1" w:lastRow="0" w:firstColumn="0" w:lastColumn="0" w:noHBand="0" w:noVBand="0" w:val="0020"/>
        <w:jc w:val="start"/>
      </w:tblPr>
      <w:tblGrid>
        <w:gridCol w:w="2689"/>
        <w:gridCol w:w="5230"/>
      </w:tblGrid>
      <w:tr>
        <w:trPr>
          <w:tblHeader w:val="true"/>
        </w:trPr>
        <w:tc>
          <w:tcPr/>
          <w:p>
            <w:pPr>
              <w:pStyle w:val="Compact"/>
              <w:jc w:val="left"/>
            </w:pPr>
            <w:r>
              <w:t xml:space="preserve">뉴로-심볼릭 요건</w:t>
            </w:r>
          </w:p>
        </w:tc>
        <w:tc>
          <w:tcPr/>
          <w:p>
            <w:pPr>
              <w:pStyle w:val="Compact"/>
              <w:jc w:val="left"/>
            </w:pPr>
            <w:r>
              <w:t xml:space="preserve">이 책의 아키텍처에서 이미 갖춘 것</w:t>
            </w:r>
          </w:p>
        </w:tc>
      </w:tr>
      <w:tr>
        <w:tc>
          <w:tcPr/>
          <w:p>
            <w:pPr>
              <w:pStyle w:val="Compact"/>
              <w:jc w:val="left"/>
            </w:pPr>
            <w:r>
              <w:t xml:space="preserve">단일 사실 원천과 의미 통합</w:t>
            </w:r>
          </w:p>
        </w:tc>
        <w:tc>
          <w:tcPr/>
          <w:p>
            <w:pPr>
              <w:pStyle w:val="Compact"/>
              <w:jc w:val="left"/>
            </w:pPr>
            <w:r>
              <w:t xml:space="preserve">Odoo 단일 원장(2부 8장) + 온톨로지 지식그래프(1부 6장·19장)</w:t>
            </w:r>
          </w:p>
        </w:tc>
      </w:tr>
      <w:tr>
        <w:tc>
          <w:tcPr/>
          <w:p>
            <w:pPr>
              <w:pStyle w:val="Compact"/>
              <w:jc w:val="left"/>
            </w:pPr>
            <w:r>
              <w:t xml:space="preserve">뉴럴→심볼릭 추출</w:t>
            </w:r>
          </w:p>
        </w:tc>
        <w:tc>
          <w:tcPr/>
          <w:p>
            <w:pPr>
              <w:pStyle w:val="Compact"/>
              <w:jc w:val="left"/>
            </w:pPr>
            <w:r>
              <w:t xml:space="preserve">PTGDA — 현장의 발화를 LLM이 Chunk 분해·TA 분류하여 OWL로 확정(20장)</w:t>
            </w:r>
          </w:p>
        </w:tc>
      </w:tr>
      <w:tr>
        <w:tc>
          <w:tcPr/>
          <w:p>
            <w:pPr>
              <w:pStyle w:val="Compact"/>
              <w:jc w:val="left"/>
            </w:pPr>
            <w:r>
              <w:t xml:space="preserve">심볼릭 검증</w:t>
            </w:r>
          </w:p>
        </w:tc>
        <w:tc>
          <w:tcPr/>
          <w:p>
            <w:pPr>
              <w:pStyle w:val="Compact"/>
              <w:jc w:val="left"/>
            </w:pPr>
            <w:r>
              <w:t xml:space="preserve">Workflow 빌더의 결정론적 검증 규칙, 데이터 매핑 마법사의 커밋 전 무결성 검사(21.2·21.7)</w:t>
            </w:r>
          </w:p>
        </w:tc>
      </w:tr>
      <w:tr>
        <w:tc>
          <w:tcPr/>
          <w:p>
            <w:pPr>
              <w:pStyle w:val="Compact"/>
              <w:jc w:val="left"/>
            </w:pPr>
            <w:r>
              <w:t xml:space="preserve">융합 추론 루프</w:t>
            </w:r>
          </w:p>
        </w:tc>
        <w:tc>
          <w:tcPr/>
          <w:p>
            <w:pPr>
              <w:pStyle w:val="Compact"/>
              <w:jc w:val="left"/>
            </w:pPr>
            <w:r>
              <w:t xml:space="preserve">DMAIC LLM 무한 루프(1부 5장) — 제안(뉴럴)→검정·승인(심볼릭·사람)→환류</w:t>
            </w:r>
          </w:p>
        </w:tc>
      </w:tr>
      <w:tr>
        <w:tc>
          <w:tcPr/>
          <w:p>
            <w:pPr>
              <w:pStyle w:val="Compact"/>
              <w:jc w:val="left"/>
            </w:pPr>
            <w:r>
              <w:t xml:space="preserve">거버넌스와 설명의 씨앗</w:t>
            </w:r>
          </w:p>
        </w:tc>
        <w:tc>
          <w:tcPr/>
          <w:p>
            <w:pPr>
              <w:pStyle w:val="Compact"/>
              <w:jc w:val="left"/>
            </w:pPr>
            <w:r>
              <w:t xml:space="preserve">HITL 승인 게이트, War Room 감사 이력, BPMN의 가시적 프로세스</w:t>
            </w:r>
          </w:p>
        </w:tc>
      </w:tr>
    </w:tbl>
    <w:p>
      <w:pPr>
        <w:pStyle w:val="BodyText"/>
      </w:pPr>
      <w:r>
        <w:t xml:space="preserve">즉 우리는 방향을 바꿀 필요가 없다. 부족한 것은 네 가지의 보강이다. ① 심볼릭 검증의 형식화 — 지금은 개별 검증 규칙으로 흩어져 있는 제약을 SHACL(그래프 제약 언어)과 규칙 엔진으로 표준화하는 것. ② 설명의 제품화 — 추론 경로는 이미 그래프에 있으므로, 그것을 판단 화면에</w:t>
      </w:r>
      <w:r>
        <w:t xml:space="preserve"> </w:t>
      </w:r>
      <w:r>
        <w:t xml:space="preserve">“</w:t>
      </w:r>
      <w:r>
        <w:t xml:space="preserve">근거 보기</w:t>
      </w:r>
      <w:r>
        <w:t xml:space="preserve">”</w:t>
      </w:r>
      <w:r>
        <w:t xml:space="preserve">로 노출하는 UI 층. ③ 시맨틱 카탈로그와 계보 — 어느 데이터가 어디서 와서 어떤 판단에 쓰였는가의 이력 관리. ④ 최적화 솔버 — 제약 충족·선형계획 엔진을 SCM Backbone에 결합해</w:t>
      </w:r>
      <w:r>
        <w:t xml:space="preserve"> </w:t>
      </w:r>
      <w:r>
        <w:t xml:space="preserve">“</w:t>
      </w:r>
      <w:r>
        <w:t xml:space="preserve">가능한 최선</w:t>
      </w:r>
      <w:r>
        <w:t xml:space="preserve">”</w:t>
      </w:r>
      <w:r>
        <w:t xml:space="preserve">을 계산하는 능력. 이 보강의 상세 아키텍처와 로드맵은 이 책의 부속 기술 보고서 「의사결정을 위한 Neuro-Symbolic AI」에 정리해 두었다.</w:t>
      </w:r>
    </w:p>
    <w:p>
      <w:pPr>
        <w:pStyle w:val="CaptionedFigure"/>
      </w:pPr>
      <w:r>
        <w:drawing>
          <wp:inline>
            <wp:extent cx="4206240" cy="3280867"/>
            <wp:effectExtent b="0" l="0" r="0" t="0"/>
            <wp:docPr descr="그림 21-4. 근거 UI 화면 목업 — 설명 가능한 AI: 판단과 함께 근거를 보여준다" title="" id="93" name="Picture"/>
            <a:graphic>
              <a:graphicData uri="http://schemas.openxmlformats.org/drawingml/2006/picture">
                <pic:pic>
                  <pic:nvPicPr>
                    <pic:cNvPr descr="figures/fig_214_evidence_ui.png" id="94" name="Picture"/>
                    <pic:cNvPicPr>
                      <a:picLocks noChangeArrowheads="1" noChangeAspect="1"/>
                    </pic:cNvPicPr>
                  </pic:nvPicPr>
                  <pic:blipFill>
                    <a:blip r:embed="rId92"/>
                    <a:stretch>
                      <a:fillRect/>
                    </a:stretch>
                  </pic:blipFill>
                  <pic:spPr bwMode="auto">
                    <a:xfrm>
                      <a:off x="0" y="0"/>
                      <a:ext cx="4206240" cy="3280867"/>
                    </a:xfrm>
                    <a:prstGeom prst="rect">
                      <a:avLst/>
                    </a:prstGeom>
                    <a:noFill/>
                    <a:ln w="9525">
                      <a:noFill/>
                      <a:headEnd/>
                      <a:tailEnd/>
                    </a:ln>
                  </pic:spPr>
                </pic:pic>
              </a:graphicData>
            </a:graphic>
          </wp:inline>
        </w:drawing>
      </w:r>
    </w:p>
    <w:p>
      <w:pPr>
        <w:pStyle w:val="ImageCaption"/>
      </w:pPr>
      <w:r>
        <w:t xml:space="preserve">그림 21-4. 근거 UI 화면 목업 — 설명 가능한 AI: 판단과 함께 근거를 보여준다</w:t>
      </w:r>
    </w:p>
    <w:p>
      <w:pPr>
        <w:pStyle w:val="BodyText"/>
      </w:pPr>
      <w:r>
        <w:t xml:space="preserve">한 문장으로 요약한다.</w:t>
      </w:r>
      <w:r>
        <w:t xml:space="preserve"> </w:t>
      </w:r>
      <w:r>
        <w:rPr>
          <w:bCs/>
          <w:b/>
        </w:rPr>
        <w:t xml:space="preserve">온톨로지 다음의 세상은 온톨로지를 버리는 세상이 아니라, 온톨로지가 검증자(verifier)가 되는 세상이다.</w:t>
      </w:r>
      <w:r>
        <w:t xml:space="preserve"> </w:t>
      </w:r>
      <w:r>
        <w:t xml:space="preserve">우리가 1부에서 심고 3부에서 키운 온톨로지는, 뉴럴의 직관이 폭주하지 않도록 붙잡는 시스템 2 — 기업의 이성 — 로 완성된다.</w:t>
      </w:r>
    </w:p>
    <w:bookmarkEnd w:id="95"/>
    <w:bookmarkStart w:id="96" w:name="핵심-요약-3"/>
    <w:p>
      <w:pPr>
        <w:pStyle w:val="Heading2"/>
      </w:pPr>
      <w:r>
        <w:t xml:space="preserve">핵심 요약</w:t>
      </w:r>
    </w:p>
    <w:p>
      <w:pPr>
        <w:numPr>
          <w:ilvl w:val="0"/>
          <w:numId w:val="1008"/>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08"/>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08"/>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08"/>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08"/>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08"/>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08"/>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p>
      <w:pPr>
        <w:numPr>
          <w:ilvl w:val="0"/>
          <w:numId w:val="1008"/>
        </w:numPr>
        <w:pStyle w:val="Compact"/>
      </w:pPr>
      <w:r>
        <w:t xml:space="preserve">이 통합 아키텍처는 의사결정 AI의 다음 단계인 뉴로-심볼릭 AI(뉴럴이 제안하고 심볼릭이 검증하는 환각 차단 구조)의 골격을 이미 갖추고 있다. 남은 보강은 SHACL·규칙 엔진(검증의 형식화), 근거 UI(설명의 제품화), 시맨틱 카탈로그·계보, 최적화 솔버의 네 가지다 — 온톨로지 다음의 세상은 온톨로지가 검증자가 되는 세상이다.</w:t>
      </w:r>
    </w:p>
    <w:bookmarkEnd w:id="96"/>
    <w:bookmarkStart w:id="97" w:name="이-장의-참고문헌-3"/>
    <w:p>
      <w:pPr>
        <w:pStyle w:val="Heading2"/>
      </w:pPr>
      <w:r>
        <w:t xml:space="preserve">이 장의 참고문헌</w:t>
      </w:r>
    </w:p>
    <w:p>
      <w:pPr>
        <w:numPr>
          <w:ilvl w:val="0"/>
          <w:numId w:val="1009"/>
        </w:numPr>
        <w:pStyle w:val="Compact"/>
      </w:pPr>
      <w:r>
        <w:t xml:space="preserve">정인호 (2026). 『JEDAIX 사용자 운영 매뉴얼 Base Camp 2 (v9)』. i7/JEDAIX. (제3장·제5~7장, 부록 E)</w:t>
      </w:r>
    </w:p>
    <w:p>
      <w:pPr>
        <w:numPr>
          <w:ilvl w:val="0"/>
          <w:numId w:val="1009"/>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09"/>
        </w:numPr>
        <w:pStyle w:val="Compact"/>
      </w:pPr>
      <w:r>
        <w:t xml:space="preserve">이형근 (2026). 『오픈브레인 시스템 제안: 중소기업 지식경영 프로젝트』. OpenBrain OS 제안서. (원플랫폼+쓰리부스터 아키텍처)</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09"/>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 (2020~2024 문헌의 체계적 조사)</w:t>
      </w:r>
    </w:p>
    <w:p>
      <w:pPr>
        <w:numPr>
          <w:ilvl w:val="0"/>
          <w:numId w:val="1009"/>
        </w:numPr>
        <w:pStyle w:val="Compact"/>
      </w:pPr>
      <w:r>
        <w:t xml:space="preserve">Knublauch, H., &amp; Kontokostas, D. (2017).</w:t>
      </w:r>
      <w:r>
        <w:t xml:space="preserve"> </w:t>
      </w:r>
      <w:r>
        <w:t xml:space="preserve">“</w:t>
      </w:r>
      <w:r>
        <w:t xml:space="preserve">Shapes Constraint Language (SHACL).</w:t>
      </w:r>
      <w:r>
        <w:t xml:space="preserve">”</w:t>
      </w:r>
      <w:r>
        <w:t xml:space="preserve"> </w:t>
      </w:r>
      <w:r>
        <w:t xml:space="preserve">W3C Recommendation.</w:t>
      </w:r>
    </w:p>
    <w:p>
      <w:pPr>
        <w:numPr>
          <w:ilvl w:val="0"/>
          <w:numId w:val="1009"/>
        </w:numPr>
        <w:pStyle w:val="Compact"/>
      </w:pPr>
      <w:r>
        <w:t xml:space="preserve">Kahneman, D. (2011).</w:t>
      </w:r>
      <w:r>
        <w:t xml:space="preserve"> </w:t>
      </w:r>
      <w:r>
        <w:rPr>
          <w:iCs/>
          <w:i/>
        </w:rPr>
        <w:t xml:space="preserve">Thinking, Fast and Slow</w:t>
      </w:r>
      <w:r>
        <w:t xml:space="preserve">. Farrar, Straus and Giroux. (시스템 1/2의 은유)</w:t>
      </w:r>
    </w:p>
    <w:p>
      <w:pPr>
        <w:numPr>
          <w:ilvl w:val="0"/>
          <w:numId w:val="1009"/>
        </w:numPr>
        <w:pStyle w:val="Compact"/>
      </w:pPr>
      <w:r>
        <w:t xml:space="preserve">이형근·정인호 (2026). 「의사결정을 위한 Neuro-Symbolic AI — 의미적 데이터 패브릭·설명 가능한 AI·융합 추론」. 본서 부속 기술 보고서.</w:t>
      </w:r>
    </w:p>
    <w:p>
      <w:pPr>
        <w:numPr>
          <w:ilvl w:val="0"/>
          <w:numId w:val="1009"/>
        </w:numPr>
        <w:pStyle w:val="Compact"/>
      </w:pPr>
      <w:r>
        <w:t xml:space="preserve">Object Management Group (2011). Business Process Model and Notation (BPMN) Version 2.0. OMG Standard.</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97"/>
    <w:bookmarkEnd w:id="98"/>
    <w:bookmarkStart w:id="117"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102"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100" name="Picture"/>
            <a:graphic>
              <a:graphicData uri="http://schemas.openxmlformats.org/drawingml/2006/picture">
                <pic:pic>
                  <pic:nvPicPr>
                    <pic:cNvPr descr="figures/fig_221_five_steps.png" id="101" name="Picture"/>
                    <pic:cNvPicPr>
                      <a:picLocks noChangeArrowheads="1" noChangeAspect="1"/>
                    </pic:cNvPicPr>
                  </pic:nvPicPr>
                  <pic:blipFill>
                    <a:blip r:embed="rId99"/>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102"/>
    <w:bookmarkStart w:id="103"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103"/>
    <w:bookmarkStart w:id="104"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104"/>
    <w:bookmarkStart w:id="110"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106" name="Picture"/>
            <a:graphic>
              <a:graphicData uri="http://schemas.openxmlformats.org/drawingml/2006/picture">
                <pic:pic>
                  <pic:nvPicPr>
                    <pic:cNvPr descr="figures/fig_222_two_paths.png" id="107" name="Picture"/>
                    <pic:cNvPicPr>
                      <a:picLocks noChangeArrowheads="1" noChangeAspect="1"/>
                    </pic:cNvPicPr>
                  </pic:nvPicPr>
                  <pic:blipFill>
                    <a:blip r:embed="rId10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108"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108"/>
    <w:bookmarkStart w:id="109"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109"/>
    <w:bookmarkEnd w:id="110"/>
    <w:bookmarkStart w:id="111"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111"/>
    <w:bookmarkStart w:id="114" w:name="성공-판정-kpi와-정직한-평가"/>
    <w:p>
      <w:pPr>
        <w:pStyle w:val="Heading2"/>
      </w:pPr>
      <w:r>
        <w:t xml:space="preserve">22.6 성공 판정 KPI와 정직한 평가</w:t>
      </w:r>
    </w:p>
    <w:bookmarkStart w:id="112"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112"/>
    <w:bookmarkStart w:id="113"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113"/>
    <w:bookmarkEnd w:id="114"/>
    <w:bookmarkStart w:id="115" w:name="핵심-요약-4"/>
    <w:p>
      <w:pPr>
        <w:pStyle w:val="Heading2"/>
      </w:pPr>
      <w:r>
        <w:t xml:space="preserve">핵심 요약</w:t>
      </w:r>
    </w:p>
    <w:p>
      <w:pPr>
        <w:numPr>
          <w:ilvl w:val="0"/>
          <w:numId w:val="1010"/>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10"/>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10"/>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10"/>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10"/>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10"/>
        </w:numPr>
        <w:pStyle w:val="Compact"/>
      </w:pPr>
      <w:r>
        <w:t xml:space="preserve">성공 판정은 KGI 개선을 정점으로, 확정 건수·연환산 손실 추정액·승인율·DTF 준수율 등 관통 5단계의 산출물을 선행지표로 삼는다.</w:t>
      </w:r>
    </w:p>
    <w:p>
      <w:pPr>
        <w:numPr>
          <w:ilvl w:val="0"/>
          <w:numId w:val="1010"/>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115"/>
    <w:bookmarkStart w:id="116" w:name="이-장의-참고문헌-4"/>
    <w:p>
      <w:pPr>
        <w:pStyle w:val="Heading2"/>
      </w:pPr>
      <w:r>
        <w:t xml:space="preserve">이 장의 참고문헌</w:t>
      </w:r>
    </w:p>
    <w:p>
      <w:pPr>
        <w:numPr>
          <w:ilvl w:val="0"/>
          <w:numId w:val="1011"/>
        </w:numPr>
        <w:pStyle w:val="Compact"/>
      </w:pPr>
      <w:r>
        <w:t xml:space="preserve">정인호 (2026). 『JEDAIX 사용자 운영 매뉴얼 Base Camp 2 (v9)』. i7. (본문 인용 표기: JEDAIX 운영 매뉴얼 v9)</w:t>
      </w:r>
    </w:p>
    <w:p>
      <w:pPr>
        <w:numPr>
          <w:ilvl w:val="0"/>
          <w:numId w:val="1011"/>
        </w:numPr>
        <w:pStyle w:val="Compact"/>
      </w:pPr>
      <w:r>
        <w:t xml:space="preserve">정인호 (2026). 『Ontology 기반의 AI-Agent Workflow 구축 (v9)』. i7. (본문 인용 표기: JEDAIX 온톨로지 아키텍처 문서 v9)</w:t>
      </w:r>
    </w:p>
    <w:p>
      <w:pPr>
        <w:numPr>
          <w:ilvl w:val="0"/>
          <w:numId w:val="1011"/>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1"/>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1"/>
        </w:numPr>
        <w:pStyle w:val="Compact"/>
      </w:pPr>
      <w:r>
        <w:t xml:space="preserve">일본 생산관리 고전. 『다품종소량·수주생산의 생산관리』 (본서 연구자료).</w:t>
      </w:r>
    </w:p>
    <w:bookmarkEnd w:id="116"/>
    <w:bookmarkEnd w:id="117"/>
    <w:bookmarkStart w:id="146"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127"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119" name="Picture"/>
            <a:graphic>
              <a:graphicData uri="http://schemas.openxmlformats.org/drawingml/2006/picture">
                <pic:pic>
                  <pic:nvPicPr>
                    <pic:cNvPr descr="figures/fig_231_case_timeline.png" id="120" name="Picture"/>
                    <pic:cNvPicPr>
                      <a:picLocks noChangeArrowheads="1" noChangeAspect="1"/>
                    </pic:cNvPicPr>
                  </pic:nvPicPr>
                  <pic:blipFill>
                    <a:blip r:embed="rId118"/>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121"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121"/>
    <w:bookmarkStart w:id="122"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122"/>
    <w:bookmarkStart w:id="123"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123"/>
    <w:bookmarkStart w:id="124"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124"/>
    <w:bookmarkStart w:id="125"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125"/>
    <w:bookmarkStart w:id="126"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126"/>
    <w:bookmarkEnd w:id="127"/>
    <w:bookmarkStart w:id="134"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129" name="Picture"/>
            <a:graphic>
              <a:graphicData uri="http://schemas.openxmlformats.org/drawingml/2006/picture">
                <pic:pic>
                  <pic:nvPicPr>
                    <pic:cNvPr descr="figures/fig_232_toc_before_after.png" id="130" name="Picture"/>
                    <pic:cNvPicPr>
                      <a:picLocks noChangeArrowheads="1" noChangeAspect="1"/>
                    </pic:cNvPicPr>
                  </pic:nvPicPr>
                  <pic:blipFill>
                    <a:blip r:embed="rId12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131"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131"/>
    <w:bookmarkStart w:id="132"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132"/>
    <w:bookmarkStart w:id="133"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133"/>
    <w:bookmarkEnd w:id="134"/>
    <w:bookmarkStart w:id="142"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136" name="Picture"/>
            <a:graphic>
              <a:graphicData uri="http://schemas.openxmlformats.org/drawingml/2006/picture">
                <pic:pic>
                  <pic:nvPicPr>
                    <pic:cNvPr descr="figures/fig_233_results_chart.png" id="137" name="Picture"/>
                    <pic:cNvPicPr>
                      <a:picLocks noChangeArrowheads="1" noChangeAspect="1"/>
                    </pic:cNvPicPr>
                  </pic:nvPicPr>
                  <pic:blipFill>
                    <a:blip r:embed="rId135"/>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138"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138"/>
    <w:bookmarkStart w:id="139"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139"/>
    <w:bookmarkStart w:id="140"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140"/>
    <w:bookmarkStart w:id="141"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141"/>
    <w:bookmarkEnd w:id="142"/>
    <w:bookmarkStart w:id="143"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143"/>
    <w:bookmarkStart w:id="144" w:name="핵심-요약-5"/>
    <w:p>
      <w:pPr>
        <w:pStyle w:val="Heading2"/>
      </w:pPr>
      <w:r>
        <w:t xml:space="preserve">핵심 요약</w:t>
      </w:r>
    </w:p>
    <w:p>
      <w:pPr>
        <w:numPr>
          <w:ilvl w:val="0"/>
          <w:numId w:val="1012"/>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12"/>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12"/>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12"/>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12"/>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12"/>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12"/>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144"/>
    <w:bookmarkStart w:id="145" w:name="이-장의-참고문헌-5"/>
    <w:p>
      <w:pPr>
        <w:pStyle w:val="Heading2"/>
      </w:pPr>
      <w:r>
        <w:t xml:space="preserve">이 장의 참고문헌</w:t>
      </w:r>
    </w:p>
    <w:p>
      <w:pPr>
        <w:numPr>
          <w:ilvl w:val="0"/>
          <w:numId w:val="1013"/>
        </w:numPr>
        <w:pStyle w:val="Compact"/>
      </w:pPr>
      <w:r>
        <w:t xml:space="preserve">정인호 (2026). 『JEDAIX 사용자 운영 매뉴얼 Base Camp 2 (v9)』. i7. (사례 연구 1·2의 원전 — 가상의 제조회사 A정밀부품㈜ 예시)</w:t>
      </w:r>
    </w:p>
    <w:p>
      <w:pPr>
        <w:numPr>
          <w:ilvl w:val="0"/>
          <w:numId w:val="1013"/>
        </w:numPr>
        <w:pStyle w:val="Compact"/>
      </w:pPr>
      <w:r>
        <w:t xml:space="preserve">정인호 (2026). 『Ontology 기반의 AI-Agent Workflow 구축 (v9)』. i7. (제7부 전체 파이프라인 사례)</w:t>
      </w:r>
    </w:p>
    <w:p>
      <w:pPr>
        <w:numPr>
          <w:ilvl w:val="0"/>
          <w:numId w:val="1013"/>
        </w:numPr>
        <w:pStyle w:val="Compact"/>
      </w:pPr>
      <w:r>
        <w:t xml:space="preserve">중소벤처기업부 (2019). 『스마트공장 보급사업 성과분석』(2014~2017년 도입기업 5,003개사). — 생산성 +30%, 품질 +43.5%, 원가 −15.9%, 납기준수율 +15.5%.</w:t>
      </w:r>
    </w:p>
    <w:p>
      <w:pPr>
        <w:numPr>
          <w:ilvl w:val="0"/>
          <w:numId w:val="1013"/>
        </w:numPr>
        <w:pStyle w:val="Compact"/>
      </w:pPr>
      <w:r>
        <w:t xml:space="preserve">중소벤처기업부 보도자료. 솔젠트 상생형 스마트공장 지원 성과(생산성 +73%, 원가 −55%).</w:t>
      </w:r>
    </w:p>
    <w:p>
      <w:pPr>
        <w:numPr>
          <w:ilvl w:val="0"/>
          <w:numId w:val="1013"/>
        </w:numPr>
        <w:pStyle w:val="Compact"/>
      </w:pPr>
      <w:r>
        <w:t xml:space="preserve">중소기업중앙회 (2022). 대·중소 상생형 스마트공장 도입 성과 분석.</w:t>
      </w:r>
    </w:p>
    <w:p>
      <w:pPr>
        <w:numPr>
          <w:ilvl w:val="0"/>
          <w:numId w:val="1013"/>
        </w:numPr>
        <w:pStyle w:val="Compact"/>
      </w:pPr>
      <w:r>
        <w:t xml:space="preserve">중소벤처기업부 (2025). 『AI 기반 스마트제조혁신 3.0 전략』.</w:t>
      </w:r>
    </w:p>
    <w:p>
      <w:pPr>
        <w:numPr>
          <w:ilvl w:val="0"/>
          <w:numId w:val="1013"/>
        </w:numPr>
        <w:pStyle w:val="Compact"/>
      </w:pPr>
      <w:r>
        <w:t xml:space="preserve">경상남도 스마트공장 지원사업 보도(2022~2023년 도입 439개사 집계; 대성종합열처리 사례 포함).</w:t>
      </w:r>
    </w:p>
    <w:p>
      <w:pPr>
        <w:numPr>
          <w:ilvl w:val="0"/>
          <w:numId w:val="1013"/>
        </w:numPr>
        <w:pStyle w:val="Compact"/>
      </w:pPr>
      <w:r>
        <w:t xml:space="preserve">Odoo 공식 고객 사례 (2024~2025). Zeitgeist, M S Z Corporate Services, A Tech Authority, pro Wirtschaft GT, Kompass GmbH, Lotus Cruises, ENFIDO GmbH, Dh Foods 외. odoo.com/customers.</w:t>
      </w:r>
    </w:p>
    <w:p>
      <w:pPr>
        <w:numPr>
          <w:ilvl w:val="0"/>
          <w:numId w:val="1013"/>
        </w:numPr>
        <w:pStyle w:val="Compact"/>
      </w:pPr>
      <w:r>
        <w:t xml:space="preserve">Novobi (Odoo 골드 파트너) 고객 집계 보고. Odoo Quality 도입 효과(추정 성격).</w:t>
      </w:r>
    </w:p>
    <w:p>
      <w:pPr>
        <w:numPr>
          <w:ilvl w:val="0"/>
          <w:numId w:val="101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1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3"/>
        </w:numPr>
        <w:pStyle w:val="Compact"/>
      </w:pPr>
      <w:r>
        <w:t xml:space="preserve">Nonaka, I., &amp; Takeuchi, H. (1995).</w:t>
      </w:r>
      <w:r>
        <w:t xml:space="preserve"> </w:t>
      </w:r>
      <w:r>
        <w:rPr>
          <w:iCs/>
          <w:i/>
        </w:rPr>
        <w:t xml:space="preserve">The Knowledge-Creating Company</w:t>
      </w:r>
      <w:r>
        <w:t xml:space="preserve">. Oxford University Press.</w:t>
      </w:r>
    </w:p>
    <w:bookmarkEnd w:id="145"/>
    <w:bookmarkEnd w:id="146"/>
    <w:bookmarkStart w:id="158"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147"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147"/>
    <w:bookmarkStart w:id="148"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148"/>
    <w:bookmarkStart w:id="152"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150" name="Picture"/>
            <a:graphic>
              <a:graphicData uri="http://schemas.openxmlformats.org/drawingml/2006/picture">
                <pic:pic>
                  <pic:nvPicPr>
                    <pic:cNvPr descr="figures/fig_E1_thirdbrain.png" id="151" name="Picture"/>
                    <pic:cNvPicPr>
                      <a:picLocks noChangeArrowheads="1" noChangeAspect="1"/>
                    </pic:cNvPicPr>
                  </pic:nvPicPr>
                  <pic:blipFill>
                    <a:blip r:embed="rId14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152"/>
    <w:bookmarkStart w:id="153"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153"/>
    <w:bookmarkStart w:id="154"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154"/>
    <w:bookmarkStart w:id="155"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155"/>
    <w:bookmarkStart w:id="156"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156"/>
    <w:bookmarkStart w:id="157"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49" Target="media/rId1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2026-08-24T20:59:30Z</dcterms:created>
  <dcterms:modified xsi:type="dcterms:W3CDTF">2026-08-24T20:59:30Z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