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3부"/>
    <w:p>
      <w:pPr>
        <w:pStyle w:val="Heading2"/>
      </w:pPr>
      <w:r>
        <w:t xml:space="preserve">Odoo와 지능형 ERP — 제3부</w:t>
      </w:r>
    </w:p>
    <w:p>
      <w:pPr>
        <w:pStyle w:val="FirstParagraph"/>
      </w:pPr>
      <w:r>
        <w:rPr>
          <w:bCs/>
          <w:b/>
        </w:rPr>
        <w:t xml:space="preserve">온톨로지 메커니즘으로 완성하는 AX: JEDAIX 방법론과 성공사례</w:t>
      </w:r>
    </w:p>
    <w:p>
      <w:pPr>
        <w:pStyle w:val="BodyText"/>
      </w:pPr>
      <w:r>
        <w:t xml:space="preserve"> </w:t>
      </w:r>
    </w:p>
    <w:p>
      <w:pPr>
        <w:pStyle w:val="BodyText"/>
      </w:pPr>
      <w:r>
        <w:t xml:space="preserve">이형근 · 정인호 공저</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세 번째 묶음으로, 제3부(18~23장)와 에필로그를 담고 있다. 프롤로그·제1부(컨설팅 방법론)와 제2부(모듈별 경영컨설팅)는 앞선 두 묶음에 담겼다.</w:t>
      </w:r>
    </w:p>
    <w:p>
      <w:pPr>
        <w:numPr>
          <w:ilvl w:val="0"/>
          <w:numId w:val="1001"/>
        </w:numPr>
        <w:pStyle w:val="Compact"/>
      </w:pPr>
      <w:r>
        <w:t xml:space="preserve">제3부는 제2저자 정인호(i7/JEDAIX 대표 컨설턴트)가 설계·구축한 온톨로지 기반 AX 방법론 — 5 Space × 6 Station 워크벤치, PTGDA 알고리즘, TA 분류체계, Ontology 기반 AI-Agent Workflow — 을 축으로 한다. 본문에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Odoo의 기능 서술은 Odoo 공식 소개자료(2026)와 공개 문서를 근거로 하였다.</w:t>
      </w:r>
    </w:p>
    <w:bookmarkEnd w:id="22"/>
    <w:bookmarkStart w:id="23"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23"/>
    <w:bookmarkStart w:id="32"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24"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24"/>
    <w:bookmarkStart w:id="25"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25"/>
    <w:bookmarkStart w:id="26" w:name="경영-사각지대의-해부-정의와-손실-메커니즘"/>
    <w:p>
      <w:pPr>
        <w:pStyle w:val="Heading2"/>
      </w:pPr>
      <w:r>
        <w:t xml:space="preserve">18.3 경영 사각지대의 해부: 정의와 손실 메커니즘</w:t>
      </w:r>
    </w:p>
    <w:p>
      <w:pPr>
        <w:pStyle w:val="FirstParagraph"/>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26"/>
    <w:bookmarkStart w:id="27"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27"/>
    <w:bookmarkStart w:id="28" w:name="온톨로지-메커니즘이-채우는-자리-3부의-지도"/>
    <w:p>
      <w:pPr>
        <w:pStyle w:val="Heading2"/>
      </w:pPr>
      <w:r>
        <w:t xml:space="preserve">18.5 온톨로지 메커니즘이 채우는 자리: 3부의 지도</w:t>
      </w:r>
    </w:p>
    <w:p>
      <w:pPr>
        <w:pStyle w:val="FirstParagraph"/>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28"/>
    <w:bookmarkStart w:id="29"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29"/>
    <w:bookmarkStart w:id="30" w:name="핵심-요약"/>
    <w:p>
      <w:pPr>
        <w:pStyle w:val="Heading2"/>
      </w:pPr>
      <w:r>
        <w:t xml:space="preserve">핵심 요약</w:t>
      </w:r>
    </w:p>
    <w:p>
      <w:pPr>
        <w:numPr>
          <w:ilvl w:val="0"/>
          <w:numId w:val="1002"/>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02"/>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02"/>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02"/>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02"/>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02"/>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30"/>
    <w:bookmarkStart w:id="31" w:name="이-장의-참고문헌"/>
    <w:p>
      <w:pPr>
        <w:pStyle w:val="Heading2"/>
      </w:pPr>
      <w:r>
        <w:t xml:space="preserve">이 장의 참고문헌</w:t>
      </w:r>
    </w:p>
    <w:p>
      <w:pPr>
        <w:numPr>
          <w:ilvl w:val="0"/>
          <w:numId w:val="1003"/>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03"/>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03"/>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03"/>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03"/>
        </w:numPr>
        <w:pStyle w:val="Compact"/>
      </w:pPr>
      <w:r>
        <w:t xml:space="preserve">이 책 1부 5장(DMAIC 데이터 루프와 LLM 무한 루프), 2부 15장(Odoo AI의 Analyze·Improve 결핍 진단), 2부 16장(확장 부스터: 서드브레인 아키텍처).</w:t>
      </w:r>
    </w:p>
    <w:bookmarkEnd w:id="31"/>
    <w:bookmarkEnd w:id="32"/>
    <w:bookmarkStart w:id="42"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33"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SourceCode"/>
      </w:pPr>
      <w:r>
        <w:rPr>
          <w:rStyle w:val="VerbatimChar"/>
        </w:rPr>
        <w:t xml:space="preserve"> [입력]   기업 Profile · 거래 데이터(ERP·엑셀) · 대화 Fact(현장의 말)</w:t>
      </w:r>
      <w:r>
        <w:br/>
      </w:r>
      <w:r>
        <w:rPr>
          <w:rStyle w:val="VerbatimChar"/>
        </w:rPr>
        <w:t xml:space="preserve">              │</w:t>
      </w:r>
      <w:r>
        <w:br/>
      </w:r>
      <w:r>
        <w:rPr>
          <w:rStyle w:val="VerbatimChar"/>
        </w:rPr>
        <w:t xml:space="preserve">              ▼</w:t>
      </w:r>
      <w:r>
        <w:br/>
      </w:r>
      <w:r>
        <w:rPr>
          <w:rStyle w:val="VerbatimChar"/>
        </w:rPr>
        <w:t xml:space="preserve"> [Frame]  공통 메타데이터 스키마                          ┌──────────────┐</w:t>
      </w:r>
      <w:r>
        <w:br/>
      </w:r>
      <w:r>
        <w:rPr>
          <w:rStyle w:val="VerbatimChar"/>
        </w:rPr>
        <w:t xml:space="preserve">          Universal Metadata 9속성 × 루만 3좌표           │ 운영환경설정   │</w:t>
      </w:r>
      <w:r>
        <w:br/>
      </w:r>
      <w:r>
        <w:rPr>
          <w:rStyle w:val="VerbatimChar"/>
        </w:rPr>
        <w:t xml:space="preserve">          × 5 Space × Station 축 × TA 축                 │ 매트릭스      │</w:t>
      </w:r>
      <w:r>
        <w:br/>
      </w:r>
      <w:r>
        <w:rPr>
          <w:rStyle w:val="VerbatimChar"/>
        </w:rPr>
        <w:t xml:space="preserve">              │                                         │ (실행변수를   │</w:t>
      </w:r>
      <w:r>
        <w:br/>
      </w:r>
      <w:r>
        <w:rPr>
          <w:rStyle w:val="VerbatimChar"/>
        </w:rPr>
        <w:t xml:space="preserve">              ▼                                         │  전 계층에    │</w:t>
      </w:r>
      <w:r>
        <w:br/>
      </w:r>
      <w:r>
        <w:rPr>
          <w:rStyle w:val="VerbatimChar"/>
        </w:rPr>
        <w:t xml:space="preserve"> [6 Station 대화]  진단→분석→보고서→정책→규칙→업무논리      │  걸쳐 통제)   │</w:t>
      </w:r>
      <w:r>
        <w:br/>
      </w:r>
      <w:r>
        <w:rPr>
          <w:rStyle w:val="VerbatimChar"/>
        </w:rPr>
        <w:t xml:space="preserve">          암묵지의 발굴 — 공명 신호, 반복 확인             └──────────────┘</w:t>
      </w:r>
      <w:r>
        <w:br/>
      </w:r>
      <w:r>
        <w:rPr>
          <w:rStyle w:val="VerbatimChar"/>
        </w:rPr>
        <w:t xml:space="preserve">              │                                                ▲</w:t>
      </w:r>
      <w:r>
        <w:br/>
      </w:r>
      <w:r>
        <w:rPr>
          <w:rStyle w:val="VerbatimChar"/>
        </w:rPr>
        <w:t xml:space="preserve">              ▼                                                │</w:t>
      </w:r>
      <w:r>
        <w:br/>
      </w:r>
      <w:r>
        <w:rPr>
          <w:rStyle w:val="VerbatimChar"/>
        </w:rPr>
        <w:t xml:space="preserve"> [PTGDA]  확신도(wave) 축적 → 임계 돌파 시 확정(particle)        │</w:t>
      </w:r>
      <w:r>
        <w:br/>
      </w:r>
      <w:r>
        <w:rPr>
          <w:rStyle w:val="VerbatimChar"/>
        </w:rPr>
        <w:t xml:space="preserve">          + Explicit-Implicit Bridge(명시 이벤트의 편입)         │</w:t>
      </w:r>
      <w:r>
        <w:br/>
      </w:r>
      <w:r>
        <w:rPr>
          <w:rStyle w:val="VerbatimChar"/>
        </w:rPr>
        <w:t xml:space="preserve">              │                                                │</w:t>
      </w:r>
      <w:r>
        <w:br/>
      </w:r>
      <w:r>
        <w:rPr>
          <w:rStyle w:val="VerbatimChar"/>
        </w:rPr>
        <w:t xml:space="preserve">              ▼                                                │</w:t>
      </w:r>
      <w:r>
        <w:br/>
      </w:r>
      <w:r>
        <w:rPr>
          <w:rStyle w:val="VerbatimChar"/>
        </w:rPr>
        <w:t xml:space="preserve"> [온톨로지]  확정된 판단의 OWL Class·Property 등록               │</w:t>
      </w:r>
      <w:r>
        <w:br/>
      </w:r>
      <w:r>
        <w:rPr>
          <w:rStyle w:val="VerbatimChar"/>
        </w:rPr>
        <w:t xml:space="preserve">          손익 계정 반영, 지식 그래프 확장                       │</w:t>
      </w:r>
      <w:r>
        <w:br/>
      </w:r>
      <w:r>
        <w:rPr>
          <w:rStyle w:val="VerbatimChar"/>
        </w:rPr>
        <w:t xml:space="preserve">              │                                                │</w:t>
      </w:r>
      <w:r>
        <w:br/>
      </w:r>
      <w:r>
        <w:rPr>
          <w:rStyle w:val="VerbatimChar"/>
        </w:rPr>
        <w:t xml:space="preserve">              ▼                                                │</w:t>
      </w:r>
      <w:r>
        <w:br/>
      </w:r>
      <w:r>
        <w:rPr>
          <w:rStyle w:val="VerbatimChar"/>
        </w:rPr>
        <w:t xml:space="preserve"> [Agent · Workflow]  Skill-Loop-Harness 통제 아래 실행 주체 생성  │</w:t>
      </w:r>
      <w:r>
        <w:br/>
      </w:r>
      <w:r>
        <w:rPr>
          <w:rStyle w:val="VerbatimChar"/>
        </w:rPr>
        <w:t xml:space="preserve">          Workflow 빌더 설계분과 Station 채택분의 통합 관리        │</w:t>
      </w:r>
      <w:r>
        <w:br/>
      </w:r>
      <w:r>
        <w:rPr>
          <w:rStyle w:val="VerbatimChar"/>
        </w:rPr>
        <w:t xml:space="preserve">              │                                                │</w:t>
      </w:r>
      <w:r>
        <w:br/>
      </w:r>
      <w:r>
        <w:rPr>
          <w:rStyle w:val="VerbatimChar"/>
        </w:rPr>
        <w:t xml:space="preserve">              ▼                                                │</w:t>
      </w:r>
      <w:r>
        <w:br/>
      </w:r>
      <w:r>
        <w:rPr>
          <w:rStyle w:val="VerbatimChar"/>
        </w:rPr>
        <w:t xml:space="preserve"> [Workspace 실행]  재고 차감 · 전표 생성 · 회계 반영 ─────────────┘</w:t>
      </w:r>
      <w:r>
        <w:br/>
      </w:r>
      <w:r>
        <w:rPr>
          <w:rStyle w:val="VerbatimChar"/>
        </w:rPr>
        <w:t xml:space="preserve">          War Room 감시 → 이상 신호는 다시 6 Station 진단으로 환류</w:t>
      </w:r>
    </w:p>
    <w:p>
      <w:pPr>
        <w:pStyle w:val="FirstParagraph"/>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33"/>
    <w:bookmarkStart w:id="34"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34"/>
    <w:bookmarkStart w:id="35"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35"/>
    <w:bookmarkStart w:id="36"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36"/>
    <w:bookmarkStart w:id="37" w:name="station-문제가-흘러가는-여섯-개의-워크스테이션"/>
    <w:p>
      <w:pPr>
        <w:pStyle w:val="Heading2"/>
      </w:pPr>
      <w:r>
        <w:t xml:space="preserve">19.5 6 Station: 문제가 흘러가는 여섯 개의 워크스테이션</w:t>
      </w:r>
    </w:p>
    <w:p>
      <w:pPr>
        <w:pStyle w:val="FirstParagraph"/>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37"/>
    <w:bookmarkStart w:id="38"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FirstParagraph"/>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38"/>
    <w:bookmarkStart w:id="39"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39"/>
    <w:bookmarkStart w:id="40" w:name="핵심-요약-1"/>
    <w:p>
      <w:pPr>
        <w:pStyle w:val="Heading2"/>
      </w:pPr>
      <w:r>
        <w:t xml:space="preserve">핵심 요약</w:t>
      </w:r>
    </w:p>
    <w:p>
      <w:pPr>
        <w:numPr>
          <w:ilvl w:val="0"/>
          <w:numId w:val="1004"/>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04"/>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04"/>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04"/>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04"/>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04"/>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04"/>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40"/>
    <w:bookmarkStart w:id="41" w:name="이-장의-참고문헌-1"/>
    <w:p>
      <w:pPr>
        <w:pStyle w:val="Heading2"/>
      </w:pPr>
      <w:r>
        <w:t xml:space="preserve">이 장의 참고문헌</w:t>
      </w:r>
    </w:p>
    <w:p>
      <w:pPr>
        <w:numPr>
          <w:ilvl w:val="0"/>
          <w:numId w:val="1005"/>
        </w:numPr>
        <w:pStyle w:val="Compact"/>
      </w:pPr>
      <w:r>
        <w:t xml:space="preserve">정인호 (2026). 『JEDAIX 사용자 운영 매뉴얼 Base Camp 2 (v9)』. i7(아이세븐). — 3장(핵심 개념: 전체 아키텍처·5Space·Station·PTGDA), 8.4절(FAQ), 부록 B~D 인용의 출처.</w:t>
      </w:r>
    </w:p>
    <w:p>
      <w:pPr>
        <w:numPr>
          <w:ilvl w:val="0"/>
          <w:numId w:val="1005"/>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05"/>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05"/>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05"/>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05"/>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05"/>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05"/>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05"/>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05"/>
        </w:numPr>
        <w:pStyle w:val="Compact"/>
      </w:pPr>
      <w:r>
        <w:t xml:space="preserve">이 책 1부 5장(DMAIC 데이터 루프·통계적 사고·삼분법), 2부 15장(Odoo AI의 결핍 진단), 2부 16장(온톨로지 지식그래프 부스터), 3부 18장(경영 사각지대의 정의).</w:t>
      </w:r>
    </w:p>
    <w:bookmarkEnd w:id="41"/>
    <w:bookmarkEnd w:id="42"/>
    <w:bookmarkStart w:id="51"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43"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43"/>
    <w:bookmarkStart w:id="44"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44"/>
    <w:bookmarkStart w:id="45" w:name="ptgda-seed에서-통치까지의-상태-전이"/>
    <w:p>
      <w:pPr>
        <w:pStyle w:val="Heading2"/>
      </w:pPr>
      <w:r>
        <w:t xml:space="preserve">20.3 PTGDA: seed에서 통치까지의 상태 전이</w:t>
      </w:r>
    </w:p>
    <w:p>
      <w:pPr>
        <w:pStyle w:val="FirstParagraph"/>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45"/>
    <w:bookmarkStart w:id="46" w:name="seed-성장-사슬-언어가-스키마가-되기까지"/>
    <w:p>
      <w:pPr>
        <w:pStyle w:val="Heading2"/>
      </w:pPr>
      <w:r>
        <w:t xml:space="preserve">20.4 Seed 성장 사슬: 언어가 스키마가 되기까지</w:t>
      </w:r>
    </w:p>
    <w:p>
      <w:pPr>
        <w:pStyle w:val="FirstParagraph"/>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46"/>
    <w:bookmarkStart w:id="47" w:name="llm의-자리-한-문장이-온톨로지가-되는-여정"/>
    <w:p>
      <w:pPr>
        <w:pStyle w:val="Heading2"/>
      </w:pPr>
      <w:r>
        <w:t xml:space="preserve">20.5 LLM의 자리: 한 문장이 온톨로지가 되는 여정</w:t>
      </w:r>
    </w:p>
    <w:p>
      <w:pPr>
        <w:pStyle w:val="FirstParagraph"/>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47"/>
    <w:bookmarkStart w:id="48"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48"/>
    <w:bookmarkStart w:id="49" w:name="핵심-요약-2"/>
    <w:p>
      <w:pPr>
        <w:pStyle w:val="Heading2"/>
      </w:pPr>
      <w:r>
        <w:t xml:space="preserve">핵심 요약</w:t>
      </w:r>
    </w:p>
    <w:p>
      <w:pPr>
        <w:numPr>
          <w:ilvl w:val="0"/>
          <w:numId w:val="1006"/>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06"/>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06"/>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06"/>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06"/>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06"/>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49"/>
    <w:bookmarkStart w:id="50" w:name="이-장의-참고문헌-2"/>
    <w:p>
      <w:pPr>
        <w:pStyle w:val="Heading2"/>
      </w:pPr>
      <w:r>
        <w:t xml:space="preserve">이 장의 참고문헌</w:t>
      </w:r>
    </w:p>
    <w:p>
      <w:pPr>
        <w:numPr>
          <w:ilvl w:val="0"/>
          <w:numId w:val="1007"/>
        </w:numPr>
        <w:pStyle w:val="Compact"/>
      </w:pPr>
      <w:r>
        <w:t xml:space="preserve">정인호 (2026). 『JEDAIX 사용자 운영 매뉴얼 Base Camp 2 (v9)』. i7/JEDAIX. (본문 제3~4장, 부록 A·C·D)</w:t>
      </w:r>
    </w:p>
    <w:p>
      <w:pPr>
        <w:numPr>
          <w:ilvl w:val="0"/>
          <w:numId w:val="1007"/>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07"/>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07"/>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07"/>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07"/>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07"/>
        </w:numPr>
        <w:pStyle w:val="Compact"/>
      </w:pPr>
      <w:r>
        <w:t xml:space="preserve">Polanyi, M. (1966).</w:t>
      </w:r>
      <w:r>
        <w:t xml:space="preserve"> </w:t>
      </w:r>
      <w:r>
        <w:rPr>
          <w:iCs/>
          <w:i/>
        </w:rPr>
        <w:t xml:space="preserve">The Tacit Dimension</w:t>
      </w:r>
      <w:r>
        <w:t xml:space="preserve">. Routledge &amp; Kegan Paul.</w:t>
      </w:r>
    </w:p>
    <w:p>
      <w:pPr>
        <w:numPr>
          <w:ilvl w:val="0"/>
          <w:numId w:val="1007"/>
        </w:numPr>
        <w:pStyle w:val="Compact"/>
      </w:pPr>
      <w:r>
        <w:t xml:space="preserve">W3C (2012). OWL 2 Web Ontology Language Document Overview (Second Edition). W3C Recommendation.</w:t>
      </w:r>
    </w:p>
    <w:bookmarkEnd w:id="50"/>
    <w:bookmarkEnd w:id="51"/>
    <w:bookmarkStart w:id="64"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52"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52"/>
    <w:bookmarkStart w:id="53"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53"/>
    <w:bookmarkStart w:id="54" w:name="war-room-무한-루프의-관제탑"/>
    <w:p>
      <w:pPr>
        <w:pStyle w:val="Heading2"/>
      </w:pPr>
      <w:r>
        <w:t xml:space="preserve">21.3 War Room: 무한 루프의 관제탑</w:t>
      </w:r>
    </w:p>
    <w:p>
      <w:pPr>
        <w:pStyle w:val="FirstParagraph"/>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54"/>
    <w:bookmarkStart w:id="55" w:name="inventorybufferagent-알림으로-끝나지-않는-실행"/>
    <w:p>
      <w:pPr>
        <w:pStyle w:val="Heading2"/>
      </w:pPr>
      <w:r>
        <w:t xml:space="preserve">21.4 InventoryBufferAgent: 알림으로 끝나지 않는 실행</w:t>
      </w:r>
    </w:p>
    <w:p>
      <w:pPr>
        <w:pStyle w:val="FirstParagraph"/>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55"/>
    <w:bookmarkStart w:id="56"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56"/>
    <w:bookmarkStart w:id="60"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58" name="Picture"/>
            <a:graphic>
              <a:graphicData uri="http://schemas.openxmlformats.org/drawingml/2006/picture">
                <pic:pic>
                  <pic:nvPicPr>
                    <pic:cNvPr descr="figures/fig_213_odoo_jedaix.png" id="59" name="Picture"/>
                    <pic:cNvPicPr>
                      <a:picLocks noChangeArrowheads="1" noChangeAspect="1"/>
                    </pic:cNvPicPr>
                  </pic:nvPicPr>
                  <pic:blipFill>
                    <a:blip r:embed="rId5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60"/>
    <w:bookmarkStart w:id="61"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 — 그것이 다음 장, AX 성공 방법론의 주제다.</w:t>
      </w:r>
    </w:p>
    <w:bookmarkEnd w:id="61"/>
    <w:bookmarkStart w:id="62" w:name="핵심-요약-3"/>
    <w:p>
      <w:pPr>
        <w:pStyle w:val="Heading2"/>
      </w:pPr>
      <w:r>
        <w:t xml:space="preserve">핵심 요약</w:t>
      </w:r>
    </w:p>
    <w:p>
      <w:pPr>
        <w:numPr>
          <w:ilvl w:val="0"/>
          <w:numId w:val="1008"/>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08"/>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08"/>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08"/>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08"/>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08"/>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08"/>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bookmarkEnd w:id="62"/>
    <w:bookmarkStart w:id="63" w:name="이-장의-참고문헌-3"/>
    <w:p>
      <w:pPr>
        <w:pStyle w:val="Heading2"/>
      </w:pPr>
      <w:r>
        <w:t xml:space="preserve">이 장의 참고문헌</w:t>
      </w:r>
    </w:p>
    <w:p>
      <w:pPr>
        <w:numPr>
          <w:ilvl w:val="0"/>
          <w:numId w:val="1009"/>
        </w:numPr>
        <w:pStyle w:val="Compact"/>
      </w:pPr>
      <w:r>
        <w:t xml:space="preserve">정인호 (2026). 『JEDAIX 사용자 운영 매뉴얼 Base Camp 2 (v9)』. i7/JEDAIX. (제3장·제5~7장, 부록 E)</w:t>
      </w:r>
    </w:p>
    <w:p>
      <w:pPr>
        <w:numPr>
          <w:ilvl w:val="0"/>
          <w:numId w:val="1009"/>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09"/>
        </w:numPr>
        <w:pStyle w:val="Compact"/>
      </w:pPr>
      <w:r>
        <w:t xml:space="preserve">이형근 (2026). 『오픈브레인 시스템 제안: 중소기업 지식경영 프로젝트』. OpenBrain OS 제안서. (원플랫폼+쓰리부스터 아키텍처)</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09"/>
        </w:numPr>
        <w:pStyle w:val="Compact"/>
      </w:pPr>
      <w:r>
        <w:t xml:space="preserve">Object Management Group (2011). Business Process Model and Notation (BPMN) Version 2.0. OMG Standard.</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63"/>
    <w:bookmarkEnd w:id="64"/>
    <w:bookmarkStart w:id="77"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65" w:name="관통하는-문제해결-5단계-전사-ax-방법론으로의-일반화"/>
    <w:p>
      <w:pPr>
        <w:pStyle w:val="Heading2"/>
      </w:pPr>
      <w:r>
        <w:t xml:space="preserve">22.1 관통하는 문제해결 5단계: 전사 AX 방법론으로의 일반화</w:t>
      </w:r>
    </w:p>
    <w:p>
      <w:pPr>
        <w:pStyle w:val="FirstParagraph"/>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65"/>
    <w:bookmarkStart w:id="66"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66"/>
    <w:bookmarkStart w:id="67"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67"/>
    <w:bookmarkStart w:id="70" w:name="도입-유형별-시나리오-두-개의-출발점"/>
    <w:p>
      <w:pPr>
        <w:pStyle w:val="Heading2"/>
      </w:pPr>
      <w:r>
        <w:t xml:space="preserve">22.4 도입 유형별 시나리오: 두 개의 출발점</w:t>
      </w:r>
    </w:p>
    <w:p>
      <w:pPr>
        <w:pStyle w:val="FirstParagraph"/>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68"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68"/>
    <w:bookmarkStart w:id="69"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69"/>
    <w:bookmarkEnd w:id="70"/>
    <w:bookmarkStart w:id="71"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71"/>
    <w:bookmarkStart w:id="74" w:name="성공-판정-kpi와-정직한-평가"/>
    <w:p>
      <w:pPr>
        <w:pStyle w:val="Heading2"/>
      </w:pPr>
      <w:r>
        <w:t xml:space="preserve">22.6 성공 판정 KPI와 정직한 평가</w:t>
      </w:r>
    </w:p>
    <w:bookmarkStart w:id="72"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72"/>
    <w:bookmarkStart w:id="73"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73"/>
    <w:bookmarkEnd w:id="74"/>
    <w:bookmarkStart w:id="75" w:name="핵심-요약-4"/>
    <w:p>
      <w:pPr>
        <w:pStyle w:val="Heading2"/>
      </w:pPr>
      <w:r>
        <w:t xml:space="preserve">핵심 요약</w:t>
      </w:r>
    </w:p>
    <w:p>
      <w:pPr>
        <w:numPr>
          <w:ilvl w:val="0"/>
          <w:numId w:val="1010"/>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10"/>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10"/>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10"/>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10"/>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10"/>
        </w:numPr>
        <w:pStyle w:val="Compact"/>
      </w:pPr>
      <w:r>
        <w:t xml:space="preserve">성공 판정은 KGI 개선을 정점으로, 확정 건수·연환산 손실 추정액·승인율·DTF 준수율 등 관통 5단계의 산출물을 선행지표로 삼는다.</w:t>
      </w:r>
    </w:p>
    <w:p>
      <w:pPr>
        <w:numPr>
          <w:ilvl w:val="0"/>
          <w:numId w:val="1010"/>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75"/>
    <w:bookmarkStart w:id="76" w:name="이-장의-참고문헌-4"/>
    <w:p>
      <w:pPr>
        <w:pStyle w:val="Heading2"/>
      </w:pPr>
      <w:r>
        <w:t xml:space="preserve">이 장의 참고문헌</w:t>
      </w:r>
    </w:p>
    <w:p>
      <w:pPr>
        <w:numPr>
          <w:ilvl w:val="0"/>
          <w:numId w:val="1011"/>
        </w:numPr>
        <w:pStyle w:val="Compact"/>
      </w:pPr>
      <w:r>
        <w:t xml:space="preserve">정인호 (2026). 『JEDAIX 사용자 운영 매뉴얼 Base Camp 2 (v9)』. i7. (본문 인용 표기: JEDAIX 운영 매뉴얼 v9)</w:t>
      </w:r>
    </w:p>
    <w:p>
      <w:pPr>
        <w:numPr>
          <w:ilvl w:val="0"/>
          <w:numId w:val="1011"/>
        </w:numPr>
        <w:pStyle w:val="Compact"/>
      </w:pPr>
      <w:r>
        <w:t xml:space="preserve">정인호 (2026). 『Ontology 기반의 AI-Agent Workflow 구축 (v9)』. i7. (본문 인용 표기: JEDAIX 온톨로지 아키텍처 문서 v9)</w:t>
      </w:r>
    </w:p>
    <w:p>
      <w:pPr>
        <w:numPr>
          <w:ilvl w:val="0"/>
          <w:numId w:val="1011"/>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1"/>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1"/>
        </w:numPr>
        <w:pStyle w:val="Compact"/>
      </w:pPr>
      <w:r>
        <w:t xml:space="preserve">일본 생산관리 고전. 『다품종소량·수주생산의 생산관리』 (본서 연구자료).</w:t>
      </w:r>
    </w:p>
    <w:bookmarkEnd w:id="76"/>
    <w:bookmarkEnd w:id="77"/>
    <w:bookmarkStart w:id="97"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84" w:name="사례-연구-1-반복되는-품질-클레임-그리고-안전재고의-진실"/>
    <w:p>
      <w:pPr>
        <w:pStyle w:val="Heading2"/>
      </w:pPr>
      <w:r>
        <w:t xml:space="preserve">23.1 사례 연구 1 — 반복되는 품질 클레임, 그리고 안전재고의 진실</w:t>
      </w:r>
    </w:p>
    <w:bookmarkStart w:id="78"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78"/>
    <w:bookmarkStart w:id="79"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79"/>
    <w:bookmarkStart w:id="80"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80"/>
    <w:bookmarkStart w:id="81"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81"/>
    <w:bookmarkStart w:id="82"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82"/>
    <w:bookmarkStart w:id="83"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83"/>
    <w:bookmarkEnd w:id="84"/>
    <w:bookmarkStart w:id="88" w:name="사례-연구-2-조립-공정의-병목-계산할-수-없는-것을-사람에게-넘기다"/>
    <w:p>
      <w:pPr>
        <w:pStyle w:val="Heading2"/>
      </w:pPr>
      <w:r>
        <w:t xml:space="preserve">23.2 사례 연구 2 — 조립 공정의 병목: 계산할 수 없는 것을 사람에게 넘기다</w:t>
      </w:r>
    </w:p>
    <w:bookmarkStart w:id="85"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85"/>
    <w:bookmarkStart w:id="86"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86"/>
    <w:bookmarkStart w:id="87"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87"/>
    <w:bookmarkEnd w:id="88"/>
    <w:bookmarkStart w:id="93" w:name="부문별-성과-메커니즘-사각지대-발굴-실행-kpi"/>
    <w:p>
      <w:pPr>
        <w:pStyle w:val="Heading2"/>
      </w:pPr>
      <w:r>
        <w:t xml:space="preserve">23.3 부문별 성과 메커니즘: 사각지대 → 발굴 → 실행 → KPI</w:t>
      </w:r>
    </w:p>
    <w:p>
      <w:pPr>
        <w:pStyle w:val="FirstParagraph"/>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89"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89"/>
    <w:bookmarkStart w:id="90"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90"/>
    <w:bookmarkStart w:id="91"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91"/>
    <w:bookmarkStart w:id="92"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92"/>
    <w:bookmarkEnd w:id="93"/>
    <w:bookmarkStart w:id="94"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94"/>
    <w:bookmarkStart w:id="95" w:name="핵심-요약-5"/>
    <w:p>
      <w:pPr>
        <w:pStyle w:val="Heading2"/>
      </w:pPr>
      <w:r>
        <w:t xml:space="preserve">핵심 요약</w:t>
      </w:r>
    </w:p>
    <w:p>
      <w:pPr>
        <w:numPr>
          <w:ilvl w:val="0"/>
          <w:numId w:val="1012"/>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12"/>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12"/>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12"/>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12"/>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12"/>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12"/>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95"/>
    <w:bookmarkStart w:id="96" w:name="이-장의-참고문헌-5"/>
    <w:p>
      <w:pPr>
        <w:pStyle w:val="Heading2"/>
      </w:pPr>
      <w:r>
        <w:t xml:space="preserve">이 장의 참고문헌</w:t>
      </w:r>
    </w:p>
    <w:p>
      <w:pPr>
        <w:numPr>
          <w:ilvl w:val="0"/>
          <w:numId w:val="1013"/>
        </w:numPr>
        <w:pStyle w:val="Compact"/>
      </w:pPr>
      <w:r>
        <w:t xml:space="preserve">정인호 (2026). 『JEDAIX 사용자 운영 매뉴얼 Base Camp 2 (v9)』. i7. (사례 연구 1·2의 원전 — 가상의 제조회사 A정밀부품㈜ 예시)</w:t>
      </w:r>
    </w:p>
    <w:p>
      <w:pPr>
        <w:numPr>
          <w:ilvl w:val="0"/>
          <w:numId w:val="1013"/>
        </w:numPr>
        <w:pStyle w:val="Compact"/>
      </w:pPr>
      <w:r>
        <w:t xml:space="preserve">정인호 (2026). 『Ontology 기반의 AI-Agent Workflow 구축 (v9)』. i7. (제7부 전체 파이프라인 사례)</w:t>
      </w:r>
    </w:p>
    <w:p>
      <w:pPr>
        <w:numPr>
          <w:ilvl w:val="0"/>
          <w:numId w:val="1013"/>
        </w:numPr>
        <w:pStyle w:val="Compact"/>
      </w:pPr>
      <w:r>
        <w:t xml:space="preserve">중소벤처기업부 (2019). 『스마트공장 보급사업 성과분석』(2014~2017년 도입기업 5,003개사). — 생산성 +30%, 품질 +43.5%, 원가 −15.9%, 납기준수율 +15.5%.</w:t>
      </w:r>
    </w:p>
    <w:p>
      <w:pPr>
        <w:numPr>
          <w:ilvl w:val="0"/>
          <w:numId w:val="1013"/>
        </w:numPr>
        <w:pStyle w:val="Compact"/>
      </w:pPr>
      <w:r>
        <w:t xml:space="preserve">중소벤처기업부 보도자료. 솔젠트 상생형 스마트공장 지원 성과(생산성 +73%, 원가 −55%).</w:t>
      </w:r>
    </w:p>
    <w:p>
      <w:pPr>
        <w:numPr>
          <w:ilvl w:val="0"/>
          <w:numId w:val="1013"/>
        </w:numPr>
        <w:pStyle w:val="Compact"/>
      </w:pPr>
      <w:r>
        <w:t xml:space="preserve">중소기업중앙회 (2022). 대·중소 상생형 스마트공장 도입 성과 분석.</w:t>
      </w:r>
    </w:p>
    <w:p>
      <w:pPr>
        <w:numPr>
          <w:ilvl w:val="0"/>
          <w:numId w:val="1013"/>
        </w:numPr>
        <w:pStyle w:val="Compact"/>
      </w:pPr>
      <w:r>
        <w:t xml:space="preserve">중소벤처기업부 (2025). 『AI 기반 스마트제조혁신 3.0 전략』.</w:t>
      </w:r>
    </w:p>
    <w:p>
      <w:pPr>
        <w:numPr>
          <w:ilvl w:val="0"/>
          <w:numId w:val="1013"/>
        </w:numPr>
        <w:pStyle w:val="Compact"/>
      </w:pPr>
      <w:r>
        <w:t xml:space="preserve">경상남도 스마트공장 지원사업 보도(2022~2023년 도입 439개사 집계; 대성종합열처리 사례 포함).</w:t>
      </w:r>
    </w:p>
    <w:p>
      <w:pPr>
        <w:numPr>
          <w:ilvl w:val="0"/>
          <w:numId w:val="1013"/>
        </w:numPr>
        <w:pStyle w:val="Compact"/>
      </w:pPr>
      <w:r>
        <w:t xml:space="preserve">Odoo 공식 고객 사례 (2024~2025). Zeitgeist, M S Z Corporate Services, A Tech Authority, pro Wirtschaft GT, Kompass GmbH, Lotus Cruises, ENFIDO GmbH, Dh Foods 외. odoo.com/customers.</w:t>
      </w:r>
    </w:p>
    <w:p>
      <w:pPr>
        <w:numPr>
          <w:ilvl w:val="0"/>
          <w:numId w:val="1013"/>
        </w:numPr>
        <w:pStyle w:val="Compact"/>
      </w:pPr>
      <w:r>
        <w:t xml:space="preserve">Novobi (Odoo 골드 파트너) 고객 집계 보고. Odoo Quality 도입 효과(추정 성격).</w:t>
      </w:r>
    </w:p>
    <w:p>
      <w:pPr>
        <w:numPr>
          <w:ilvl w:val="0"/>
          <w:numId w:val="1013"/>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1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13"/>
        </w:numPr>
        <w:pStyle w:val="Compact"/>
      </w:pPr>
      <w:r>
        <w:t xml:space="preserve">Nonaka, I., &amp; Takeuchi, H. (1995).</w:t>
      </w:r>
      <w:r>
        <w:t xml:space="preserve"> </w:t>
      </w:r>
      <w:r>
        <w:rPr>
          <w:iCs/>
          <w:i/>
        </w:rPr>
        <w:t xml:space="preserve">The Knowledge-Creating Company</w:t>
      </w:r>
      <w:r>
        <w:t xml:space="preserve">. Oxford University Press.</w:t>
      </w:r>
    </w:p>
    <w:bookmarkEnd w:id="96"/>
    <w:bookmarkEnd w:id="97"/>
    <w:bookmarkStart w:id="109"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98"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98"/>
    <w:bookmarkStart w:id="99"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99"/>
    <w:bookmarkStart w:id="103"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101" name="Picture"/>
            <a:graphic>
              <a:graphicData uri="http://schemas.openxmlformats.org/drawingml/2006/picture">
                <pic:pic>
                  <pic:nvPicPr>
                    <pic:cNvPr descr="figures/fig_E1_thirdbrain.png" id="102" name="Picture"/>
                    <pic:cNvPicPr>
                      <a:picLocks noChangeArrowheads="1" noChangeAspect="1"/>
                    </pic:cNvPicPr>
                  </pic:nvPicPr>
                  <pic:blipFill>
                    <a:blip r:embed="rId100"/>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103"/>
    <w:bookmarkStart w:id="104"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104"/>
    <w:bookmarkStart w:id="105"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105"/>
    <w:bookmarkStart w:id="106"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106"/>
    <w:bookmarkStart w:id="107"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107"/>
    <w:bookmarkStart w:id="108"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2026-08-03T07:59:54Z</dcterms:created>
  <dcterms:modified xsi:type="dcterms:W3CDTF">2026-08-03T07:59:54Z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