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하며, 개정판에서 그림과 비유 중심의 네 개 장(18~21장)으로 새로 썼다.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관리판이 정확한 공장에서는 납기가 지켜졌다. 5S가 무너진 곳에서는 어떤 관리 기법도 모래 위의 성이었다.</w:t>
      </w:r>
    </w:p>
    <w:p>
      <w:pPr>
        <w:pStyle w:val="BodyText"/>
      </w:pPr>
      <w:r>
        <w:t xml:space="preserve">한 세대 전, 후쿠시마 선생의 『동기ERP』는 이 현장의 규율과 전사 시스템을 잇는 다리를 놓았다 — ERP가 큰 계획을 세우고 현장의 풀(pull)이 그것을 실시간으로 동기화한다는 역할 분담의 사상이다. 나는 그 책으로 표준의 시대를 배웠고, 이 책은 그 계보 위에서 같은 질문을 AI의 시대에 다시 묻는 시도다. 당시의 나는 3정5S를 공장 바닥의 기술로만 이해했다. 그것이 실은 정보 시스템의 원형이었고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관리판만 걸면 관리판이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관리판,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관리판과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관리판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Odoo(오도)가 라이선스 비용 없는 모듈형 오픈소스 ERP라는 선택지를 만들었다는 것, 데이터는 폭증했지만 판단 능력은 정체해 기록과 판단의 간극이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61"/>
    <w:bookmarkStart w:id="62"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돌므로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 번역본).</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관리판을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관리판, 작업표, 발송, 진도관리, POP — 을 해부하고 ’데이터로 보는 관리’로의 전환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관리판(공정관리판)이다.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관리판은 간트 차트이고, 카드 이동이 일정 수정이니 스케줄러다. 한 세대 전의 현장은 자석과 종이로 오늘의 도구를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관리판이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7"/>
    <w:bookmarkStart w:id="91" w:name="디지털-대응물-odoo-위의-관리판작업표pop"/>
    <w:p>
      <w:pPr>
        <w:pStyle w:val="Heading2"/>
      </w:pPr>
      <w:r>
        <w:t xml:space="preserve">3.5 디지털 대응물: Odoo 위의 관리판·작업표·POP</w:t>
      </w:r>
    </w:p>
    <w:p>
      <w:pPr>
        <w:pStyle w:val="CaptionedFigure"/>
      </w:pPr>
      <w:r>
        <w:drawing>
          <wp:inline>
            <wp:extent cx="3429000" cy="2214562"/>
            <wp:effectExtent b="0" l="0" r="0" t="0"/>
            <wp:docPr descr="그림 3-1. 관리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관리판이다.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관리판 카드 항목은 작업 오더 레코드와 같고, 관리판·발송판은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4"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장 번호가 8에서 다시 시작하는 것은 2부가 1부 방법론을 하나의 플랫폼 위에서 모듈별로 실행하는 적용편이기 때문이다.</w:t>
      </w:r>
    </w:p>
    <w:p>
      <w:pPr>
        <w:pStyle w:val="BodyText"/>
      </w:pPr>
      <w:r>
        <w:t xml:space="preserve">진단을 나가면 나는 시스템 구성도부터 화이트보드에 그려 달라고 한다. 어느 소비재 기업의 그림을 기억한다. 쇼핑몰은 임대형 솔루션, 재고는 엑셀 세 개, 회계는 세무사와 공유하는 패키지, 생산 지시는 카카오톡 — 그 사이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Odoo(오도)의 가치는 이 장면에 압축되어 있다 — 기능의 목록이 아니라 화살표의 소멸.</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 — 대기업용뿐인 ERP에서 배제된 중소기업이다. 2005년 그의 답이 오픈소스 TinyERP다. ’Tiny’는 겸손이 아니라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w:t>
            </w:r>
          </w:p>
        </w:tc>
      </w:tr>
      <w:tr>
        <w:tc>
          <w:tcPr/>
          <w:p>
            <w:pPr>
              <w:pStyle w:val="Compact"/>
              <w:jc w:val="left"/>
            </w:pPr>
            <w:r>
              <w:t xml:space="preserve">2025</w:t>
            </w:r>
          </w:p>
        </w:tc>
        <w:tc>
          <w:tcPr/>
          <w:p>
            <w:pPr>
              <w:pStyle w:val="Compact"/>
              <w:jc w:val="left"/>
            </w:pPr>
            <w:r>
              <w:t xml:space="preserve">Odoo 19: AI 전면 통합</w:t>
            </w:r>
          </w:p>
        </w:tc>
      </w:tr>
    </w:tbl>
    <w:p>
      <w:pPr>
        <w:pStyle w:val="BodyText"/>
      </w:pPr>
      <w:r>
        <w:t xml:space="preserve">2015년 오픈코어 전환으로 핵심 기능은 LGPL의 커뮤니티 에디션(CE)으로, 고급 기능과 클라우드는 유료 엔터프라이즈 에디션(EE)으로 나뉘었다. 2024년 기업가치 50억 유로(TechCrunch, 2024)에 이르렀고, 2025년 Odoo 19는 AI 에이전트와 자연어 질의를 표준 탑재하며 ’AI 네이티브 ERP’를 선언했다(15장에서 해부한다).</w:t>
      </w:r>
    </w:p>
    <w:p>
      <w:pPr>
        <w:pStyle w:val="BodyText"/>
      </w:pPr>
      <w:r>
        <w:t xml:space="preserve">이 책의 원플랫폼+쓰리부스터 아키텍처는 라이선스 제로와 데이터 주권 원칙에서 CE를 출발점으로 삼지만 교조는 아니다. AI 청구서 캡처나 스튜디오의 생산성이 명확하면 EE가 합리적이다. 판단 기준은 에디션이 아니라 단일 DB 위에 일관된 코드로 데이터가 쌓이는가다.</w:t>
      </w:r>
    </w:p>
    <w:p>
      <w:pPr>
        <w:pStyle w:val="BodyText"/>
      </w:pPr>
      <w:r>
        <w:t xml:space="preserve">생태계는 플랫폼 수명의 담보다. 공식 파트너 약 4천, OCA 검증 모듈 수백 개, 서드파티 모듈 1만 6천여 개가 구축과 로컬라이제이션을 받친다. 반면 한국의 파트너 저변은 얇다(국내 시장은 SAP·더존비즈온 중심 — 한국IDC, 2024). 이 공백은 리스크이자</w:t>
      </w:r>
      <w:r>
        <w:t xml:space="preserve"> </w:t>
      </w:r>
      <w:r>
        <w:t xml:space="preserve">‘</w:t>
      </w:r>
      <w:r>
        <w:t xml:space="preserve">전 부문 통합+오픈소스+AI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3429000" cy="2042808"/>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 모든 앱이 하나의 PostgreSQL 데이터베이스를 공유한다. 고객(res.partner) 한 레코드가 CRM에서는 리드의 주체, 판매에서는 주문자, 회계에서는 채권의 상대방이다. 70여 개 앱은 이 공유 스키마 위의 관점들일 뿐이어서, 새 앱을 설치해도 쌓인 데이터가 그대로 마스터가 된다.</w:t>
      </w:r>
    </w:p>
    <w:p>
      <w:pPr>
        <w:pStyle w:val="BodyText"/>
      </w:pPr>
      <w:r>
        <w:t xml:space="preserve">같은 고객이 쇼핑몰 회원 테이블·회계 거래처 원장·CRM 엑셀에 각각 사는 한, 2장의 정위치는 규율로 달성할 수 없다. Odoo의 단일 데이터베이스는 이를 구조로 푼다 — 사실이 살 자리가 아키텍처 수준에서 한 곳뿐이다. 이것이 ’데이터 정위치의 플랫폼적 보장’이다. 같은 원리로 3장의 눈으로 보는 관리는 전사 공유를 기본값으로 얻고, ORM 스키마가 이미 기업 활동의 스키마이므로 서드브레인 구축은 관계를 의미 기반 그래프로 승격시키는 작업이 된다(7장).</w:t>
      </w:r>
    </w:p>
    <w:p>
      <w:pPr>
        <w:pStyle w:val="BodyText"/>
      </w:pPr>
      <w:r>
        <w:t xml:space="preserve">단, 플랫폼의 보장은 정위치까지다. 틀린 값을 넣으면 전사로 즉시 공유되므로 디지털 3정5S는 단일 플랫폼에서 더 절실해진다. 그 자리를 깨끗하게 유지하는 것이 2부 각 장의 컨설팅 과제다.</w:t>
      </w:r>
    </w:p>
    <w:p>
      <w:pPr>
        <w:pStyle w:val="BlockText"/>
      </w:pPr>
      <w:r>
        <w:rPr>
          <w:bCs/>
          <w:b/>
        </w:rPr>
        <w:t xml:space="preserve">사례</w:t>
      </w:r>
      <w:r>
        <w:t xml:space="preserve"> </w:t>
      </w:r>
      <w:r>
        <w:t xml:space="preserve">스위스 침구 제조사 Albis는 제품 1,900종·변형 5,600개를 통합해 주문 즉시 자재 소요량이 산출되는 수요계획을 구현했고, 독일 센서 제조사 Kompass는 다단계 BOM 통합으로 제조 생산성을 최대 50% 끌어올렸다(Odoo 공식 고객 사례).</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 장들이 전제하는 1부의 다섯 방법론을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 → 말하는 → 추론하는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분기마다 돌던 개선 사이클을 데이터와 LLM이 상시로 돌린다. 승인 게이트와 검정이 안전장치다</w:t>
            </w:r>
          </w:p>
        </w:tc>
        <w:tc>
          <w:tcPr/>
          <w:p>
            <w:pPr>
              <w:pStyle w:val="Compact"/>
              <w:jc w:val="left"/>
            </w:pPr>
            <w:r>
              <w:t xml:space="preserve">대표 KPI 하나의 개선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1/4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순서여서 그대로 프로젝트 문서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3429000" cy="1920239"/>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모듈을 배치하면 2부의 지도가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 흐름으로 다시 그리면 사슬은 한 줄의 파이프라인이다.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 데이터 흐름은 모듈 경계에서 끊기지 않고(17장에서 종합), 별도 장이 없는 앱들도 같은 원장 위에 있어 각 장의 원리가 유추 적용되며,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파편화의 부채를 진다. Odoo의 모듈러 아키텍처는 제3의 길이다. CRM 하나로 시작해도 데이터는 처음부터 단일 원장에 쌓여 확장마다 이관이 없다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확장하며 매출 3배·마진 15% 개선을 이뤘다(Odoo 공식 고객 사례).</w:t>
      </w:r>
    </w:p>
    <w:p>
      <w:pPr>
        <w:pStyle w:val="FirstParagraph"/>
      </w:pPr>
      <w:r>
        <w:t xml:space="preserve">시작 모듈은 업종과 병목이 결정한다(온라인 판매 중심 9·12장, 수주형 제조 10·13장, 마감 병목 14장 — 시나리오는 17장). 불변의 선행 조건은 하나 — 첫 모듈을 열기 전에 그 기준정보에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원천)·확장(부스터를 위한 API·DB 개방성)·리스크(커스터마이징 거버넌스·업그레이드 비용·한국 로컬라이제이션 공백)의 3면 검토여야 한다. 아홉 항목으로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지능형 ERP의 토대가 된다. 다음 장은 고객이 기업을 처음 만나는 웹사이트·이커머스다.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실행서이며, 모듈 장은 공통 8절 구조를 따른다.</w:t>
      </w:r>
    </w:p>
    <w:p>
      <w:pPr>
        <w:numPr>
          <w:ilvl w:val="0"/>
          <w:numId w:val="1017"/>
        </w:numPr>
        <w:pStyle w:val="Compact"/>
      </w:pPr>
      <w:r>
        <w:t xml:space="preserve">Odoo는 2005년 TinyERP로 출발, 2015년 CE/EE 오픈코어 전환을 거쳐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단일 원장에 쌓여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제조사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분기마다 보내는 PDF 속에 있었고, 주문은 매일 아침 직원이 내려받아 엑셀 재고표와 대조했다. 필요한 것은 더 예쁜 홈페이지가 아니라 고객 접점의 데이터가 경영의 질문에 답하는 구조였다. 이 모듈의 컨설팅은 디자인이 아니라 데이터에서 시작한다.</w:t>
      </w:r>
    </w:p>
    <w:p>
      <w:pPr>
        <w:pStyle w:val="BodyText"/>
      </w:pPr>
      <w:r>
        <w:t xml:space="preserve">이 모듈이 답할 질문은 다섯 — 신규 고객은 어디서 오는가, 전환율은 어디서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 8장 단일 원장의 가치가 가장 선명한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3429000" cy="1785937"/>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고객 유입부터 최종 배송까지 하나로 연결</w:t>
      </w:r>
      <w:r>
        <w:t xml:space="preserve">”</w:t>
      </w:r>
      <w:r>
        <w:t xml:space="preserve">이다(Odoo 공식 소개자료). 빌딩 블록을 드래그 앤 드롭으로 배치하고, AI 디자이너가 산업군·테마 선택만으로 초안을 만들며, AI 비서가 문구와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청구서·출고 지시가 자동 생성된다.</w:t>
      </w:r>
      <w:r>
        <w:t xml:space="preserve"> </w:t>
      </w:r>
      <w:r>
        <w:t xml:space="preserve">‘</w:t>
      </w:r>
      <w:r>
        <w:t xml:space="preserve">주문 다운로드 후 ERP 재입력</w:t>
      </w:r>
      <w:r>
        <w:t xml:space="preserve">’</w:t>
      </w:r>
      <w:r>
        <w:t xml:space="preserve"> </w:t>
      </w:r>
      <w:r>
        <w:t xml:space="preserve">공정 자체가 없다. 업셀링·프로모션 엔진, PG·배송·마켓플레이스 연동, 고객 포털까지가 표준 범위다.</w:t>
      </w:r>
    </w:p>
    <w:p>
      <w:pPr>
        <w:pStyle w:val="BlockText"/>
      </w:pPr>
      <w:r>
        <w:rPr>
          <w:bCs/>
          <w:b/>
        </w:rPr>
        <w:t xml:space="preserve">사례</w:t>
      </w:r>
      <w:r>
        <w:t xml:space="preserve"> </w:t>
      </w:r>
      <w:r>
        <w:t xml:space="preserve">사우디 주얼리 소매 Fayendra는 제품 11만 개 카탈로그로 오픈 1년 만에 매출 110만 리얄을 달성했고, 오스트리아 PIEPS는 웹숍 완전 통합으로 리포팅 효율을 60% 개선했다(Odoo 공식 고객 사례).</w:t>
      </w:r>
    </w:p>
    <w:p>
      <w:pPr>
        <w:pStyle w:val="FirstParagraph"/>
      </w:pPr>
      <w:r>
        <w:t xml:space="preserve">기억할 것은 둘. 이 모듈은 사이트를 만들지만 트래픽은 만들어 주지 않는다. 진짜 자산은 페이지가 아니라 방문부터 결제까지의 행동 데이터가 거래 원장과 같은 DB에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체계(색상·사이즈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 주문·고객의 단일 레코드 수렴, 정품은 사이트 상품 정보와 마스터·실물의 일치, 정량은 표시 재고와 창고 실물의 일치다(무너지면 품절 상품이 팔린다).</w:t>
      </w:r>
    </w:p>
    <w:p>
      <w:pPr>
        <w:pStyle w:val="BodyText"/>
      </w:pPr>
      <w:r>
        <w:t xml:space="preserve">5S의 실행 항목. 정리 — 판매 종료 SKU·죽은 페이지·만료 쿠폰을 보관(archive) 처리한다(죽은 상품은 전환율 분모 오염이다). 정돈 — 5S의 심장이다. 1품목 1코드를 고유 제약으로 강제하고, 카테고리를 ’고객의 탐색 경로’로 설계하며, 상품명·UTM 명명 규칙을 문서화한다. 청소 —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확인한다.</w:t>
      </w:r>
    </w:p>
    <w:p>
      <w:pPr>
        <w:pStyle w:val="BodyText"/>
      </w:pPr>
      <w:r>
        <w:t xml:space="preserve">행동 데이터에는 개인정보의 3정을 더한다. 수집 범위·보존 기간·동의 체계는 규제 대응 이전에 정품의 문제다 — 동의 없이 수집된 데이터는 불용 재고다.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3429000" cy="2385391"/>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3429000" cy="2385391"/>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퍼널이다. 방문→조회→장바구니→결제→완료의 대시보드를 한 화면에 두고, 단계마다 관리 한계로 정상과 이상의 경계를 새긴다.</w:t>
      </w:r>
      <w:r>
        <w:t xml:space="preserve"> </w:t>
      </w:r>
      <w:r>
        <w:t xml:space="preserve">“</w:t>
      </w:r>
      <w:r>
        <w:t xml:space="preserve">어제 어느 단계에서 몇 명이 빠졌는가</w:t>
      </w:r>
      <w:r>
        <w:t xml:space="preserve">”</w:t>
      </w:r>
      <w:r>
        <w:t xml:space="preserve">에 10초 안에 답하면 합격이다.</w:t>
      </w:r>
    </w:p>
    <w:p>
      <w:pPr>
        <w:pStyle w:val="BodyText"/>
      </w:pPr>
      <w:r>
        <w:t xml:space="preserve">말하는 단계는 자동 경보다. 회수 메일에 더해 이탈률 경보, 재주문점 자동 발주 요청(11장), 품절 임박 상품의 광고 중단 검토 경보가 울린다 — 판매와 재고가 같은 원장에 있기에 가능한 연동이다.</w:t>
      </w:r>
    </w:p>
    <w:p>
      <w:pPr>
        <w:pStyle w:val="BodyText"/>
      </w:pPr>
      <w:r>
        <w:t xml:space="preserve">추론하는 단계는 행동 스트림이 쌓인 뒤의 교차판매 추천·이탈 세션 개입·수요예측이다. Odoo 표준은 규칙 기반 제안까지이므로 학습 기반 추론은 서드브레인 부스터의 첫 적용 지점이다(16장).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기업(월 방문 4만,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 첫 표시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 영향 시뮬레이션을 거칠 것</w:t>
      </w:r>
      <w:r>
        <w:t xml:space="preserve">”</w:t>
      </w:r>
      <w:r>
        <w:t xml:space="preserve">)가 다음 회전 Define 후보로 등록된다.</w:t>
      </w:r>
    </w:p>
    <w:p>
      <w:pPr>
        <w:pStyle w:val="FirstParagraph"/>
      </w:pPr>
      <w:r>
        <w:t xml:space="preserve">이 3주에서 사람이 한 일은 정의·대책 승인과 맥락 제공뿐이다. 감으로 배너를 바꿨을 문제가 한 회전으로 원인·검증된 대책·상시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맡기면 1인 운영자도 수백 SKU를 관리한다. 대화형 접점 — 채팅 AI 에이전트는 사내 지식문서를 RAG로 참조하므로 지식센터 정비(15장의 지식 3정5S)가 곧 챗봇의 품질이다. 행동 데이터 기반 추론 — 추천·이탈 예측·수요예측은 온톨로지 그래프와 ML을 얹는 서드브레인의 몫이다.</w:t>
      </w:r>
    </w:p>
    <w:p>
      <w:pPr>
        <w:pStyle w:val="BodyText"/>
      </w:pPr>
      <w:r>
        <w:t xml:space="preserve">자연어 질의는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 수집 범위와 개인정보 동의 체계가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읽히는가, 전 채널 주문의 시스템 수렴률이 95%를 넘는가. 흔한 실패는 넷 — 마스터 정비 없는 오픈(1~2주차 생략 금지), 국내 결제·물류 연동 비용의 견적 누락(착수 전 명기), 재고 이중 관리로 인한 품절 판매 사고(정위치를 단일 원장으로 확정), 디자인 예산 소진(</w:t>
      </w:r>
      <w:r>
        <w:t xml:space="preserve">‘</w:t>
      </w:r>
      <w:r>
        <w:t xml:space="preserve">충분히 좋은</w:t>
      </w:r>
      <w:r>
        <w:t xml:space="preserve">’</w:t>
      </w:r>
      <w:r>
        <w:t xml:space="preserve"> </w:t>
      </w:r>
      <w:r>
        <w:t xml:space="preserve">표준 블록 원칙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통합(전기의 소멸은 인건비 이전에 데이터 품질 문제다), 방문·주문·고객 데이터가 자사 DB에 남는 데이터 소유(서드브레인의 전제),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수준이고, 초대형 트래픽은 별도 부하 검증이 필요하다.</w:t>
      </w:r>
    </w:p>
    <w:p>
      <w:pPr>
        <w:pStyle w:val="BodyText"/>
      </w:pPr>
      <w:r>
        <w:t xml:space="preserve">따라서 국내 실무의 정답은 대체가 아니라 병행이다. 스마트스토어는 네이버쇼핑 검색이라는 결정적 유입을, 카페24는 국내 최적화 결제·물류 인프라를 갖는다(카페24 공개 자료, 2025). Odoo의 비교 우위는 판매 채널이 아니라 운영 시스템이다. 권장 구성은 단계적 하이브리드 — 스마트스토어로 시장을 검증하고, 재고·정산이 병목이 되면 Odoo를 운영 허브로 도입해 전 채널 주문을 수렴시키며, 브랜드 자산화 단계에 자사몰로 무게중심을 옮긴다. 원칙은 하나 — 판매는 여러 채널이어도 주문·고객·재고의 정위치는 처음부터 하나다.</w:t>
      </w:r>
    </w:p>
    <w:bookmarkEnd w:id="211"/>
    <w:bookmarkStart w:id="212" w:name="핵심-요약-8"/>
    <w:p>
      <w:pPr>
        <w:pStyle w:val="Heading2"/>
      </w:pPr>
      <w:r>
        <w:t xml:space="preserve">핵심 요약</w:t>
      </w:r>
    </w:p>
    <w:p>
      <w:pPr>
        <w:numPr>
          <w:ilvl w:val="0"/>
          <w:numId w:val="1020"/>
        </w:numPr>
        <w:pStyle w:val="Compact"/>
      </w:pPr>
      <w:r>
        <w:t xml:space="preserve">컨설팅은 디자인이 아니라 경영의 질문에서 시작한다. KPI는 방문·전환율·객단가·이탈률·재구매율, 기능의 핵심은</w:t>
      </w:r>
      <w:r>
        <w:t xml:space="preserve"> </w:t>
      </w:r>
      <w:r>
        <w:t xml:space="preserve">“</w:t>
      </w:r>
      <w:r>
        <w:t xml:space="preserve">판매와 동시에 재고·회계가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w:t>
      </w:r>
    </w:p>
    <w:p>
      <w:pPr>
        <w:numPr>
          <w:ilvl w:val="0"/>
          <w:numId w:val="1020"/>
        </w:numPr>
        <w:pStyle w:val="Compact"/>
      </w:pPr>
      <w:r>
        <w:t xml:space="preserve">DMAIC: 전환율 하락을 Define, 모바일 배송비 노출 문제를 확정, A/B 검증으로 관리도를 신설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세 담당자의 수첩과 엑셀, 지난주 통화의 느낌을 합한 숫자였다. 출하와 생산은 시스템의 숫자였는데, 입구(수주)만 감(感)이었다. 확정 전의 활동은 아직 ’기록할 거래’가 아니어서 영업은 ERP가 가장 늦게 도달한 영역이지만, 그 데이터야말로 예측의 원료다. 확정된 수주는 이미 과거이고, 미래는 파이프라인 위에 있다.</w:t>
      </w:r>
    </w:p>
    <w:p>
      <w:pPr>
        <w:pStyle w:val="BodyText"/>
      </w:pPr>
      <w:r>
        <w:t xml:space="preserve">CRM·판매가 답할 질문은 넷 — 다음 달 수주는 얼마인가(단계별 금액×전환율의 가중 기대치), 어느 리드에 집중할 것인가, 우리는 왜 지는가, 영업의 약속과 실행은 일치하는가(1부 3장). KPI는 수주전환율·가중 파이프라인 금액·영업 사이클·실주 사유 분포·예측 정확도 — 어느 것도 설치만으로 계산되지 않으며, 이 장의 나머지는 그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예상 수익·성공 확률·다음 활동이 표시된다. 웹 문의 폼(9장)·이메일에서 리드가 자동 생성되고, 소통 이력이 타임라인에 쌓이며, AI가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확정과 동시에 재고·제조·회계로 이어지는 연쇄다(영업 효율 40% 향상 — pro Wirtschaft GT 사례).</w:t>
      </w:r>
    </w:p>
    <w:p>
      <w:pPr>
        <w:pStyle w:val="BodyText"/>
      </w:pPr>
      <w:r>
        <w:t xml:space="preserve">본질은 둘 — 칸반은 베테랑 머릿속의 진행 상황을 팀의 형식지로 만드는 강제 구조화 장치(SECI의 표출화 — Nonaka &amp; Takeuchi, 1995), 판매 모듈은 영업의 약속과 실행을 같은 DB에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 정품은 카드 값의 표준 표기, 정량은 파이프라인 숫자와 실제 상담의 일치다.</w:t>
      </w:r>
    </w:p>
    <w:p>
      <w:pPr>
        <w:pStyle w:val="BodyText"/>
      </w:pPr>
      <w:r>
        <w:rPr>
          <w:bCs/>
          <w:b/>
        </w:rPr>
        <w:t xml:space="preserve">정리</w:t>
      </w:r>
      <w:r>
        <w:t xml:space="preserve"> </w:t>
      </w:r>
      <w:r>
        <w:t xml:space="preserve">— 90일 이상 활동 없는 휴면 기회의 빨간 패 판정과 중복 거래처 병합.</w:t>
      </w:r>
      <w:r>
        <w:t xml:space="preserve"> </w:t>
      </w:r>
      <w:r>
        <w:rPr>
          <w:bCs/>
          <w:b/>
        </w:rPr>
        <w:t xml:space="preserve">정돈</w:t>
      </w:r>
      <w:r>
        <w:t xml:space="preserve"> </w:t>
      </w:r>
      <w:r>
        <w:t xml:space="preserve">— 5S의 심장, 제1 대상은 파이프라인 단계의 정의다. ’제안’이 영업자마다 다른 뜻이면 전환율은 허구다. 진입 조건을 한 문장으로 정의한 ’단계 사전’을 만들고, 단계는 4~7개, 실주 사유는 판별 가능한 코드로 강제한다.</w:t>
      </w:r>
      <w:r>
        <w:t xml:space="preserve"> </w:t>
      </w:r>
      <w:r>
        <w:rPr>
          <w:bCs/>
          <w:b/>
        </w:rPr>
        <w:t xml:space="preserve">청소</w:t>
      </w:r>
      <w:r>
        <w:t xml:space="preserve"> </w:t>
      </w:r>
      <w:r>
        <w:t xml:space="preserve">— 수주일 경과·금액 0·담당자 없는 카드의 정기 교정.</w:t>
      </w:r>
      <w:r>
        <w:t xml:space="preserve"> </w:t>
      </w:r>
      <w:r>
        <w:rPr>
          <w:bCs/>
          <w:b/>
        </w:rPr>
        <w:t xml:space="preserve">청결</w:t>
      </w:r>
      <w:r>
        <w:t xml:space="preserve"> </w:t>
      </w:r>
      <w:r>
        <w:t xml:space="preserve">— 필수 필드와 사유 코드.</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3429000" cy="2143125"/>
            <wp:effectExtent b="0" l="0" r="0" t="0"/>
            <wp:docPr descr="그림 10-1. 영업 파이프라인 칸반 — 단계 열·기회 카드·AI 점수가 보이는 디지털 관리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rPr>
          <w:bCs/>
          <w:b/>
        </w:rPr>
        <w:t xml:space="preserve">보이는 단계.</w:t>
      </w:r>
      <w:r>
        <w:t xml:space="preserve"> </w:t>
      </w:r>
      <w:r>
        <w:t xml:space="preserve">칸반은 1부 3장 공정관리판의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 활동 공백 경보(</w:t>
      </w:r>
      <w:r>
        <w:t xml:space="preserve">‘</w:t>
      </w:r>
      <w:r>
        <w:t xml:space="preserve">다음 활동</w:t>
      </w:r>
      <w:r>
        <w:t xml:space="preserve">’</w:t>
      </w:r>
      <w:r>
        <w:t xml:space="preserve"> </w:t>
      </w:r>
      <w:r>
        <w:t xml:space="preserve">없는 기회를 매일 제로로), 커버리지 경보(목표 대비 가중 파이프라인 3배 미만이면 한 분기 전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예측으로 집계되어 12장 재고 보충과 13장 MPS에 수요 신호로 흘러든다. 단, 예측치는 2~3분기의 규율 있는 입력이 쌓이기 전까지 참고 신호다.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 리듬·제안 경쟁력이 압축된 성적표다. 배경은 파이프라인 규율 1년 차의 가상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4분기 평균 24%의 전환율이 최근 분기 18%로 연속 하강(관리도 이상 신호). 정의문</w:t>
            </w:r>
            <w:r>
              <w:t xml:space="preserve"> </w:t>
            </w:r>
            <w:r>
              <w:t xml:space="preserve">“</w:t>
            </w:r>
            <w:r>
              <w:t xml:space="preserve">CTQ=기회→수주 전환율, 범위=최근 2분기 종결 214건, 목표=24% 회복</w:t>
            </w:r>
            <w:r>
              <w:t xml:space="preserve">”</w:t>
            </w:r>
            <w:r>
              <w:t xml:space="preserve">을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실주 사유 31%가 ’기타’라 소급 태깅, 특정 팀 활동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하락은 전시회 리드·특정 제품군에 집중. 실주 사유 최다는 ’가격’이나 실주 기회의 견적 소요 9일은 수주 기회(3일)의 3배 — 응답 지연이 선행 요인(실주율 2.4배, 검정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책임자가 승인,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 48시간 규칙의 자동 활동·에스컬레이션화, 견적 리드타임 관리도 신설. 잔여 과제</w:t>
            </w:r>
            <w:r>
              <w:t xml:space="preserve"> </w:t>
            </w:r>
            <w:r>
              <w:t xml:space="preserve">“</w:t>
            </w:r>
            <w:r>
              <w:t xml:space="preserve">전시회 리드 품질 검증</w:t>
            </w:r>
            <w:r>
              <w:t xml:space="preserve">”</w:t>
            </w:r>
            <w:r>
              <w:t xml:space="preserve">은 다음 회전 Define 후보로</w:t>
            </w:r>
          </w:p>
        </w:tc>
        <w:tc>
          <w:tcPr/>
          <w:p>
            <w:pPr>
              <w:pStyle w:val="Compact"/>
              <w:jc w:val="left"/>
            </w:pPr>
            <w:r>
              <w:t xml:space="preserve">환류된 표준, 신규 관리도</w:t>
            </w:r>
          </w:p>
        </w:tc>
      </w:tr>
    </w:tbl>
    <w:p>
      <w:pPr>
        <w:pStyle w:val="BodyText"/>
      </w:pPr>
      <w:r>
        <w:t xml:space="preserve">주목할 것 — 개선이 시스템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사람의 일은 두 번의 판단(정의 승인·대책 선별)뿐이다.</w:t>
      </w:r>
    </w:p>
    <w:bookmarkEnd w:id="222"/>
    <w:bookmarkStart w:id="226" w:name="지능형-ai-적용-포인트-1"/>
    <w:p>
      <w:pPr>
        <w:pStyle w:val="Heading2"/>
      </w:pPr>
      <w:r>
        <w:t xml:space="preserve">10.6 지능형 AI 적용 포인트</w:t>
      </w:r>
    </w:p>
    <w:p>
      <w:pPr>
        <w:pStyle w:val="CaptionedFigure"/>
      </w:pPr>
      <w:r>
        <w:drawing>
          <wp:inline>
            <wp:extent cx="3429000" cy="2042808"/>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 계산(리드 스코어링), 입력 대행(AI Fields 추출, 통화 전사·요약, Odoo 19 에이전트의 리드 생성·견적 발송), 콘텐츠 생성(이메일·제안 문구)이다(Odoo 19 Release Notes, 2025). ’입력 안 하는 영업사원’이라는 CRM 최대 문제의 해법이 ’AI가 받아 적게 하라’로 이동 중이다.</w:t>
      </w:r>
    </w:p>
    <w:p>
      <w:pPr>
        <w:pStyle w:val="BodyText"/>
      </w:pPr>
      <w:r>
        <w:t xml:space="preserve">서드브레인 확장이 더하는 것은 관계의 추론이다. 전 이력을 온톨로지 지식그래프에 적재하면 ’왜 이 점수인가’가 설명되는 예측을 얻고, 수주·실주의 활동 시퀀스 비교로 ’이기는 영업 리듬’이 형식지화되며, GraphRAG 질의 계층(16장)이 갖춰지면</w:t>
      </w:r>
      <w:r>
        <w:t xml:space="preserve"> </w:t>
      </w:r>
      <w:r>
        <w:t xml:space="preserve">“</w:t>
      </w:r>
      <w:r>
        <w:t xml:space="preserve">이번 분기 위험한 건은?</w:t>
      </w:r>
      <w:r>
        <w:t xml:space="preserve">”</w:t>
      </w:r>
      <w:r>
        <w:t xml:space="preserve">에 근거와 함께 답한다.</w:t>
      </w:r>
    </w:p>
    <w:p>
      <w:pPr>
        <w:pStyle w:val="BodyText"/>
      </w:pPr>
      <w:r>
        <w:t xml:space="preserve">경계는 둘 — 되돌리기 어려운 행동(고객 커뮤니케이션·가격 제안)은 AI 초안·사람 승인(1부 5장), 실패 데이터의 보존이다. 실주 카드의 조용한 삭제는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w:t>
      </w:r>
      <w:r>
        <w:t xml:space="preserve"> </w:t>
      </w:r>
      <w:r>
        <w:t xml:space="preserve">①분기 수주 예측을 시스템 데이터로 몇 분 안에 뽑는가 ②단계 진입 조건이 문서화됐는가 ③거래처 중복률 ④휴면 기회 금액 비중 ⑤실주 사유</w:t>
      </w:r>
      <w:r>
        <w:t xml:space="preserve"> </w:t>
      </w:r>
      <w:r>
        <w:t xml:space="preserve">‘</w:t>
      </w:r>
      <w:r>
        <w:t xml:space="preserve">기타</w:t>
      </w:r>
      <w:r>
        <w:t xml:space="preserve">’</w:t>
      </w:r>
      <w:r>
        <w:t xml:space="preserve"> </w:t>
      </w:r>
      <w:r>
        <w:t xml:space="preserve">비율 ⑥’다음 활동’ 공백 카드 수 ⑦견적 발송 소요를 측정하는가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등록, 리드 자동 유입,</w:t>
      </w:r>
      <w:r>
        <w:t xml:space="preserve"> </w:t>
      </w:r>
      <w:r>
        <w:t xml:space="preserve">‘</w:t>
      </w:r>
      <w:r>
        <w:t xml:space="preserve">다음 활동 제로</w:t>
      </w:r>
      <w:r>
        <w:t xml:space="preserve">’</w:t>
      </w:r>
      <w:r>
        <w:t xml:space="preserve"> </w:t>
      </w:r>
      <w:r>
        <w:t xml:space="preserve">규칙)과 영업 회의의 화면 전환. 5~8주차: 판매의 표준화(견적 템플릿·가격표, 할인 승인 통제). 9~12주차: 관리의 지능화(체류 한계·경보, 리포트 기반 회의). AI 스코어링은 이력이 쌓인 2~3분기 후에 켠다.</w:t>
      </w:r>
    </w:p>
    <w:p>
      <w:pPr>
        <w:pStyle w:val="BodyText"/>
      </w:pPr>
      <w:r>
        <w:rPr>
          <w:bCs/>
          <w:b/>
        </w:rPr>
        <w:t xml:space="preserve">성공 판정.</w:t>
      </w:r>
      <w:r>
        <w:t xml:space="preserve"> </w:t>
      </w:r>
      <w:r>
        <w:t xml:space="preserve">수주 예측을 회의 중 즉석 조회하는가, 커버리지·전환율·사이클이 분기 단위 관리도 위에서 논의되는가, 실주 사유 ’기타’가 10% 아래인가, 예측 정확도가 회전마다 개선되는가(매출 증가는 시장 변수가 섞여 단독 기준이 아니다).</w:t>
      </w:r>
    </w:p>
    <w:p>
      <w:pPr>
        <w:pStyle w:val="BodyText"/>
      </w:pPr>
      <w:r>
        <w:rPr>
          <w:bCs/>
          <w:b/>
        </w:rPr>
        <w:t xml:space="preserve">흔한 실패와 회피법.</w:t>
      </w:r>
      <w:r>
        <w:t xml:space="preserve"> </w:t>
      </w:r>
      <w:r>
        <w:t xml:space="preserve">단계 과다 설계(4~7단계로 시작). CRM의 감시 도구화 — 기록이 질책의 근거가 되면 방어적 입력이 시작되므로, 기록이 자기 영업에 도움이 되는 화면으로 돌아오게 한다. 스코어 맹신·전면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이직해도 고객의 역사가 남는 가시화, 수주 즉시 재고·제조·회계가 움직여 별도 ERP 연동 프로젝트가 없는 원생적 연결, 무료로 시작해 확장하는 낮은 진입 장벽(1부 6장과 맞물린다).</w:t>
      </w:r>
    </w:p>
    <w:p>
      <w:pPr>
        <w:pStyle w:val="BodyText"/>
      </w:pPr>
      <w:r>
        <w:t xml:space="preserve">한계는 표대로다 — 전문 CRM 대비 기능 깊이·마케팅 자동화의 격차, 명함·카카오톡 중심 국내 관행과의 간극. 가장 근본적인 것은 입력 규율 — 모든 CRM의 실패 원인 1순위이며, 이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 제조·유통 중소기업은 기능 깊이 대신 실행과의 거리 0이 유리하고, 수백 명 조직의 정교한 영업 프로세스가 본질이면 전문 CRM이 맞다. 더해 데이터 주권 — 파이프라인 이력이 자사 DB에 있어 온톨로지 구축(16장)의 원료로 즉시 쓰인다.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첫째가</w:t>
      </w:r>
      <w:r>
        <w:t xml:space="preserve"> </w:t>
      </w:r>
      <w:r>
        <w:t xml:space="preserve">“</w:t>
      </w:r>
      <w:r>
        <w:t xml:space="preserve">수요예측을 통한 영업 지능화</w:t>
      </w:r>
      <w:r>
        <w:t xml:space="preserve">”</w:t>
      </w:r>
      <w:r>
        <w:t xml:space="preserve">이고, 그 실행 무대가 이 장이다. 상류 의사결정은 모두</w:t>
      </w:r>
      <w:r>
        <w:t xml:space="preserve"> </w:t>
      </w:r>
      <w:r>
        <w:t xml:space="preserve">“</w:t>
      </w:r>
      <w:r>
        <w:t xml:space="preserve">얼마나 팔릴 것인가</w:t>
      </w:r>
      <w:r>
        <w:t xml:space="preserve">”</w:t>
      </w:r>
      <w:r>
        <w:t xml:space="preserve">에 기대고, 예측된 수요는 재고 재주문 규칙과 제조 MPS로 흘러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전체가 만드는 전망이며, 10.3절의 정돈이 될수록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 실증인 M5 대회(월마트 42,840개 시계열)의 교훈은 셋이다(Makridakis et al., 2022). 기계학습이 전통 통계보다 22.4% 정확했다 — 단, 외부 변수(가격·판촉·요일)를 결합했을 때다. 제품군 수준에서 예측해 하향 배분하는 계층적 예측이 안정적이다. 점 예측보다 구간 예측이 안전재고·능력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갱신하고 ②가 재계산한 예측을 ③이 통계 관문(백테스트 MAPE)·심볼릭 관문(±40% 급변 자동 반영 금지)으로 거르고, 통과분만 ④가 영업 액션으로 번역하며, 사람은 ④ 승인(HITL)과 ⑤ 오차 리뷰에서 개입한다. 3부 20장의 언어로, 뉴럴(②)의 제안을 심볼릭(③)이 검증하고 사람이 통치하는 뉴로-심볼릭 루프의 영업판이다.</w:t>
      </w:r>
    </w:p>
    <w:p>
      <w:pPr>
        <w:pStyle w:val="BodyText"/>
      </w:pPr>
      <w:r>
        <w:t xml:space="preserve">도입은 세 걸음 — 1개월 차 데이터 정돈과 예측 보고서의 운영 회의 표준 화면화(수작업 예측 폐지), 2~3개월 차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칸반은 영업 암묵지의 형식지화 장치다.</w:t>
      </w:r>
    </w:p>
    <w:p>
      <w:pPr>
        <w:numPr>
          <w:ilvl w:val="0"/>
          <w:numId w:val="1022"/>
        </w:numPr>
        <w:pStyle w:val="Compact"/>
      </w:pPr>
      <w:r>
        <w:t xml:space="preserve">3정5S의 심장은 정돈(단계 사전·1사 1코드·실주 사유 코드), 눈으로 보는 관리는 칸반(보이는)→정체·공백·커버리지 경보(말하는)→예측의 수요 신호화(추론하는)다.</w:t>
      </w:r>
    </w:p>
    <w:p>
      <w:pPr>
        <w:numPr>
          <w:ilvl w:val="0"/>
          <w:numId w:val="1022"/>
        </w:numPr>
        <w:pStyle w:val="Compact"/>
      </w:pPr>
      <w:r>
        <w:t xml:space="preserve">DMAIC: 표면 사유(가격) 뒤의 진짜 원인(견적 응답 지연)을 확정하고, 견적 템플릿과 48시간 규칙으로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 파이프라인으로 상시화된다 — M5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유통사에서 나는 구매 과장의 책상 서랍에서 조달 시스템 전부를 보았다 — 업체별 단가 수첩, 견적서 팩스 뭉치, 발주 이력 엑셀. 과장은 유능했지만 그 지식은 회사가 아니라 과장의 것이었다. 그가 이직하자 발주 시점을 놓쳐 결품이 났고, 신임 담당자는 관행보다 7% 비싼 견적에 서명했으며, 아무도 몰랐다. 기업의 돈은 판매에서 들어오지만 대부분 구매에서 나간다. 그럼에도 많은 중소기업에서 조달 기록은 개인의 기억으로만 존재한다.</w:t>
      </w:r>
    </w:p>
    <w:p>
      <w:pPr>
        <w:pStyle w:val="BodyText"/>
      </w:pPr>
      <w:r>
        <w:t xml:space="preserve">매입(Purchase) 모듈이 답할 질문은 세 겹이다.</w:t>
      </w:r>
      <w:r>
        <w:t xml:space="preserve"> </w:t>
      </w:r>
      <w:r>
        <w:rPr>
          <w:bCs/>
          <w:b/>
        </w:rPr>
        <w:t xml:space="preserve">언제, 얼마나 발주할 것인가</w:t>
      </w:r>
      <w:r>
        <w:t xml:space="preserve"> </w:t>
      </w:r>
      <w:r>
        <w:t xml:space="preserve">— 결품은 판매 기회를, 과잉은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한 업체가 멈추면 어떤 고객 납기가 무너지는가. 크랄리치가 구매를 ’공급 관리’로 격상하라고 요구한 이래(Kraljic, 1983) 이는 경영의 의제다. KPI는 납기준수율·단가 이상·결품 건수·발주 리드타임·단일 소싱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3429000" cy="2832652"/>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3429000" cy="2832652"/>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매입 모듈은 공급업체 관리·견적 요청(RFQ)·발주(PO)·입고·대금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반영한 선제 보충이 엑셀과의 본질적 차이이며, 무재고 품목에는 MTO(주문 기반 조달)를 적용한다. 복수 업체 RFQ의 가격·납기를 비교해 낙찰 건만 PO로 확정하고, 업체별 가격표가 발주 시 자동 적용된다. 입고 확정 시 재고와 자산 계정이 동시 갱신되고, 청구서는 PO·입고와 3단계 대조(3-way match)되어 불일치가 걸러진다(Odoo 공식 소개자료).</w:t>
      </w:r>
    </w:p>
    <w:p>
      <w:pPr>
        <w:pStyle w:val="BlockText"/>
      </w:pPr>
      <w:r>
        <w:rPr>
          <w:bCs/>
          <w:b/>
        </w:rPr>
        <w:t xml:space="preserve">사례</w:t>
      </w:r>
      <w:r>
        <w:t xml:space="preserve"> </w:t>
      </w:r>
      <w:r>
        <w:t xml:space="preserve">한 F&amp;B 기업은</w:t>
      </w:r>
      <w:r>
        <w:t xml:space="preserve"> </w:t>
      </w:r>
      <w:r>
        <w:t xml:space="preserve">“</w:t>
      </w:r>
      <w:r>
        <w:t xml:space="preserve">매일 70개 레스토랑, 1,000여 건의 주문을 완벽하게 처리한다</w:t>
      </w:r>
      <w:r>
        <w:t xml:space="preserve">”</w:t>
      </w:r>
      <w:r>
        <w:t xml:space="preserve">고 말한다(Odoo 공식 소개자료). 재주문 규칙이 초안을 만들고 사람은 예외만 승인하는 구조가 이 처리량을 흡수한다. 크루즈 운영사 Lotus Cruises는 승인 자동화로 주문 처리를 1개월에서 1~2일로 줄였다(Odoo 고객 사례).</w:t>
      </w:r>
    </w:p>
    <w:p>
      <w:pPr>
        <w:pStyle w:val="FirstParagraph"/>
      </w:pPr>
      <w:r>
        <w:t xml:space="preserve">본질은 두 전환 — 반복 발주를 규칙의 집행으로 바꿔 사람을 승인·예외에 집중시키는 것, 공급업체 평가를 인상에서 트랜잭션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바뀐다 — 암묵지의 표출화다(Nonaka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업체·중복 코드를 빨간 패로 보관(archive)하고, 죽은 가격표(자동 적용되면 오발주의 원인)를 버린다.</w:t>
      </w:r>
      <w:r>
        <w:t xml:space="preserve"> </w:t>
      </w:r>
      <w:r>
        <w:rPr>
          <w:bCs/>
          <w:b/>
        </w:rPr>
        <w:t xml:space="preserve">정돈</w:t>
      </w:r>
      <w:r>
        <w:t xml:space="preserve">의 핵심은 사업자번호 기준 1사 1코드와 단가 이력이다. 가격표를 유효기간과 함께 등록하면 단가는 시계열이 되어</w:t>
      </w:r>
      <w:r>
        <w:t xml:space="preserve"> </w:t>
      </w:r>
      <w:r>
        <w:t xml:space="preserve">“</w:t>
      </w:r>
      <w:r>
        <w:t xml:space="preserve">이 인상은 적정한가</w:t>
      </w:r>
      <w:r>
        <w:t xml:space="preserve">”</w:t>
      </w:r>
      <w:r>
        <w:t xml:space="preserve">가 비교된다. 발주의 정위치 원칙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대조 허용 오차의 규정화다.</w:t>
      </w:r>
      <w:r>
        <w:t xml:space="preserve"> </w:t>
      </w:r>
      <w:r>
        <w:rPr>
          <w:bCs/>
          <w:b/>
        </w:rPr>
        <w:t xml:space="preserve">습관화</w:t>
      </w:r>
      <w:r>
        <w:t xml:space="preserve">의 핵심은 리드타임의 정량 — 입고를 발생 시점에 기록하면 리드타임이 추정에서 측정 분포로 진화하고, 4장의 계획 버퍼는 그 위에서만 정확하다.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3429000" cy="2310847"/>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3429000" cy="2310847"/>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대기→완료의 발주 현황판이 조달의 관리판이다. 회신 없는 RFQ, 예정일 지난 PO가 이상으로 드러난다.</w:t>
      </w:r>
      <w:r>
        <w:t xml:space="preserve"> </w:t>
      </w:r>
      <w:r>
        <w:rPr>
          <w:bCs/>
          <w:b/>
        </w:rPr>
        <w:t xml:space="preserve">말하는 단계.</w:t>
      </w:r>
      <w:r>
        <w:t xml:space="preserve"> </w:t>
      </w:r>
      <w:r>
        <w:t xml:space="preserve">세 경보 — 납기 지연, 3단계 대조 불일치, 무응답 RFQ(독촉은 n8n으로 보완 — 11.8절).</w:t>
      </w:r>
      <w:r>
        <w:t xml:space="preserve"> </w:t>
      </w:r>
      <w:r>
        <w:rPr>
          <w:bCs/>
          <w:b/>
        </w:rPr>
        <w:t xml:space="preserve">추론하는 단계.</w:t>
      </w:r>
      <w:r>
        <w:t xml:space="preserve"> </w:t>
      </w:r>
      <w:r>
        <w:t xml:space="preserve">가격 이상 탐지(평소 분포를 벗어난 인상·업체 간 편차)가 서두의</w:t>
      </w:r>
      <w:r>
        <w:t xml:space="preserve"> </w:t>
      </w:r>
      <w:r>
        <w:t xml:space="preserve">“</w:t>
      </w:r>
      <w:r>
        <w:t xml:space="preserve">7% 비싼 견적</w:t>
      </w:r>
      <w:r>
        <w:t xml:space="preserve">”</w:t>
      </w:r>
      <w:r>
        <w:t xml:space="preserve">을 막고, 준수율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KPI는 공급업체 납기준수율 — 조달 데이터 품질의 종합 지표이자 생산·고객 납기의 상류 지표다.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생산 일정 변경 월 6건.</w:t>
            </w:r>
            <w:r>
              <w:t xml:space="preserve"> </w:t>
            </w:r>
            <w:r>
              <w:t xml:space="preserve">“</w:t>
            </w:r>
            <w:r>
              <w:t xml:space="preserve">CTQ=요청 납기 대비 지연, 범위=6개월 PO 1,240건, 준수율 84%→목표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결함 발견 — 요청 납기의</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3사 집중, A사 준수율 91%→72%(유의), 리드타임 분산 2배.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규율과 11.3절의 3정5S가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AI 청구서 캡처(인식률 98%)가 매입 청구서 입력을 무인화한다(Odoo 공식 소개자료). 판단의 층은 그 밖에 있다. 첫째, 재주문점의 동적 재산정 — 수요예측 모델이 재산정하고 n8n이 규칙 값으로 되돌리면 발주 자동화는 학습하는 정책으로 진화한다(1부 5장의 조달판). 둘째, 4장 일정계획 연동 — MPS·frePPLe의 유한능력 계획이 장납기 자재의 구매 제안을 시점까지 전개한다. 셋째, 공급 리스크 그래프 — 공급업체-품목-BOM-제품-고객 연결을 지식그래프에 적재하면</w:t>
      </w:r>
      <w:r>
        <w:t xml:space="preserve"> </w:t>
      </w:r>
      <w:r>
        <w:t xml:space="preserve">“</w:t>
      </w:r>
      <w:r>
        <w:t xml:space="preserve">A사가 멈추면 어떤 고객 납기가 영향받는가</w:t>
      </w:r>
      <w:r>
        <w:t xml:space="preserve">”</w:t>
      </w:r>
      <w:r>
        <w:t xml:space="preserve">가 즉답된다(16장). 끝으로 담당자의 암묵지를 승인된 노트의 LLM 추출로 온톨로지에 합류시킨다.</w:t>
      </w:r>
    </w:p>
    <w:bookmarkEnd w:id="247"/>
    <w:bookmarkStart w:id="248" w:name="컨설팅-가이드-2"/>
    <w:p>
      <w:pPr>
        <w:pStyle w:val="Heading2"/>
      </w:pPr>
      <w:r>
        <w:t xml:space="preserve">11.7 컨설팅 가이드</w:t>
      </w:r>
    </w:p>
    <w:p>
      <w:pPr>
        <w:pStyle w:val="FirstParagraph"/>
      </w:pPr>
      <w:r>
        <w:rPr>
          <w:bCs/>
          <w:b/>
        </w:rPr>
        <w:t xml:space="preserve">진단 질문.</w:t>
      </w:r>
      <w:r>
        <w:t xml:space="preserve"> </w:t>
      </w:r>
      <w:r>
        <w:t xml:space="preserve">①모든 발주가 PO로 나가는가. ②중복·휴면 업체 코드는 몇 %인가. ③가격표가 유효기간과 함께 관리되는가. ④단가 변경 이력을 추적하는가.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뽑는가. ①⑤가 ’아니오’면 어떤 분석도 허수 — 발주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선행). 3~4주차: 발주 전산 일원화 — 전 발주의 PO 전환, 입고 발생 시점 기록, 3단계 대조 가동. 5~8주차: A등급부터 재주문 규칙 확대(일괄 금물), RFQ 비교 견적·독촉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리드타임이 줄었는가, 준수율·단가 변동이 관리도에서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잘못 발주한다), 전 품목 일괄 재주문 규칙(ABC 선별이 원칙), 이중 채널 방치(사후 입력은 리드타임 측정을 무너뜨린다 — 긴급도 모바일 PO로), 성과 데이터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 — 발주-입고-재고-회계의 단일 DB 자동 연동, 예측 재고 기반의 선제 보충, 조달 지식의 조직 자산화, 플랫폼 포함 비용 구조. 한계 — RFQ 후속 관리가 수동이고(자동 독촉 부재, Sourced, 2025), 공급업체 스코어카드가 없으며, 일부 기능은 Enterprise 전용이고, 입찰·계약·지출 분석 등 전략 구매 기능이 없다. 재주문 규칙도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 체급을 벗어나고, 국내 회계 SW 관행은 매입을 전표로만 기록한다 — 운영 구매를 ERP와 한 몸으로 자동화하는 중간 지점이 Odoo 매입의 위치다. 다만 전략 품목(단일 소싱 핵심 자재·병목)의 관리는 경영의 일이며, 시스템의 몫은 그 품목을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이상·결품·단일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발주 현황판(보이는)→납기 지연·대조 불일치·무응답 RFQ 경보(말하는)→가격 이상 탐지·공급 리스크 예측(추론하는).</w:t>
      </w:r>
    </w:p>
    <w:p>
      <w:pPr>
        <w:numPr>
          <w:ilvl w:val="0"/>
          <w:numId w:val="1024"/>
        </w:numPr>
        <w:pStyle w:val="Compact"/>
      </w:pPr>
      <w:r>
        <w:t xml:space="preserve">DMAIC(납기준수율 84%→92%)가 보여주듯 자의 검증(MSA)과 3정5S가 루프의 전제다. AI 적용은 재주문점 동적 재산정·일정계획 연동·공급 리스크 그래프·암묵지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3429000" cy="2236304"/>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3429000" cy="2236304"/>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기록은 수량이 맞지 않을 때 원인을 추적할 수 없다. Odoo의 기본 단위는 수량이 아니라 출발·도착 위치를 가진 이동(stock move)이다(공급업체·고객·실사 손익·생산은 가상 위치).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처리한다(GS1-128, 오프라인 지원 —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차단하고, 경로(route)가 풋어웨이·크로스도킹·멀티스텝·드롭쉬핑을 설정으로 정의한다 — 11장 재주문 규칙의 실행 무대다.</w:t>
      </w:r>
    </w:p>
    <w:p>
      <w:pPr>
        <w:pStyle w:val="BodyText"/>
      </w:pPr>
      <w:r>
        <w:rPr>
          <w:bCs/>
          <w:b/>
        </w:rPr>
        <w:t xml:space="preserve">재고평가.</w:t>
      </w:r>
      <w:r>
        <w:t xml:space="preserve"> </w:t>
      </w:r>
      <w:r>
        <w:t xml:space="preserve">FIFO·평균법(AVCO)·표준원가법을 지원하며, 계속기록법에서는 모든 이동이 즉시 재고 자산과 매출원가에 반영된다. 평가법은 도입 초기에 확정한다(14장).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3429000" cy="2214562"/>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다는 물리의 정돈과 위치 마스터에 창고-구역-랙-칸의 계층을 세우는 데이터의 정돈이 같은 작업의 양면이며(독일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 처리가 같은 날 이루어진다.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재계산·환류하는 동적 안전재고다(Silver, Pyke &amp; Peterson, 1998)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결함·도난의 신호를 띄우는 이상 탐지와 지식그래프 위의 자연어 질의가 서드브레인 확장의 몫이다. 이동 데이터는 위치·로트를 노드로, 이동을 엣지로 읽으면 변환 없이 그래프가 된다 —</w:t>
      </w:r>
      <w:r>
        <w:t xml:space="preserve"> </w:t>
      </w:r>
      <w:r>
        <w:t xml:space="preserve">“</w:t>
      </w:r>
      <w:r>
        <w:t xml:space="preserve">공급업체 A의 3월 입고 로트가 섞인 완제품은 어느 고객에게 나갔는가?</w:t>
      </w:r>
      <w:r>
        <w:t xml:space="preserve">”</w:t>
      </w:r>
      <w:r>
        <w:t xml:space="preserve">(리콜 범위).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수행하고 추적 수준·재고평가 방법을 확정한다. 3~4주차: 전 품목 실사로 기초 재고를 적재한다 — 부정확한 기초 재고는 이중 기록을 무력화하므로 타협이 없다. 5~8주차: 바코드를 입고 검수부터 피킹·이송·실사로 단계 도입하고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3429000" cy="2239346"/>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기록의 데이터 무결성, 판매·구매·제조·회계와의 네이티브 통합(별도 WMS의 동기화 시차가 원천적으로 없다), 피킹 전략·경로 규칙을 설정만으로 실험하는 유연성, 바코드·GS1 기본 포함.</w:t>
      </w:r>
    </w:p>
    <w:p>
      <w:pPr>
        <w:pStyle w:val="BodyText"/>
      </w:pPr>
      <w:r>
        <w:rPr>
          <w:bCs/>
          <w:b/>
        </w:rPr>
        <w:t xml:space="preserve">한계.</w:t>
      </w:r>
      <w:r>
        <w:t xml:space="preserve"> </w:t>
      </w:r>
      <w:r>
        <w:t xml:space="preserve">하루 수만 건 피킹의 대형 물류센터급 운영에는 전문 WMS가 필요하다(ERP Research, 2026). 자동창고·소터·AGV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다. 중소·중견 규모에서 한계가 실제 제약이 되는 경우는 드물지만, 물류가 본업이라면 전문 WMS 병행의 임계점을 미리 정의한다. 원칙은 하나 — 재고의 단일 진실은 Odoo에 두고, 채널과 현장은 그 입출력 단자로 삼는다(16장).</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반영한다. 사람은 정책 승인(월)과 예외 검토(일)에서 개입하고, ⑤의 결품·과잉 기록이 다음 달 계산의 교사가 된다. 3부 20장의 InventoryBufferAgent는 ②~⑤가 JEDAIX 위에서 실장된 모습이다.</w:t>
      </w:r>
    </w:p>
    <w:p>
      <w:pPr>
        <w:pStyle w:val="BodyText"/>
      </w:pPr>
      <w:r>
        <w:t xml:space="preserve">도입은 세 걸음 — 1개월 차 재고 정확도·리드타임 실적 정비, 2~3개월 차 ABC-XYZ 분류와 동적 안전재고 재계산, 4개월 차 이후 MPS·frePPLe 연동.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 첫날 사장에게 묻는다.</w:t>
      </w:r>
      <w:r>
        <w:t xml:space="preserve"> </w:t>
      </w:r>
      <w:r>
        <w:t xml:space="preserve">“</w:t>
      </w:r>
      <w:r>
        <w:t xml:space="preserve">다음 주 납기 주문 중 위험한 것은 몇 건입니까?</w:t>
      </w:r>
      <w:r>
        <w:t xml:space="preserve">”</w:t>
      </w:r>
      <w:r>
        <w:t xml:space="preserve"> </w:t>
      </w:r>
      <w:r>
        <w:t xml:space="preserve">“</w:t>
      </w:r>
      <w:r>
        <w:t xml:space="preserve">병목 공정은 어디입니까?</w:t>
      </w:r>
      <w:r>
        <w:t xml:space="preserve">”</w:t>
      </w:r>
      <w:r>
        <w:t xml:space="preserve"> </w:t>
      </w:r>
      <w:r>
        <w:t xml:space="preserve">“</w:t>
      </w:r>
      <w:r>
        <w:t xml:space="preserve">지난달 가장 남는 제품과 밑지는 제품은?</w:t>
      </w:r>
      <w:r>
        <w:t xml:space="preserve">”</w:t>
      </w:r>
      <w:r>
        <w:t xml:space="preserve"> </w:t>
      </w:r>
      <w:r>
        <w:t xml:space="preserve">어느 도금가공 기업의 사장은 셋 모두</w:t>
      </w:r>
      <w:r>
        <w:t xml:space="preserve"> </w:t>
      </w:r>
      <w:r>
        <w:t xml:space="preserve">“</w:t>
      </w:r>
      <w:r>
        <w:t xml:space="preserve">공장장에게 물어봐야 한다</w:t>
      </w:r>
      <w:r>
        <w:t xml:space="preserve">”</w:t>
      </w:r>
      <w:r>
        <w:t xml:space="preserve"> </w:t>
      </w:r>
      <w:r>
        <w:t xml:space="preserve">했고, 공장장은 첫 질문에 수첩을 꺼냈고 둘째는</w:t>
      </w:r>
      <w:r>
        <w:t xml:space="preserve"> </w:t>
      </w:r>
      <w:r>
        <w:t xml:space="preserve">“</w:t>
      </w:r>
      <w:r>
        <w:t xml:space="preserve">그때그때 다르다</w:t>
      </w:r>
      <w:r>
        <w:t xml:space="preserve">”</w:t>
      </w:r>
      <w:r>
        <w:t xml:space="preserve">, 셋째는</w:t>
      </w:r>
      <w:r>
        <w:t xml:space="preserve"> </w:t>
      </w:r>
      <w:r>
        <w:t xml:space="preserve">“</w:t>
      </w:r>
      <w:r>
        <w:t xml:space="preserve">경리가 월말에 뽑는다</w:t>
      </w:r>
      <w:r>
        <w:t xml:space="preserve">”</w:t>
      </w:r>
      <w:r>
        <w:t xml:space="preserve">였다. 세 사람 모두 성실했고 ERP도 있었다. 그러나 계획은 수첩에, 실적은 종이 일보에, 원가는 월말 엑셀에 있었다 — 계획-실행-품질-설비-원가가 다섯 개의 섬인 한국 중소 제조의 표준 병리다.</w:t>
      </w:r>
    </w:p>
    <w:p>
      <w:pPr>
        <w:pStyle w:val="BodyText"/>
      </w:pPr>
      <w:r>
        <w:t xml:space="preserve">제조 모듈이 답할 질문은 이 셋 — 납기, 병목, 원가의 실시간성 — 의 정식화다. KPI는 납기준수율·리드타임·OEE(설비종합효율)·실제 원가 차이다. 1부의 방법론(3장 POP, 4장 부품전개, 5장 DMAIC, 7장 공정편성·디지털 트윈)이 한 모듈 위에 실장되는 무대다.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3429000" cy="1399591"/>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3429000" cy="1399591"/>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ISA-95의 ERP-MES-제어(PLC/SCADA) 계층마다 별도 솔루션을 세우는 전통 구축은 인터페이스 비용과 시차에 부딪힌다. Odoo는 이 계층을 단일 데이터베이스로 접어, 완료 터치 한 번에 재공·소진·원가·납기가 함께 갱신되게 한다.</w:t>
      </w:r>
    </w:p>
    <w:p>
      <w:pPr>
        <w:pStyle w:val="BodyText"/>
      </w:pPr>
      <w:r>
        <w:rPr>
          <w:bCs/>
          <w:b/>
        </w:rPr>
        <w:t xml:space="preserve">BOM과 MRP — 4장의 직계.</w:t>
      </w:r>
      <w:r>
        <w:t xml:space="preserve"> </w:t>
      </w:r>
      <w:r>
        <w:t xml:space="preserve">BOM은 구조형 부품표의 직역으로 다단계·키트·변형·부산물을 지원한다. MRP는 수요에서 소요를 전개하고 재고·발주 잔량을 공제해 제조·구매 제안을 만든다 — 부품전개의 자동화다. 공통품은 MTS, 사양품은 MTO 라우트 — 제번·추번의 이식이다.</w:t>
      </w:r>
    </w:p>
    <w:p>
      <w:pPr>
        <w:pStyle w:val="BodyText"/>
      </w:pPr>
      <w:r>
        <w:rPr>
          <w:bCs/>
          <w:b/>
        </w:rPr>
        <w:t xml:space="preserve">MPS와 S&amp;OP.</w:t>
      </w:r>
      <w:r>
        <w:t xml:space="preserve"> </w:t>
      </w:r>
      <w:r>
        <w:t xml:space="preserve">S&amp;OP 실패의 첫째 이유는 회의에 올릴 단일한 숫자의 부재이며, 같은 데이터베이스의 수요·공급을 한 화면에 놓는 MPS가 그 숫자다(한계는 13.8절).</w:t>
      </w:r>
    </w:p>
    <w:p>
      <w:pPr>
        <w:pStyle w:val="BodyText"/>
      </w:pPr>
      <w:r>
        <w:rPr>
          <w:bCs/>
          <w:b/>
        </w:rPr>
        <w:t xml:space="preserve">작업 현장 태블릿 — 3장 POP의 환생.</w:t>
      </w:r>
      <w:r>
        <w:t xml:space="preserve"> </w:t>
      </w:r>
      <w:r>
        <w:t xml:space="preserve">지시·작업표준서가 뜨는 태블릿의 시작·완료 터치가 실적 시각·노무비·소진·검사를 동시에 갱신한다 — 작업일보 폐지, 생산 시점 실적 수집이라는 POP의 원리다.</w:t>
      </w:r>
    </w:p>
    <w:p>
      <w:pPr>
        <w:pStyle w:val="BodyText"/>
      </w:pPr>
      <w:r>
        <w:rPr>
          <w:bCs/>
          <w:b/>
        </w:rPr>
        <w:t xml:space="preserve">품질·유지보수·PLM·IoT.</w:t>
      </w:r>
      <w:r>
        <w:t xml:space="preserve"> </w:t>
      </w:r>
      <w:r>
        <w:t xml:space="preserve">품질 관리 지점(QCP)이 입고·공정·출하에서 검사를 자동 발동하고, 불합격 작업은 다음 단계로 못 간다 — 품질이 작업의 관문이다. 유지보수 모듈은 MTBF·MTTR 계산과 예방정비 오더 생성을 맡는다. PLM의 중심은 설계변경지시(ECO) — 구버전 도면의 불량 로트는 변경 관리의 실패다. IoT 박스는 주변기기용 경량 게이트웨이일 뿐 PLC/SCADA의 대체가 아니다.</w:t>
      </w:r>
    </w:p>
    <w:p>
      <w:pPr>
        <w:pStyle w:val="BodyText"/>
      </w:pPr>
      <w:r>
        <w:rPr>
          <w:bCs/>
          <w:b/>
        </w:rPr>
        <w:t xml:space="preserve">원가와 추적성.</w:t>
      </w:r>
      <w:r>
        <w:t xml:space="preserve"> </w:t>
      </w:r>
      <w:r>
        <w:t xml:space="preserve">작업 시간은 워크센터별 시간당 비용과, 소진은 12장의 평가 단가와 곱해져 완료 시점에 실제 원가가 확정된다 — 서두 셋째 질문의 답이다. 원자재-완제품 로트 계보도 자동 기록된다.</w:t>
      </w:r>
    </w:p>
    <w:p>
      <w:pPr>
        <w:pStyle w:val="BlockText"/>
      </w:pPr>
      <w:r>
        <w:rPr>
          <w:bCs/>
          <w:b/>
        </w:rPr>
        <w:t xml:space="preserve">사례</w:t>
      </w:r>
      <w:r>
        <w:t xml:space="preserve"> </w:t>
      </w:r>
      <w:r>
        <w:t xml:space="preserve">서열 납입 지연이 라인 정지 배상으로 이어지는 업종에서</w:t>
      </w:r>
      <w:r>
        <w:t xml:space="preserve"> </w:t>
      </w:r>
      <w:r>
        <w:t xml:space="preserve">“</w:t>
      </w:r>
      <w:r>
        <w:t xml:space="preserve">1분 1초</w:t>
      </w:r>
      <w:r>
        <w:t xml:space="preserve">”</w:t>
      </w:r>
      <w:r>
        <w:t xml:space="preserve">는 거래 자격이다. 독일 Kompass GmbH는 제조·재고 통합으로 생산성을 최대 50% 높였다(Odoo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급소는 셋이다. 첫째,</w:t>
      </w:r>
      <w:r>
        <w:t xml:space="preserve"> </w:t>
      </w:r>
      <w:r>
        <w:rPr>
          <w:bCs/>
          <w:b/>
        </w:rPr>
        <w:t xml:space="preserve">BOM 정확도 — 정품</w:t>
      </w:r>
      <w:r>
        <w:t xml:space="preserve">. 현물과 다른 BOM으로 돌린 MRP는 자동화된 오류만 생산한다. 도입 시 실물 대조로 실사하고(EBOM→MBOM, 볼트류 제외 — 1부 4장), 이후 ECO로만 변경한다. 둘째,</w:t>
      </w:r>
      <w:r>
        <w:t xml:space="preserve"> </w:t>
      </w:r>
      <w:r>
        <w:rPr>
          <w:bCs/>
          <w:b/>
        </w:rPr>
        <w:t xml:space="preserve">실적의 실시간성 — 정량</w:t>
      </w:r>
      <w:r>
        <w:t xml:space="preserve">, 곧 기록 시각과 발생 시각의 일치. 일보의 익일 재입력은 수량이 맞아도 시간이 거짓 — 리드타임 분포·병목 탐지가 허구가 된다. 첫 감사 항목은 타임스탬프 분포 — 퇴근 직전 몰아치기는 형해화의 신호다. 셋째,</w:t>
      </w:r>
      <w:r>
        <w:t xml:space="preserve"> </w:t>
      </w:r>
      <w:r>
        <w:rPr>
          <w:bCs/>
          <w:b/>
        </w:rPr>
        <w:t xml:space="preserve">불량·고장 코드의 정돈</w:t>
      </w:r>
      <w:r>
        <w:t xml:space="preserve">. 같은 고장을 ’소음’과 ’진동’으로 달리 적으면 다른 사건이 된다(1부 2장). 현장이 3초 안에 고를 코드체계라야 경험이 통계가,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3429000" cy="1785937"/>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 칸반이 디지털 관리판, 간트가 발송판이며, 지연 주문의 적색이 원전의 페인트 구획을 재현한다. 성공 판정은</w:t>
      </w:r>
      <w:r>
        <w:t xml:space="preserve"> </w:t>
      </w:r>
      <w:r>
        <w:t xml:space="preserve">“</w:t>
      </w:r>
      <w:r>
        <w:t xml:space="preserve">그 주문 어디까지 갔습니까</w:t>
      </w:r>
      <w:r>
        <w:t xml:space="preserve">”</w:t>
      </w:r>
      <w:r>
        <w:t xml:space="preserve">라는 전화의 소멸이다.</w:t>
      </w:r>
    </w:p>
    <w:p>
      <w:pPr>
        <w:pStyle w:val="BodyText"/>
      </w:pPr>
      <w:r>
        <w:rPr>
          <w:bCs/>
          <w:b/>
        </w:rPr>
        <w:t xml:space="preserve">2단계, 말하는 공장.</w:t>
      </w:r>
      <w:r>
        <w:t xml:space="preserve"> </w:t>
      </w:r>
      <w:r>
        <w:t xml:space="preserve">지연·재공 한계 이탈·품질 경고 반복이 이벤트가 되고, n8n이 맥락을 붙여 LLM이</w:t>
      </w:r>
      <w:r>
        <w:t xml:space="preserve"> </w:t>
      </w:r>
      <w:r>
        <w:t xml:space="preserve">“</w:t>
      </w:r>
      <w:r>
        <w:t xml:space="preserve">서브조립 2공정 재공이 관리 한계의 1.8배, 영향 수주 A사 외 3건</w:t>
      </w:r>
      <w:r>
        <w:t xml:space="preserve">”</w:t>
      </w:r>
      <w:r>
        <w:t xml:space="preserve">처럼 아침에 브리핑한다. 정보가 계층 아닌 역할을 따라 병렬 배달된다.</w:t>
      </w:r>
    </w:p>
    <w:p>
      <w:pPr>
        <w:pStyle w:val="BodyText"/>
      </w:pPr>
      <w:r>
        <w:rPr>
          <w:bCs/>
          <w:b/>
        </w:rPr>
        <w:t xml:space="preserve">3단계, 추론하는 공장.</w:t>
      </w:r>
      <w:r>
        <w:t xml:space="preserve"> </w:t>
      </w:r>
      <w:r>
        <w:t xml:space="preserve">이번 주 병목은 frePPLe 부하 분석이, 구조적 병목은 그래프 중심성이 짚는다(1부 7장). 실적으로 학습한 모델이 납기를</w:t>
      </w:r>
      <w:r>
        <w:t xml:space="preserve"> </w:t>
      </w:r>
      <w:r>
        <w:t xml:space="preserve">“</w:t>
      </w:r>
      <w:r>
        <w:t xml:space="preserve">중앙값 16일, 90분위 23일, 지연 18%</w:t>
      </w:r>
      <w:r>
        <w:t xml:space="preserve">”</w:t>
      </w:r>
      <w:r>
        <w:t xml:space="preserve">로 답한다. 예지보전은 센서 계층 이후의 확장이다(13.9절).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3429000" cy="2214562"/>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OEE는 가동률×성능×품질의 곱이며(Nakajima, 1988), 손실을 정지·속도·불량으로 분해한다.</w:t>
      </w:r>
    </w:p>
    <w:p>
      <w:pPr>
        <w:pStyle w:val="BlockText"/>
      </w:pPr>
      <w:r>
        <w:rPr>
          <w:bCs/>
          <w:b/>
        </w:rPr>
        <w:t xml:space="preserve">사례 — 병목 워크센터 OEE 개선 일지 (가상)</w:t>
      </w:r>
    </w:p>
    <w:p>
      <w:pPr>
        <w:pStyle w:val="BlockText"/>
      </w:pPr>
      <w:r>
        <w:rPr>
          <w:bCs/>
          <w:b/>
        </w:rPr>
        <w:t xml:space="preserve">Define.</w:t>
      </w:r>
      <w:r>
        <w:t xml:space="preserve"> </w:t>
      </w:r>
      <w:r>
        <w:t xml:space="preserve">구조적 병목으로 지목된 CNC 워크센터, OEE 54%(가동 71%×성능 84%×품질 90%). 병목의 1시간은 공장 전체의 1시간(1부 7장). 목표 65%.</w:t>
      </w:r>
    </w:p>
    <w:p>
      <w:pPr>
        <w:pStyle w:val="BlockText"/>
      </w:pPr>
      <w:r>
        <w:rPr>
          <w:bCs/>
          <w:b/>
        </w:rPr>
        <w:t xml:space="preserve">Measure.</w:t>
      </w:r>
      <w:r>
        <w:t xml:space="preserve"> </w:t>
      </w:r>
      <w:r>
        <w:t xml:space="preserve">새 수집은 최소 — 5분 미만 소정지 누락에 사유 버튼만 추가한다.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절단이 로트를 묶어 처리해 생기는 로트 기다림(1부 3장). 절차 교체는 유사 품목을 묶지 못한 일정의 문제. 고장 정지는 추세 없음 — 제외.</w:t>
      </w:r>
    </w:p>
    <w:p>
      <w:pPr>
        <w:pStyle w:val="BlockText"/>
      </w:pPr>
      <w:r>
        <w:rPr>
          <w:bCs/>
          <w:b/>
        </w:rPr>
        <w:t xml:space="preserve">Improve.</w:t>
      </w:r>
      <w:r>
        <w:t xml:space="preserve"> </w:t>
      </w:r>
      <w:r>
        <w:t xml:space="preserve">①절단-가공 로트 정합, ②유사 셋업 그룹 배치(frePPLe 셋업 매트릭스), ③SMED(1부 7장). 시뮬레이션 — ①+② +7%p, ③ 병행 +10%p. ③은 2개월 과제로 분리.</w:t>
      </w:r>
    </w:p>
    <w:p>
      <w:pPr>
        <w:pStyle w:val="BlockText"/>
      </w:pPr>
      <w:r>
        <w:rPr>
          <w:bCs/>
          <w:b/>
        </w:rPr>
        <w:t xml:space="preserve">Control.</w:t>
      </w:r>
      <w:r>
        <w:t xml:space="preserve"> </w:t>
      </w:r>
      <w:r>
        <w:t xml:space="preserve">로트 정합 규칙과 셋업 그룹 코드가 마스터에 반영되고 OEE 관리도가 선다. 10주 후 63%, SMED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5,003개사에서 생산성 30%, 품질 43.5%, 원가 15.9%, 납기 15.5% 개선(중소벤처기업부, 2018), 솔젠트는 73개 과제로 생산성 73% 증가 — 설치가 아니라 개선 회전의 누적이다. 도구는 회전을 빠르게 할 뿐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운영의 What-if(</w:t>
      </w:r>
      <w:r>
        <w:t xml:space="preserve">“</w:t>
      </w:r>
      <w:r>
        <w:t xml:space="preserve">특급 주문을 받으면 어느 주문이 늦는가</w:t>
      </w:r>
      <w:r>
        <w:t xml:space="preserve">”</w:t>
      </w:r>
      <w:r>
        <w:t xml:space="preserve">)는 frePPLe 유한능력 엔진이, 구조의 What-if(</w:t>
      </w:r>
      <w:r>
        <w:t xml:space="preserve">“</w:t>
      </w:r>
      <w:r>
        <w:t xml:space="preserve">병목 설비 증설 시 병목은 어디로 가는가</w:t>
      </w:r>
      <w:r>
        <w:t xml:space="preserve">”</w:t>
      </w:r>
      <w:r>
        <w:t xml:space="preserve">)는 편성 대안의 시뮬레이션 비교가 답한다. 혈류인 이벤트 스트림의 품질은 13.3절 정량 규율이 정한다.</w:t>
      </w:r>
    </w:p>
    <w:p>
      <w:pPr>
        <w:pStyle w:val="BodyText"/>
      </w:pPr>
      <w:r>
        <w:rPr>
          <w:bCs/>
          <w:b/>
        </w:rPr>
        <w:t xml:space="preserve">예지보전과 품질 지능.</w:t>
      </w:r>
      <w:r>
        <w:t xml:space="preserve"> </w:t>
      </w:r>
      <w:r>
        <w:t xml:space="preserve">고장 이력·센서 데이터의 결합이 예지보전을, SPC 감시와 비전 검사가 품질 지능을 연다. 둘 다 표준 밖의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소리로 베어링 이상을 아는 지식은 어떤 트랜잭션에도 없다. 해법은 기록 비용을 영에 접근시키는 것 — 태블릿·음성 코멘트를 LLM이 구조화해 설비 노드에 걸면 다음 작업자 화면에 과거 불량 포인트가 뜬다(15장).</w:t>
      </w:r>
      <w:r>
        <w:t xml:space="preserve"> </w:t>
      </w:r>
      <w:r>
        <w:rPr>
          <w:bCs/>
          <w:b/>
        </w:rPr>
        <w:t xml:space="preserve">자연어 질의</w:t>
      </w:r>
      <w:r>
        <w:t xml:space="preserve"> </w:t>
      </w:r>
      <w:r>
        <w:t xml:space="preserve">—</w:t>
      </w:r>
      <w:r>
        <w:t xml:space="preserve"> </w:t>
      </w:r>
      <w:r>
        <w:t xml:space="preserve">“</w:t>
      </w:r>
      <w:r>
        <w:t xml:space="preserve">이번 주 납기 위험 상위 5건과 원인은?</w:t>
      </w:r>
      <w:r>
        <w:t xml:space="preserve">”</w:t>
      </w:r>
      <w:r>
        <w:t xml:space="preserve">이라는 사장의 직접 질문이 서두의 호출·수첩·월말 엑셀을 대체한다.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체크리스트.</w:t>
      </w:r>
      <w:r>
        <w:t xml:space="preserve"> </w:t>
      </w:r>
      <w:r>
        <w:t xml:space="preserve">①납기 주문 일람을 몇 초에 뽑는가. ②BOM은 현물과 일치하고 변경 승인자가 있는가. ③실적은 발생 시점에 기록되는가. ④표준시간은 실측인가. ⑤병목을 데이터로 답하는가. ⑥불량·고장 코드체계가 있는가. ⑦실제 원가를 언제 아는가. ⑧품질 검사는 관문인가 사후 서류인가. ⑨MTBF를 아는 설비가 몇 대인가. ⑩영업·제조가 같은 숫자를 보는가(S&amp;OP).</w:t>
      </w:r>
    </w:p>
    <w:p>
      <w:pPr>
        <w:pStyle w:val="BodyText"/>
      </w:pPr>
      <w:r>
        <w:rPr>
          <w:bCs/>
          <w:b/>
        </w:rPr>
        <w:t xml:space="preserve">MES 단계 도입 — 1부 3장 순서의 계승.</w:t>
      </w:r>
      <w:r>
        <w:t xml:space="preserve"> </w:t>
      </w:r>
      <w:r>
        <w:t xml:space="preserve">1단계(2~4주): 기준정보 3정5S — 품목·BOM·라우팅·워크센터·코드 정비가 선행, BOM 실사와 표준시간 실측이 산출물. 2단계(4~8주): 제조 주문·지시의 전산화 — 현장은 종이여도 좋다. MPS로 월간 S&amp;OP 시작. 3단계(8~16주): 태블릿 POP 단계 배치 — 입구·출구·병목부터. 작업일보 폐지, QCP는 관문 2~3곳부터. 4단계(16주~): QCP 확대·예방정비·ECO 정착·표준시간 갱신, 간트의 한계를 넘으면 frePPLe(16장).</w:t>
      </w:r>
    </w:p>
    <w:p>
      <w:pPr>
        <w:pStyle w:val="BodyText"/>
      </w:pPr>
      <w:r>
        <w:rPr>
          <w:bCs/>
          <w:b/>
        </w:rPr>
        <w:t xml:space="preserve">성공 판정.</w:t>
      </w:r>
      <w:r>
        <w:t xml:space="preserve"> </w:t>
      </w:r>
      <w:r>
        <w:t xml:space="preserve">납기준수율이 개선 추세인가. 타임스탬프가 발생 시점 분포를 보이는가(나머지의 전제 — 1개월 차 품질 감사). 실제 원가가 월중 조회되어 수주 판단에 쓰이는가. 병목이 데이터로 지목되는가.</w:t>
      </w:r>
    </w:p>
    <w:p>
      <w:pPr>
        <w:pStyle w:val="BodyText"/>
      </w:pPr>
      <w:r>
        <w:rPr>
          <w:bCs/>
          <w:b/>
        </w:rPr>
        <w:t xml:space="preserve">흔한 실패.</w:t>
      </w:r>
      <w:r>
        <w:t xml:space="preserve"> </w:t>
      </w:r>
      <w:r>
        <w:t xml:space="preserve">BOM 실사 없는 MRP 가동(불신의 최대 원인), 태블릿·종이 일보 병행(이중 입력은 형해화로 끝난다), 소진 시점·로트 운영이 실제와 어긋나는 설정, 전 공정 일제 가동.</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완료 터치 하나가 재공·원가·납기·품질·정비를 동시에 움직이는 실시간 통합은 별도 인터페이스로 재현하기 어렵다. 태블릿 학습 비용이 낮고 품질·정비·PLM·IoT로 확장하며, 추적성과 원가는 사용의 부산물이다.</w:t>
      </w:r>
    </w:p>
    <w:p>
      <w:pPr>
        <w:pStyle w:val="BodyText"/>
      </w:pPr>
      <w:r>
        <w:rPr>
          <w:bCs/>
          <w:b/>
        </w:rPr>
        <w:t xml:space="preserve">한계.</w:t>
      </w:r>
      <w:r>
        <w:t xml:space="preserve"> </w:t>
      </w:r>
      <w:r>
        <w:t xml:space="preserve">가장 구조적인 것은 유한능력 계획의 부재 — 표준 스케줄러는 무한능력 가정 위에서 리드타임 역산으로 주문을 배치할 뿐이다. 공수계획 없는 계획은 그림의 떡이며(1부 4장), frePPLe를 계획 부스터로 둔 이유다. frePPLe은 Odoo MRP가 못 하는 것으로 수요예측·제약 스케줄링·안전재고 최적화·What-if를 꼽는다(frePPLe, 2023). 수주설계생산(ETO),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환경에선 대체 불가지만 이 책의 대상에는 과체급이고, 국내 보급형 MES는 ERP와 분리된 실적 집계에 머물기 쉽다. Odoo의 자리는 그 사이 — 실행 깊이 대신 다섯 영역의 연결을 한 데이터베이스로 준다. 초 단위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예측하기 어려운 손실이다. 사후 정비는 정지 손실을, 예방 정비는 멀쩡한 부품의 교체를 감수한다. 예지 정비는 그 사이, 징후 발현 후·기능 상실 전을 노린다. 설비관리 이론의 P-F 곡선, 잠재 고장에서 기능 고장까지의 시간 창이 그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 — MTBF·MTTR은 고장이 코드로 기록되어야 의미를 가진다.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 리뷰는 진단(무엇이 이상한가)과 예지(언제 고장 나는가)를 구분하고 예지의 전제로 열화 데이터와 고장 이력의 축적을 들었다(Jardine et al., 2006).</w:t>
      </w:r>
      <w:r>
        <w:t xml:space="preserve"> </w:t>
      </w:r>
      <w:r>
        <w:t xml:space="preserve">“</w:t>
      </w:r>
      <w:r>
        <w:t xml:space="preserve">정상/주의/위험</w:t>
      </w:r>
      <w:r>
        <w:t xml:space="preserve">”</w:t>
      </w:r>
      <w:r>
        <w:t xml:space="preserve"> </w:t>
      </w:r>
      <w:r>
        <w:t xml:space="preserve">다중 분류기는 반도체 공정 등에서 검증되었다(Susto et al., 2015). 실무 번역 — 잔여 수명(RUL) 회귀보다 ①임계·관리도 경보 ②이상 점수 랭킹 ③고장 코드 분류 순이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w:t>
            </w:r>
          </w:p>
        </w:tc>
        <w:tc>
          <w:tcPr/>
          <w:p>
            <w:pPr>
              <w:pStyle w:val="Compact"/>
              <w:jc w:val="left"/>
            </w:pPr>
            <w:r>
              <w:t xml:space="preserve">Analyze</w:t>
            </w:r>
          </w:p>
        </w:tc>
        <w:tc>
          <w:tcPr/>
          <w:p>
            <w:pPr>
              <w:pStyle w:val="Compact"/>
              <w:jc w:val="left"/>
            </w:pPr>
            <w:r>
              <w:t xml:space="preserve">이상 신호 + 고장 이력 → 고장 코드 후보·위험도, 유사 사례</w:t>
            </w:r>
          </w:p>
        </w:tc>
        <w:tc>
          <w:tcPr/>
          <w:p>
            <w:pPr>
              <w:pStyle w:val="Compact"/>
              <w:jc w:val="left"/>
            </w:pPr>
            <w:r>
              <w:t xml:space="preserve">ML + 지식그래프 검색</w:t>
            </w:r>
          </w:p>
        </w:tc>
      </w:tr>
      <w:tr>
        <w:tc>
          <w:tcPr/>
          <w:p>
            <w:pPr>
              <w:pStyle w:val="Compact"/>
              <w:jc w:val="left"/>
            </w:pPr>
            <w:r>
              <w:t xml:space="preserve">④ 정비 액션</w:t>
            </w:r>
          </w:p>
        </w:tc>
        <w:tc>
          <w:tcPr/>
          <w:p>
            <w:pPr>
              <w:pStyle w:val="Compact"/>
              <w:jc w:val="left"/>
            </w:pPr>
            <w:r>
              <w:t xml:space="preserve">Improve</w:t>
            </w:r>
          </w:p>
        </w:tc>
        <w:tc>
          <w:tcPr/>
          <w:p>
            <w:pPr>
              <w:pStyle w:val="Compact"/>
              <w:jc w:val="left"/>
            </w:pPr>
            <w:r>
              <w:t xml:space="preserve">위험도 → 정비 오더 초안·부품 예약·일정 회피안(frePPLe 조율)</w:t>
            </w:r>
          </w:p>
        </w:tc>
        <w:tc>
          <w:tcPr/>
          <w:p>
            <w:pPr>
              <w:pStyle w:val="Compact"/>
              <w:jc w:val="left"/>
            </w:pPr>
            <w:r>
              <w:t xml:space="preserve">Odoo 액션 + frePPLe</w:t>
            </w:r>
          </w:p>
        </w:tc>
      </w:tr>
      <w:tr>
        <w:tc>
          <w:tcPr/>
          <w:p>
            <w:pPr>
              <w:pStyle w:val="Compact"/>
              <w:jc w:val="left"/>
            </w:pPr>
            <w:r>
              <w:t xml:space="preserve">⑤ 환류</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②의 이상 점수가 임계를 넘으면 ③이 가장 닮은 과거 고장 코드와 조치 기록을 붙이고, ④가 정비 오더 초안을 frePPLe 일정의 저부하 시간대로 제안한다 — 예지의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쌓는다.</w:t>
      </w:r>
    </w:p>
    <w:p>
      <w:pPr>
        <w:pStyle w:val="BodyText"/>
      </w:pPr>
      <w:r>
        <w:t xml:space="preserve">도입은 세 걸음 — 1~2개월 차 설비 대장·고장 코드 정비, 3~4개월 차 핵심 설비 2~3대(병목·고액부터) 센서 부착과 ①② 경보, 5개월 차 이후 ③④⑤ 확장. 성공 판정은 계획외 정지 시간, MTBF, 예지 적중률, OEE 가동률 회복. 적중률 낮은 경보 남발은 곧 무시된다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납기·병목·원가의 실시간성, KPI는 납기준수율·리드타임·OEE·실제 원가. 1부 3·4·5·7장 방법론이 한 모듈에 실장된다.</w:t>
      </w:r>
    </w:p>
    <w:p>
      <w:pPr>
        <w:numPr>
          <w:ilvl w:val="0"/>
          <w:numId w:val="1028"/>
        </w:numPr>
        <w:pStyle w:val="Compact"/>
      </w:pPr>
      <w:r>
        <w:t xml:space="preserve">기능 골격: BOM·MRP·MPS 기반 S&amp;OP, 태블릿 POP, QCP 관문, 유지보수, ECO 기반 PLM, 실시간 원가.</w:t>
      </w:r>
    </w:p>
    <w:p>
      <w:pPr>
        <w:numPr>
          <w:ilvl w:val="0"/>
          <w:numId w:val="1028"/>
        </w:numPr>
        <w:pStyle w:val="Compact"/>
      </w:pPr>
      <w:r>
        <w:t xml:space="preserve">데이터의 급소는 BOM 정확도(정품), 타임스탬프의 진실성(정량), 불량·고장 코드의 정돈.</w:t>
      </w:r>
    </w:p>
    <w:p>
      <w:pPr>
        <w:numPr>
          <w:ilvl w:val="0"/>
          <w:numId w:val="1028"/>
        </w:numPr>
        <w:pStyle w:val="Compact"/>
      </w:pPr>
      <w:r>
        <w:t xml:space="preserve">3단계: 보이는 → 말하는 → 추론하는 공장. DMAIC 시나리오는 병목 CNC의 OEE 54%→67%, 스마트공장 5,003개사 개선(중소벤처기업부, 2018)은 회전의 누적.</w:t>
      </w:r>
    </w:p>
    <w:p>
      <w:pPr>
        <w:numPr>
          <w:ilvl w:val="0"/>
          <w:numId w:val="1028"/>
        </w:numPr>
        <w:pStyle w:val="Compact"/>
      </w:pPr>
      <w:r>
        <w:t xml:space="preserve">구축은 기준정보 3정5S → 지시 전산화 → 태블릿 POP → 품질·정비·유한능력 심화. 실패는 BOM 실사 생략, 일보 병행, 설정-현실 불일치, 빅뱅 가동.</w:t>
      </w:r>
    </w:p>
    <w:p>
      <w:pPr>
        <w:numPr>
          <w:ilvl w:val="0"/>
          <w:numId w:val="1028"/>
        </w:numPr>
        <w:pStyle w:val="Compact"/>
      </w:pPr>
      <w:r>
        <w:t xml:space="preserve">최대 약점은 무한능력 계획, frePPLe로 보강한다(frePPLe, 2023). 계획-실행-품질-정비-원가의 실시간 연결이 통합 플랫폼의 고유 영역.</w:t>
      </w:r>
    </w:p>
    <w:p>
      <w:pPr>
        <w:numPr>
          <w:ilvl w:val="0"/>
          <w:numId w:val="1028"/>
        </w:numPr>
        <w:pStyle w:val="Compact"/>
      </w:pPr>
      <w:r>
        <w:t xml:space="preserve">’IoT를 이용한 설비예지 지능화’는 P-F 곡선의 시간 창을 노린다 — 5축 고장 코드 위에 다섯 에이전트를 얹고 병목·고액 설비부터.</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부품 제조기업 사장에게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 경리팀장은</w:t>
      </w:r>
      <w:r>
        <w:t xml:space="preserve"> </w:t>
      </w:r>
      <w:r>
        <w:t xml:space="preserve">“</w:t>
      </w:r>
      <w:r>
        <w:t xml:space="preserve">다음 달 결산이 끝나야 안다</w:t>
      </w:r>
      <w:r>
        <w:t xml:space="preserve">”</w:t>
      </w:r>
      <w:r>
        <w:t xml:space="preserve">였다. 담당자의 하루가 세금계산서 입력과 은행 대사로 차, 답은 질문의 시효가 지난 뒤에야 왔다. 기록에 갇힌 회계는 과거를 증언할 뿐 경영을 안내하지 못한다.</w:t>
      </w:r>
    </w:p>
    <w:p>
      <w:pPr>
        <w:pStyle w:val="BodyText"/>
      </w:pPr>
      <w:r>
        <w:t xml:space="preserve">회계 모듈이 답할 질문은 다섯 — 이익은 왜 변했나, 현금은 언제 마르나, 원가는 정확한가, 채권은 회수되나, 마감은 며칠인가. KPI는 현금전환주기(CCC), 매출채권회수일수(DSO), 결산 소요일수, 원가 차이율이다. 다섯 모두</w:t>
      </w:r>
      <w:r>
        <w:t xml:space="preserve"> </w:t>
      </w:r>
      <w:r>
        <w:t xml:space="preserve">“</w:t>
      </w:r>
      <w:r>
        <w:t xml:space="preserve">얼마</w:t>
      </w:r>
      <w:r>
        <w:t xml:space="preserve">”</w:t>
      </w:r>
      <w:r>
        <w:t xml:space="preserve">를 넘어</w:t>
      </w:r>
      <w:r>
        <w:t xml:space="preserve"> </w:t>
      </w:r>
      <w:r>
        <w:t xml:space="preserve">“</w:t>
      </w:r>
      <w:r>
        <w:t xml:space="preserve">왜, 언제, 어디서</w:t>
      </w:r>
      <w:r>
        <w:t xml:space="preserve">”</w:t>
      </w:r>
      <w:r>
        <w:t xml:space="preserve">를 요구하며, 답은 거래의 맥락이 보존될 때만 나온다. 이 장은 그 보존을 기록 자동화 → 3정5S →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3429000" cy="1750978"/>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설계 철학은</w:t>
      </w:r>
      <w:r>
        <w:t xml:space="preserve"> </w:t>
      </w:r>
      <w:r>
        <w:t xml:space="preserve">“</w:t>
      </w:r>
      <w:r>
        <w:t xml:space="preserve">데이터 입력 없이 완성되는 회계</w:t>
      </w:r>
      <w:r>
        <w:t xml:space="preserve">”</w:t>
      </w:r>
      <w:r>
        <w:t xml:space="preserve">다(Odoo 공식 소개자료). 축은 넷 — ①AI 청구서 캡처: 공급업체·품목·금액·세액을 추출해 전표 초안을 만든다(인식률 98%). 담당자의 일은 입력이 아니라 승인이 된다. ②은행 연동·자동 대사: 28,000개 은행과 통합, 거래의 95%를 자동 매칭. ③실시간 보고: 손익·현금흐름·연령표를 마감 없이 조회하고 분개까지 드릴다운. ④자동 후속조치: 연체 일수별 단계 독촉. 여기에 분석 회계 — 한 분개를 부서·프로젝트·제품군 차원으로 동시 배부해 프로젝트 손익이 실시간 집계되고, 제조와 결합하면 견적·실적 원가 차이 분석이 완결된다.</w:t>
      </w:r>
    </w:p>
    <w:p>
      <w:pPr>
        <w:pStyle w:val="BodyText"/>
      </w:pPr>
      <w:r>
        <w:t xml:space="preserve">서두의 KPMG 증언(부가세 결산 4일→3시간)이 보여주듯 자동화의 가치는 인력 감축이 아니라 기록 노동의 판단 노동 전환이다. 구조적으로 중요한 것은 이 기능들이 단일 PostgreSQL 위의 한 앱이라는 점(8장). 복식부기가 차변·대변 균형을 강제하는 가장 오래된 무결성 규칙이라면(Pacioli, 1494), 단일 데이터베이스는 그 규칙을 전사에 관철시키는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3정 — 정위치는 거래가 살 계정이 하나로 정해진 것, 정품은 증빙·세금 코드의 정확, 정량은 장부와 실제 잔액의 일치(대사 완결률)다. 복식부기의 균형은 분류의 정확성까지 보장하지 않는다 — 계정이 틀리고 태그가 비면 원장은 합계로는 참이되 분해로는 침묵한다.</w:t>
      </w:r>
    </w:p>
    <w:p>
      <w:pPr>
        <w:pStyle w:val="BodyText"/>
      </w:pPr>
      <w:r>
        <w:rPr>
          <w:bCs/>
          <w:b/>
        </w:rPr>
        <w:t xml:space="preserve">정리.</w:t>
      </w:r>
      <w:r>
        <w:t xml:space="preserve"> </w:t>
      </w:r>
      <w:r>
        <w:t xml:space="preserve">휴면 계정·중복 거래처·죽은 세금 코드의 보관(archive) 처리. 장기 가지급금·미결산은 회계판 불용 재고다.</w:t>
      </w:r>
      <w:r>
        <w:t xml:space="preserve"> </w:t>
      </w:r>
      <w:r>
        <w:rPr>
          <w:bCs/>
          <w:b/>
        </w:rPr>
        <w:t xml:space="preserve">정돈 — 이 장의 심장.</w:t>
      </w:r>
      <w:r>
        <w:t xml:space="preserve"> </w:t>
      </w:r>
      <w:r>
        <w:t xml:space="preserve">계정 코드체계를 보고 구조와 일치시키고, 분석 3축(부서·프로젝트·제품군)을 세우고, 거래처 마스터를 10장과 공유하고, 세금 코드를 신고 서식에 대응시킨다. 이 정돈이 원가 온톨로지(1부 7장)의 기반 — 실물 경로(공급업체→자재→제조오더→제품)에 화폐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이음매가 계정 코드와 분석 태그다.</w:t>
      </w:r>
      <w:r>
        <w:t xml:space="preserve"> </w:t>
      </w:r>
      <w:r>
        <w:rPr>
          <w:bCs/>
          <w:b/>
        </w:rPr>
        <w:t xml:space="preserve">청소.</w:t>
      </w:r>
      <w:r>
        <w:t xml:space="preserve"> </w:t>
      </w:r>
      <w:r>
        <w:t xml:space="preserve">미대사 라인·소멸 채권·결측 태그의 정기 색출 — 잔액 조회와 은행 대사는 재무의 실사다.</w:t>
      </w:r>
      <w:r>
        <w:t xml:space="preserve"> </w:t>
      </w:r>
      <w:r>
        <w:rPr>
          <w:bCs/>
          <w:b/>
        </w:rPr>
        <w:t xml:space="preserve">청결.</w:t>
      </w:r>
      <w:r>
        <w:t xml:space="preserve"> </w:t>
      </w:r>
      <w:r>
        <w:t xml:space="preserve">태그 필수화, 세금 코드 자동 산정, 금액별 승인선 표준화 —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소요일을 월례 진단한다.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 </w:t>
      </w:r>
      <w:r>
        <w:t xml:space="preserve">— 실시간 재무 대시보드. 당월 손익·현금 추이·채권 연령·프로젝트 손익이 오늘 기준으로 뜨되, 연체와 예산 초과가 붉게 드러나야 경보 장치다. 회의 자리에서 분개까지 여는 드릴다운 습관이 서면 숫자를 둘러싼 공방을 없앤다.</w:t>
      </w:r>
      <w:r>
        <w:t xml:space="preserve"> </w:t>
      </w:r>
      <w:r>
        <w:rPr>
          <w:bCs/>
          <w:b/>
        </w:rPr>
        <w:t xml:space="preserve">말하는 단계</w:t>
      </w:r>
      <w:r>
        <w:t xml:space="preserve"> </w:t>
      </w:r>
      <w:r>
        <w:t xml:space="preserve">— 시스템이 먼저 말을 건다. 연체의 단계별 자동 후속조치, 아침마다 가용 현금과 자금 저점을 알리는 브리핑, 단가 이상·중복 청구 경보.</w:t>
      </w:r>
      <w:r>
        <w:t xml:space="preserve"> </w:t>
      </w:r>
      <w:r>
        <w:rPr>
          <w:bCs/>
          <w:b/>
        </w:rPr>
        <w:t xml:space="preserve">추론하는 단계</w:t>
      </w:r>
      <w:r>
        <w:t xml:space="preserve"> </w:t>
      </w:r>
      <w:r>
        <w:t xml:space="preserve">— 고객별 결제 패턴을 학습한 13주 롤링 현금흐름 예측, 그리고 이익 변동의 원인 분해(영업이익 감소를 수량·단가·원가율·판관비로, 원가율은 품목·공급업체 단가로 내려가는 역추적). 보이는 재무는 대시보드 설정으로 되지만 추론하는 재무는 14.3절의 정돈 없이는 안 된다.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3429000" cy="1789043"/>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3429000" cy="1789043"/>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 현금이 재고와 채권에 잠겼다 돌아오는 일수다. 가상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정의문 초안:</w:t>
            </w:r>
            <w:r>
              <w:t xml:space="preserve"> </w:t>
            </w:r>
            <w:r>
              <w:t xml:space="preserve">“</w:t>
            </w:r>
            <w:r>
              <w:t xml:space="preserve">CTQ: CCC. 현재 87일(DIO 52+DSO 58−DPO 23), 목표 70일 이하.</w:t>
            </w:r>
            <w:r>
              <w:t xml:space="preserve">”</w:t>
            </w:r>
            <w:r>
              <w:t xml:space="preserve"> </w:t>
            </w:r>
            <w:r>
              <w:t xml:space="preserve">CFO 승인 — 첫 게이트</w:t>
            </w:r>
          </w:p>
        </w:tc>
      </w:tr>
      <w:tr>
        <w:tc>
          <w:tcPr/>
          <w:p>
            <w:pPr>
              <w:pStyle w:val="Compact"/>
              <w:jc w:val="left"/>
            </w:pPr>
            <w:r>
              <w:t xml:space="preserve">Measure</w:t>
            </w:r>
          </w:p>
        </w:tc>
        <w:tc>
          <w:tcPr/>
          <w:p>
            <w:pPr>
              <w:pStyle w:val="Compact"/>
              <w:jc w:val="left"/>
            </w:pPr>
            <w:r>
              <w:t xml:space="preserve">새 수집 불요 — 데이터가 이미 단일 DB에 있음. 신뢰성 점검: 미대사 라인 4% 소급 대사, 결제 조건 미입력 31곳 보완</w:t>
            </w:r>
          </w:p>
        </w:tc>
      </w:tr>
      <w:tr>
        <w:tc>
          <w:tcPr/>
          <w:p>
            <w:pPr>
              <w:pStyle w:val="Compact"/>
              <w:jc w:val="left"/>
            </w:pPr>
            <w:r>
              <w:t xml:space="preserve">Analyze</w:t>
            </w:r>
          </w:p>
        </w:tc>
        <w:tc>
          <w:tcPr/>
          <w:p>
            <w:pPr>
              <w:pStyle w:val="Compact"/>
              <w:jc w:val="left"/>
            </w:pPr>
            <w:r>
              <w:t xml:space="preserve">DSO 악화의 71%가 상위 5개 고객에 집중, 2개사는 약정 60일 대비 실결제 85일. DIO 증가는 특정 제품군 안전재고 과다(12장)와 연결. 계절 효과는 검정으로 배제</w:t>
            </w:r>
          </w:p>
        </w:tc>
      </w:tr>
      <w:tr>
        <w:tc>
          <w:tcPr/>
          <w:p>
            <w:pPr>
              <w:pStyle w:val="Compact"/>
              <w:jc w:val="left"/>
            </w:pPr>
            <w:r>
              <w:t xml:space="preserve">Improve</w:t>
            </w:r>
          </w:p>
        </w:tc>
        <w:tc>
          <w:tcPr/>
          <w:p>
            <w:pPr>
              <w:pStyle w:val="Compact"/>
              <w:jc w:val="left"/>
            </w:pPr>
            <w:r>
              <w:t xml:space="preserve">①연체 2개사 후속조치 강화·신용 한도 조정 ②조기 결제 할인 2% ③안전재고 하향 ④지급 조건 45일 재협상. 시뮬레이션: ①+③이 −14일로 최적, ②는 할인 비용이 금융 비용 초과</w:t>
            </w:r>
          </w:p>
        </w:tc>
      </w:tr>
      <w:tr>
        <w:tc>
          <w:tcPr/>
          <w:p>
            <w:pPr>
              <w:pStyle w:val="Compact"/>
              <w:jc w:val="left"/>
            </w:pPr>
            <w:r>
              <w:t xml:space="preserve">승인 게이트</w:t>
            </w:r>
          </w:p>
        </w:tc>
        <w:tc>
          <w:tcPr/>
          <w:p>
            <w:pPr>
              <w:pStyle w:val="Compact"/>
              <w:jc w:val="left"/>
            </w:pPr>
            <w:r>
              <w:t xml:space="preserve">CFO가 ①+③ 승인, ③의 하향 폭은 절반으로 수정(</w:t>
            </w:r>
            <w:r>
              <w:t xml:space="preserve">“</w:t>
            </w:r>
            <w:r>
              <w:t xml:space="preserve">성수기 결품 위험</w:t>
            </w:r>
            <w:r>
              <w:t xml:space="preserve">”</w:t>
            </w:r>
            <w:r>
              <w:t xml:space="preserve">). 수정 이유가 다음 제안의 학습 데이터가 됨</w:t>
            </w:r>
          </w:p>
        </w:tc>
      </w:tr>
      <w:tr>
        <w:tc>
          <w:tcPr/>
          <w:p>
            <w:pPr>
              <w:pStyle w:val="Compact"/>
              <w:jc w:val="left"/>
            </w:pPr>
            <w:r>
              <w:t xml:space="preserve">Control</w:t>
            </w:r>
          </w:p>
        </w:tc>
        <w:tc>
          <w:tcPr/>
          <w:p>
            <w:pPr>
              <w:pStyle w:val="Compact"/>
              <w:jc w:val="left"/>
            </w:pPr>
            <w:r>
              <w:t xml:space="preserve">후속조치·신용 한도·재주문 파라미터가 Odoo 규칙으로 환류. DSO·CCC 관리도 신설, 이탈 시 다음 Define 점화</w:t>
            </w:r>
          </w:p>
        </w:tc>
      </w:tr>
    </w:tbl>
    <w:p>
      <w:pPr>
        <w:pStyle w:val="BodyText"/>
      </w:pPr>
      <w:r>
        <w:t xml:space="preserve">사람이 한 일은 두 번의 승인과 한 번의 수정뿐, 결과는 문서가 아니라 시스템 규칙으로 저장되었다. 다만 재무는 되돌리기 어려운 행동이 많다 — 고객 관계에 파급이 있는 조치는 승인 게이트를 거치고 자동화 폭은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 AI는 네 층위 — 입력 자동화(캡처·대사), 이상 탐지, 현금흐름 예측, 자연어 질의(15장)다. 넷째가 도입 질문으로 돌아가는 지점 —</w:t>
      </w:r>
      <w:r>
        <w:t xml:space="preserve"> </w:t>
      </w:r>
      <w:r>
        <w:t xml:space="preserve">“</w:t>
      </w:r>
      <w:r>
        <w:t xml:space="preserve">영업이익이 왜 줄었지?</w:t>
      </w:r>
      <w:r>
        <w:t xml:space="preserve">”</w:t>
      </w:r>
      <w:r>
        <w:t xml:space="preserve">에 원가율 분해가 근거 분개와 함께 돌아온다. 다만 다중 홉 원인 분해는 텍스트 검색형 AI로는 얕고, 계정·품목·공급업체를 잇는 원가 온톨로지가 있어야 신뢰된다(1부 7장). Odoo의 깨끗한 원장이 원료이고, 서드브레인 확장(16장)이 그것을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체크리스트.</w:t>
      </w:r>
      <w:r>
        <w:t xml:space="preserve"> </w:t>
      </w:r>
      <w:r>
        <w:t xml:space="preserve">①결산은 며칠인가. ②경영자가 어제의 손익·현금을 보는가. ③청구서 수기 입력 비율은. ④은행 대사는 얼마나 자주 하는가. ⑤채권 관리는 엑셀인가 시스템인가. ⑥부서·프로젝트·제품군 손익이 원장에서 나오는가. ⑦견적·실제 원가 차이를 월 단위로 아는가. ⑧세금계산서·부가세 신고는 이중 입력인가. ⑨가지급금·미결산 장기 잔액이 있는가. ⑩자금 계획은 몇 주 앞까지인가.</w:t>
      </w:r>
    </w:p>
    <w:p>
      <w:pPr>
        <w:pStyle w:val="BodyText"/>
      </w:pPr>
      <w:r>
        <w:rPr>
          <w:bCs/>
          <w:b/>
        </w:rPr>
        <w:t xml:space="preserve">구축 순서.</w:t>
      </w:r>
      <w:r>
        <w:t xml:space="preserve"> </w:t>
      </w:r>
      <w:r>
        <w:t xml:space="preserve">1~2주차 계정과목·분석 차원 설계 — 이후 모든 것의 어휘이므로 서두르지 않는다. 3~4주차 오픈 밸런스 이관, 5~8주차 캡처·대사 가동과 승인선, 9~12주차 후속조치·대시보드·자금 브리핑, 13주차 이후 현금흐름 예측과 CCC 루프 첫 회전.</w:t>
      </w:r>
      <w:r>
        <w:t xml:space="preserve"> </w:t>
      </w:r>
      <w:r>
        <w:rPr>
          <w:bCs/>
          <w:b/>
        </w:rPr>
        <w:t xml:space="preserve">성공 판정</w:t>
      </w:r>
      <w:r>
        <w:t xml:space="preserve">(구축 전 합의)은 결산 5일 이내(성숙 시 2~3일), 캡처·매칭률 80% 이상, 태그 결측률 5% 미만, DSO 하락 추세,</w:t>
      </w:r>
      <w:r>
        <w:t xml:space="preserve"> </w:t>
      </w:r>
      <w:r>
        <w:t xml:space="preserve">“</w:t>
      </w:r>
      <w:r>
        <w:t xml:space="preserve">경영 회의가 이번 주 숫자로 토론하는가</w:t>
      </w:r>
      <w:r>
        <w:t xml:space="preserve">”</w:t>
      </w:r>
      <w:r>
        <w:t xml:space="preserve">다.</w:t>
      </w:r>
    </w:p>
    <w:p>
      <w:pPr>
        <w:pStyle w:val="BodyText"/>
      </w:pPr>
      <w:r>
        <w:rPr>
          <w:bCs/>
          <w:b/>
        </w:rPr>
        <w:t xml:space="preserve">흔한 실패.</w:t>
      </w:r>
      <w:r>
        <w:t xml:space="preserve"> </w:t>
      </w:r>
      <w:r>
        <w:t xml:space="preserve">①이중 원장 — 국산 회계 프로그램과의 이중 입력. 원천을 정하고 반대쪽은 연동 또는 폐기. ②분석 차원의 소급 설계 — 개시 후 만들면 비교 분석이 반년간 불구가 된다. ③세무 요건 후순위화 — 신고 경로를 계약 전에 확정하지 않으면 가동 직전에 멈춘다. ④AI 맹신 — 인식률 98%는 오류 2%, 승인 게이트 없는 자동 전기는 감사 리스크다. ⑤계정 과잉 설계 — 수백 개 계정은 현장의 우회를 부른다. 세밀함은 분석 차원의 몫이다.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 CE 무료·EE 저가, 원장이 표준 PostgreSQL에 있어 지식그래프 적재가 가능한 개방성(16장). 마감을 기다리지 않는 손익·현금 조회는 의사결정 리듬의 변화다.</w:t>
      </w:r>
    </w:p>
    <w:p>
      <w:pPr>
        <w:pStyle w:val="BodyText"/>
      </w:pPr>
      <w:r>
        <w:rPr>
          <w:bCs/>
          <w:b/>
        </w:rPr>
        <w:t xml:space="preserve">한계.</w:t>
      </w:r>
      <w:r>
        <w:t xml:space="preserve"> </w:t>
      </w:r>
      <w:r>
        <w:t xml:space="preserve">①은행 연동의 지역 편차 — 28,000개는 유럽·북미 중심이라 국내 은행은 파일 가져오기·파트너 연동으로 대체한다. ②최대 장벽인 한국 세무 로컬라이제이션 — 전자세금계산서 국세청 연동과 부가세 전자신고가 표준 밖이다(국세청, 2024). ③파트너 생태계가 국산 ERP 대비 얇다. 보완은 표준인증 ASP 연동, 역할 분담(관리회계는 Odoo, 법정 신고는 세무대리인),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선다. 수출·제조·원가 중심 기업에는 세무 보완 비용을 감수할 가치가 있고, 내수·신고 중심에는 국산이 합리적이다. Odoo 회계는</w:t>
      </w:r>
      <w:r>
        <w:t xml:space="preserve"> </w:t>
      </w:r>
      <w:r>
        <w:t xml:space="preserve">“</w:t>
      </w:r>
      <w:r>
        <w:t xml:space="preserve">관리회계의 강자, 한국 세무 신고의 이방인</w:t>
      </w:r>
      <w:r>
        <w:t xml:space="preserve">”</w:t>
      </w:r>
      <w:r>
        <w:t xml:space="preserve"> </w:t>
      </w:r>
      <w:r>
        <w:t xml:space="preserve">— 절감된 시간이 분석 차원 설계에 재투자될 때 회계 부서는 기록 관리자에서 판단 시스템의 큐레이터로 진화한다(다음 장의 주제다).</w:t>
      </w:r>
    </w:p>
    <w:bookmarkEnd w:id="314"/>
    <w:bookmarkStart w:id="315" w:name="핵심-요약-13"/>
    <w:p>
      <w:pPr>
        <w:pStyle w:val="Heading2"/>
      </w:pPr>
      <w:r>
        <w:t xml:space="preserve">핵심 요약</w:t>
      </w:r>
    </w:p>
    <w:p>
      <w:pPr>
        <w:numPr>
          <w:ilvl w:val="0"/>
          <w:numId w:val="1030"/>
        </w:numPr>
        <w:pStyle w:val="Compact"/>
      </w:pPr>
      <w:r>
        <w:t xml:space="preserve">질문은</w:t>
      </w:r>
      <w:r>
        <w:t xml:space="preserve"> </w:t>
      </w:r>
      <w:r>
        <w:t xml:space="preserve">“</w:t>
      </w:r>
      <w:r>
        <w:t xml:space="preserve">이익은 왜 변했나, 현금은 언제 마르나, 원가는 정확한가, 채권은 회수되나, 마감은 며칠인가</w:t>
      </w:r>
      <w:r>
        <w:t xml:space="preserve">”</w:t>
      </w:r>
      <w:r>
        <w:t xml:space="preserve">, KPI는 CCC·DSO·결산 소요일수.</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핵심은 정돈 — 계정 코드체계와 분석 3축이 원가 온톨로지의 어휘를 만들며, 보이는→말하는→추론하는 재무는 그 위에서만 선다.</w:t>
      </w:r>
    </w:p>
    <w:p>
      <w:pPr>
        <w:numPr>
          <w:ilvl w:val="0"/>
          <w:numId w:val="1030"/>
        </w:numPr>
        <w:pStyle w:val="Compact"/>
      </w:pPr>
      <w:r>
        <w:t xml:space="preserve">최대 장벽은 한국 세무 로컬라이제이션. ASP 연동·세무대리인 협업·이중 원장 회피가 보완의 세 기둥이며, 수출·제조·원가 중심에 강력하고 내수·신고 중심에는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2부의 전환점이다. 8~14장이 부문의 기록을 생산하는 모듈이라면, Odoo AI와 지식센터(Knowledge)는 앱을 가로지르는 횡단 계층 — 지능 그 자체다.</w:t>
      </w:r>
    </w:p>
    <w:p>
      <w:pPr>
        <w:pStyle w:val="BodyText"/>
      </w:pPr>
      <w:r>
        <w:t xml:space="preserve">몇 해 전 컨설팅한 설비 제조기업에서 회의 중 질문의 행방을 하루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지식은 존재했다. 다만 사람의 머리와 낡은 폴더와 어깨너머에 흩어져 있었고, 김 부장의 퇴직일이 소멸 시한이었다. 경영 질문 — 우리 회사의 지식은 어디에 있는가, 사람이 떠나면 함께 떠나는가, AI는 무엇을 대신하고 무엇을 못 하는가. 지표는 핵심 업무 문서화율, 응답 소요 시간, 온보딩 기간, 사람 개입률이다.</w:t>
      </w:r>
    </w:p>
    <w:p>
      <w:pPr>
        <w:pStyle w:val="BodyText"/>
      </w:pPr>
      <w:r>
        <w:t xml:space="preserve">이론적 뿌리는 둘 — 서두의 Polanyi(1966)와, 조직 지식이 암묵지·형식지의 상호변환(SECI)으로 창출된다는 Nonaka(1994)다. 지식센터는 형식지의 그릇, Odoo AI는 변환의 엔진이며, 이 장이 긋는 결핍의 목록이 16장의 요구 명세다.</w:t>
      </w:r>
    </w:p>
    <w:bookmarkEnd w:id="318"/>
    <w:bookmarkStart w:id="319" w:name="기능-해부-화면-속에-녹아든-지능"/>
    <w:p>
      <w:pPr>
        <w:pStyle w:val="Heading2"/>
      </w:pPr>
      <w:r>
        <w:t xml:space="preserve">15.2 기능 해부: 화면 속에 녹아든 지능</w:t>
      </w:r>
    </w:p>
    <w:p>
      <w:pPr>
        <w:pStyle w:val="FirstParagraph"/>
      </w:pPr>
      <w:r>
        <w:t xml:space="preserve">설계 방향은</w:t>
      </w:r>
      <w:r>
        <w:t xml:space="preserve"> </w:t>
      </w:r>
      <w:r>
        <w:t xml:space="preserve">“</w:t>
      </w:r>
      <w:r>
        <w:t xml:space="preserve">별도 연동 없이 시스템 곳곳에 녹아 있는 지능형 비서</w:t>
      </w:r>
      <w:r>
        <w:t xml:space="preserve">”</w:t>
      </w:r>
      <w:r>
        <w:t xml:space="preserve">다(Odoo 공식 소개자료). ChatGPT·Gemini 엔진을 쓰되 사내 데이터를 참조해</w:t>
      </w:r>
      <w:r>
        <w:t xml:space="preserve"> </w:t>
      </w:r>
      <w:r>
        <w:t xml:space="preserve">“</w:t>
      </w:r>
      <w:r>
        <w:t xml:space="preserve">우리 회사만의 답변</w:t>
      </w:r>
      <w:r>
        <w:t xml:space="preserve">”</w:t>
      </w:r>
      <w:r>
        <w:t xml:space="preserve">을 지향하며, 업무 화면에 내장된다. 핵심 기능은 다섯 — 콘텐츠 생성(이메일 초안), AI Fields(비정형 텍스트에서 필드를 채우는 비정형→정형 관문), 사내 문서 질의응답(출처와 함께 답하는 RAG), 실행형 에이전트(리드 생성·견적 발송의 저코드 실행), 음성 기록·요약(회의 암묵지의 포획).</w:t>
      </w:r>
    </w:p>
    <w:p>
      <w:pPr>
        <w:pStyle w:val="BodyText"/>
      </w:pPr>
      <w:r>
        <w:t xml:space="preserve">Odoo 19에서 AI는 독립 앱으로 승격되어 에이전트 권한·실행 액션 부여와 문서·PDF 학습 소스 지정(RAG)이 표준화되었다(Odoo 19 릴리스 노트; Nalios, 2025). 다만 지능의 원천은 여전히 외부 범용 LLM API다(15.8절 한계의 뿌리).</w:t>
      </w:r>
    </w:p>
    <w:p>
      <w:pPr>
        <w:pStyle w:val="BodyText"/>
      </w:pPr>
      <w:r>
        <w:t xml:space="preserve">지식센터는 계층형 아티클 작성·공유 앱이다. 노션류 편집기와 닮았으되 ERP와 같은 데이터베이스에 있어 작업표준서를 작업지시서에서 바로 연다 — 문서가 업무 레코드 옆에 있는가가 사용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3429000" cy="2334638"/>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3429000" cy="2334638"/>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 AI 질의응답은 내면화의 통로다. 그러나 그릇이 있다고 지식이 고이지 않는다. 최다 실패는</w:t>
      </w:r>
      <w:r>
        <w:t xml:space="preserve"> </w:t>
      </w:r>
      <w:r>
        <w:t xml:space="preserve">“</w:t>
      </w:r>
      <w:r>
        <w:t xml:space="preserve">만들었으나 아무도 쓰지 않고, 쓴 문서는 아무도 믿지 않는</w:t>
      </w:r>
      <w:r>
        <w:t xml:space="preserve">”</w:t>
      </w:r>
      <w:r>
        <w:t xml:space="preserve"> </w:t>
      </w:r>
      <w:r>
        <w:t xml:space="preserve">위키이며, 처방은 지식의 3정5S다.</w:t>
      </w:r>
      <w:r>
        <w:t xml:space="preserve"> </w:t>
      </w:r>
      <w:r>
        <w:rPr>
          <w:bCs/>
          <w:b/>
        </w:rPr>
        <w:t xml:space="preserve">정리</w:t>
      </w:r>
      <w:r>
        <w:t xml:space="preserve"> </w:t>
      </w:r>
      <w:r>
        <w:t xml:space="preserve">— 현행성 잃은 문서의 폐기(어긋난 문서는 학습 소스가 되는 순간 오답의 원천).</w:t>
      </w:r>
      <w:r>
        <w:t xml:space="preserve"> </w:t>
      </w:r>
      <w:r>
        <w:rPr>
          <w:bCs/>
          <w:b/>
        </w:rPr>
        <w:t xml:space="preserve">정돈</w:t>
      </w:r>
      <w:r>
        <w:t xml:space="preserve"> </w:t>
      </w:r>
      <w:r>
        <w:t xml:space="preserve">— 트리를 조직도가 아니라 업무 프로세스로 설계하고, 한 주제 한 아티클과 소유자를 세운다.</w:t>
      </w:r>
      <w:r>
        <w:t xml:space="preserve"> </w:t>
      </w:r>
      <w:r>
        <w:rPr>
          <w:bCs/>
          <w:b/>
        </w:rPr>
        <w:t xml:space="preserve">청소</w:t>
      </w:r>
      <w:r>
        <w:t xml:space="preserve"> </w:t>
      </w:r>
      <w:r>
        <w:t xml:space="preserve">—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축적과 분기별 지식 진단.</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 </w:t>
      </w:r>
      <w:r>
        <w:t xml:space="preserve">— 지식이 검색된다. 폴더 탐색이 전사 검색으로 바뀌고, 정돈된 아티클 트리는 조직 지식의 지도다.</w:t>
      </w:r>
      <w:r>
        <w:t xml:space="preserve"> </w:t>
      </w:r>
      <w:r>
        <w:rPr>
          <w:bCs/>
          <w:b/>
        </w:rPr>
        <w:t xml:space="preserve">말하는 단계</w:t>
      </w:r>
      <w:r>
        <w:t xml:space="preserve"> </w:t>
      </w:r>
      <w:r>
        <w:t xml:space="preserve">— 시스템이 먼저 답한다.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 끝나는 순간 실행 과제를 브리핑한다. 매뉴얼을 학습한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공급업체 변경까지 가로지르는 다중 홉(multi-hop) 추론을 요구한다. 전자는 문서 검색, 후자는 관계 추론이며, 텍스트 유사도 RAG는 전자까지다(Edge et al., 2024). Odoo AI는 회사 서류함을 다 읽은 똑똑한 신입사원 — 문서를 빨리 찾고 요약하지만 베테랑처럼 관계를 가로질러 판단하지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내장 AI는 1부 5장의 상시 개선 루프의 실행 주체가 될 수 있는가. 단계별 평가다.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 — Odoo AI는 루프의 양 끝에서 유능하나, 심장인 Analyze(온톨로지 부재 — 벡터 RAG는 다중 홉·전역 요약에 약하다, Edge et al., 2024)와 Improve(실험장 부재 —</w:t>
      </w:r>
      <w:r>
        <w:t xml:space="preserve"> </w:t>
      </w:r>
      <w:r>
        <w:t xml:space="preserve">“</w:t>
      </w:r>
      <w:r>
        <w:t xml:space="preserve">생성은 기계가, 검증은 모델이, 결정은 사람이</w:t>
      </w:r>
      <w:r>
        <w:t xml:space="preserve">”</w:t>
      </w:r>
      <w:r>
        <w:t xml:space="preserve">의 가운데 항이 비어 있다)에서 결핍된다. 두 앱은 루프의 손발이되 아직 두뇌가 아니며, 그 경계에서 16장의 확장 부스터가 시작된다. 다만 순서 — 오늘 문서를 쌓는 실천이 내일 온톨로지에 적재될 지식의 품질을 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 문서·레코드 조회 — 지금 가능. 2수준 집계·요약 — 에이전트로 상당 부분 가능하되 검증 습관이 필요. 3수준 인과·예측(</w:t>
      </w:r>
      <w:r>
        <w:t xml:space="preserve">“</w:t>
      </w:r>
      <w:r>
        <w:t xml:space="preserve">영업이익이 왜 줄었지?</w:t>
      </w:r>
      <w:r>
        <w:t xml:space="preserve">”</w:t>
      </w:r>
      <w:r>
        <w:t xml:space="preserve">) — 온톨로지·시뮬레이션을 요구하는 서드브레인 확장(16장)의 몫. 이 구분은 기대 관리의 도구다 — 3수준 질문으로 시험한 경영진이</w:t>
      </w:r>
      <w:r>
        <w:t xml:space="preserve"> </w:t>
      </w:r>
      <w:r>
        <w:t xml:space="preserve">“</w:t>
      </w:r>
      <w:r>
        <w:t xml:space="preserve">역시 안 되는군</w:t>
      </w:r>
      <w:r>
        <w:t xml:space="preserve">”</w:t>
      </w:r>
      <w:r>
        <w:t xml:space="preserve">이라며 1·2수준의 효용까지 버리는 것이 가장 흔한 낭비다.</w:t>
      </w:r>
    </w:p>
    <w:bookmarkEnd w:id="326"/>
    <w:bookmarkStart w:id="330" w:name="컨설팅-가이드-4"/>
    <w:p>
      <w:pPr>
        <w:pStyle w:val="Heading2"/>
      </w:pPr>
      <w:r>
        <w:t xml:space="preserve">15.7 컨설팅 가이드</w:t>
      </w:r>
    </w:p>
    <w:p>
      <w:pPr>
        <w:pStyle w:val="CaptionedFigure"/>
      </w:pPr>
      <w:r>
        <w:drawing>
          <wp:inline>
            <wp:extent cx="3429000" cy="1945957"/>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3429000" cy="1945957"/>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체크리스트.</w:t>
      </w:r>
      <w:r>
        <w:t xml:space="preserve"> </w:t>
      </w:r>
      <w:r>
        <w:t xml:space="preserve">①핵심 절차가 문서로 존재하고 최신인가. ②담당자 없이 찾을 수 있는가. ③반복 질문에 누가 답하는가. ④회의록은 실행 과제로 이어지는가. ⑤수기 전기가 하루 몇 건인가. ⑥신입의 독립까지 기간은. ⑦외부 LLM 전송 가능 범위를 정했는가. ⑧오답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w:t>
      </w:r>
      <w:r>
        <w:t xml:space="preserve"> </w:t>
      </w:r>
      <w:r>
        <w:t xml:space="preserve">“</w:t>
      </w:r>
      <w:r>
        <w:t xml:space="preserve">읽기에서 쓰기로, 낮은 위험에서 높은 위험으로</w:t>
      </w:r>
      <w:r>
        <w:t xml:space="preserve">”</w:t>
      </w:r>
      <w:r>
        <w:t xml:space="preserve">. 콘텐츠 생성·음성 요약(실패해도 초안)→지식 정리·정돈과 지식센터 구축(핵심 문서 20개 이관·검증)→질의응답·오답 교정 루프·AI Fields→에이전트는 읽기 전용부터, 승인율이 검증된 유형만 쓰기로 확대. 자동화 범위는 이념이 아니라 성적표가 정한다.</w:t>
      </w:r>
    </w:p>
    <w:p>
      <w:pPr>
        <w:pStyle w:val="BodyText"/>
      </w:pPr>
      <w:r>
        <w:rPr>
          <w:bCs/>
          <w:b/>
        </w:rPr>
        <w:t xml:space="preserve">설계 원칙.</w:t>
      </w:r>
      <w:r>
        <w:t xml:space="preserve"> </w:t>
      </w:r>
      <w:r>
        <w:t xml:space="preserve">에이전트는 단일 역할(만능 비서 금지), 근거 강제(출처 병기, 소스 밖엔</w:t>
      </w:r>
      <w:r>
        <w:t xml:space="preserve"> </w:t>
      </w:r>
      <w:r>
        <w:t xml:space="preserve">“</w:t>
      </w:r>
      <w:r>
        <w:t xml:space="preserve">모른다</w:t>
      </w:r>
      <w:r>
        <w:t xml:space="preserve">”</w:t>
      </w:r>
      <w:r>
        <w:t xml:space="preserve">), 최소 권한, 감사 가능성. 잘못 발송된 견적서는 이미 실행된 사건 — 쓰기 액션의 승인 경계를 명시적으로 문서화한다. 프롬프트는 회사 자산 — 대장으로 버전·소유자를 관리하고 마스킹 규칙을 명문화한다. 소유자 검증을 통과한 문서만 학습 소스로 허용해 죽은 문서의 오염을 차단한다.</w:t>
      </w:r>
    </w:p>
    <w:p>
      <w:pPr>
        <w:pStyle w:val="BodyText"/>
      </w:pPr>
      <w:r>
        <w:rPr>
          <w:bCs/>
          <w:b/>
        </w:rPr>
        <w:t xml:space="preserve">성공 판정.</w:t>
      </w:r>
      <w:r>
        <w:t xml:space="preserve"> </w:t>
      </w:r>
      <w:r>
        <w:t xml:space="preserve">문서화율 80% 이상, 오답 신고율 하락, 반복 질문의 에이전트 흡수율, 온보딩 단축,</w:t>
      </w:r>
      <w:r>
        <w:t xml:space="preserve"> </w:t>
      </w:r>
      <w:r>
        <w:t xml:space="preserve">“</w:t>
      </w:r>
      <w:r>
        <w:t xml:space="preserve">회의에서 ’그건 김 부장만 안다’가 사라졌는가</w:t>
      </w:r>
      <w:r>
        <w:t xml:space="preserve">”</w:t>
      </w:r>
      <w:r>
        <w:t xml:space="preserve">.</w:t>
      </w:r>
      <w:r>
        <w:t xml:space="preserve"> </w:t>
      </w:r>
      <w:r>
        <w:rPr>
          <w:bCs/>
          <w:b/>
        </w:rPr>
        <w:t xml:space="preserve">흔한 실패.</w:t>
      </w:r>
      <w:r>
        <w:t xml:space="preserve"> </w:t>
      </w:r>
      <w:r>
        <w:t xml:space="preserve">①그릇 먼저 짓기(문서 정비 없는 질의응답은 오답이 초기 신뢰를 무너뜨린다) ②만능 에이전트 ③이벤트성 문서화(업무 흐름에 축적을 심지 않으면 캠페인과 함께 멈춘다) ④프라이버시 사후 대응(반출 금지 범위는 첫 주에).</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저코드 진입 장벽, 데이터 근접성(검색·실행 대상이 같은 데이터베이스), 문서와 업무 실행의 결합.</w:t>
      </w:r>
    </w:p>
    <w:p>
      <w:pPr>
        <w:pStyle w:val="BodyText"/>
      </w:pPr>
      <w:r>
        <w:rPr>
          <w:bCs/>
          <w:b/>
        </w:rPr>
        <w:t xml:space="preserve">한계.</w:t>
      </w:r>
      <w:r>
        <w:t xml:space="preserve"> </w:t>
      </w:r>
      <w:r>
        <w:t xml:space="preserve">①범용 LLM 의존 — 성능·가격·정책이 외부 사업자에 달렸고 호출량에 비례해 비용이 는다. 지능의 소유가 아니라 임대다. ②데이터 프라이버시 — 민감 데이터가 외부 API로 나가며 마스킹·반출 범위는 도입 기업의 몫. 데이터 주권이 요건이면 자체 호스팅 LLM 병행(16장). ③온톨로지 부재(15.5절). ④거버넌스 공백 — 쓰기 액션의 승인 경계는 제품이 대신해 주지 않는다. ⑤지식센터의 수동성(사람이 쓰는 만큼만 쌓인다)과 기능의 유동성(고급 기능 다수는 엔터프라이즈 전용).</w:t>
      </w:r>
    </w:p>
    <w:p>
      <w:pPr>
        <w:pStyle w:val="BodyText"/>
      </w:pPr>
      <w:r>
        <w:rPr>
          <w:bCs/>
          <w:b/>
        </w:rPr>
        <w:t xml:space="preserve">구도와 판단.</w:t>
      </w:r>
      <w:r>
        <w:t xml:space="preserve"> </w:t>
      </w:r>
      <w:r>
        <w:t xml:space="preserve">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다섯 단계는 SECI 나선(Nonaka &amp; Takeuchi, 1995)의 디지털 구동장치다. RAG는 조직 문서에서 검색한 근거로 생성하는 구조로, 지식집약 과업의 사실 정확도를 높임이 실증되었다(Lewis et al., 2020). 문서 사이의 관계까지 검색하는 그래프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 — 베테랑은 백지에 쓰지 않고 AI 초안을 고친다. 표출화의 최대 장벽</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파이프라인이 충분히 돌면 축적된 문서·채택 이력은 3부 19장 PTGDA가 온톨로지 씨앗을 발굴하는 텃밭이 된다 — 지식센터가 문서의 종착지가 아니라 온톨로지의 출발지가 된다.</w:t>
      </w:r>
    </w:p>
    <w:p>
      <w:pPr>
        <w:pStyle w:val="BodyText"/>
      </w:pPr>
      <w:r>
        <w:t xml:space="preserve">도입은 세 걸음 — 1개월 차 문서 트리·템플릿 설계와 작업표준 10건 파일럿 이관, 2~3개월 차 ①②③ 가동과 RAG 질의 개방, 4개월 차 이후 ④⑤ 확장. 성공 판정은 핵심 공정 표준 문서화율, RAG 답변 채택률, 온보딩 단축, 베테랑 1인당 월 승인 문서 수.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생성·AI Fields·사내 문서 RAG·실행형 에이전트·음성 요약을 업무 화면에 내장한다. 지식센터는 암묵지의 형식지화 거점(SECI)이며, 지식이 고이려면 3정5S가 필요하다.</w:t>
      </w:r>
    </w:p>
    <w:p>
      <w:pPr>
        <w:numPr>
          <w:ilvl w:val="0"/>
          <w:numId w:val="1032"/>
        </w:numPr>
        <w:pStyle w:val="Compact"/>
      </w:pPr>
      <w:r>
        <w:t xml:space="preserve">DMAIC에서 Odoo AI는 Define·Measure·Control에 유능하나 Analyze(다중 홉 인과)·Improve(What-if 실험)에서 결핍 — 손발이되 두뇌가 아니며, 그 경계에서 16장이 시작된다.</w:t>
      </w:r>
    </w:p>
    <w:p>
      <w:pPr>
        <w:numPr>
          <w:ilvl w:val="0"/>
          <w:numId w:val="1032"/>
        </w:numPr>
        <w:pStyle w:val="Compact"/>
      </w:pPr>
      <w:r>
        <w:t xml:space="preserve">질의는 1수준(조회)·2수준(집계)·3수준(인과·예측)으로 관리하고, 3수준은 서드브레인 확장의 몫이다. 한계는 범용 LLM 의존(지능의 임대), 프라이버시, 거버넌스 공백.</w:t>
      </w:r>
    </w:p>
    <w:p>
      <w:pPr>
        <w:numPr>
          <w:ilvl w:val="0"/>
          <w:numId w:val="1032"/>
        </w:numPr>
        <w:pStyle w:val="Compact"/>
      </w:pPr>
      <w:r>
        <w:t xml:space="preserve">’기업의 노하우를 지식센터 지능화’는 수집→구조화(초안은 AI, 승인은 베테랑)→검증 게이트→맥락 활용→환류의 다섯 에이전트로 SECI 나선을 상시 구동하는 것 — 그 축적이 3부 PTGDA의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사본이(정위치의 붕괴), 인터페이스마다 변환 규칙이(정품의 붕괴), 동기화 주기마다 시차가 생긴다(정량의 붕괴). 초기 비용이 최대 장벽인 중소기업(중소기업중앙회, 2024)에게 이 경로는 애초에 닫혀 있다. 원플랫폼+쓰리부스터는 이에 대한 응답이다(이형근, 2026). 원칙은 셋 — 데이터의 원천은 언제나 Odoo의 단일 PostgreSQL 하나, 모든 부스터는 오픈소스·소스 공개형,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베테랑의 노트가 승인·익명화를 거쳐 온톨로지에 기여하고 회사의 사례가 개인 질의의 컨텍스트로 돌아오는, 개인지식과 기업지식이 만나는 심장이다(이형근, 2026).</w:t>
      </w:r>
    </w:p>
    <w:p>
      <w:pPr>
        <w:pStyle w:val="BodyText"/>
      </w:pPr>
      <w:r>
        <w:rPr>
          <w:bCs/>
          <w:b/>
        </w:rPr>
        <w:t xml:space="preserve">LLM 이중화 — Ollama와 프론티어 모델.</w:t>
      </w:r>
      <w:r>
        <w:t xml:space="preserve"> </w:t>
      </w:r>
      <w:r>
        <w:t xml:space="preserve">민감 데이터의 일상 과업은 자체 하드웨어의 오픈소스 LLM(Ollama — 데이터 주권 확보, 토큰 과금 제거)이, 익명화된 고난도 추론은 프론티어 모델이 맡는다.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3429000" cy="2517031"/>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3429000" cy="2517031"/>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 역방향으로 읽으면 부스터는 질문이 요구할 때만 도입한다. 예외는 n8n — 1단계부터 배관으로 시작해 두면 이후 모든 확장이 워크플로 추가가 된다.</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3429000" cy="1975402"/>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3429000" cy="1975402"/>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인터페이스는 업종마다 달라도 아래는 동일한 스택이며, 격리 계층의 운영 앱만 갈아 끼우므로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 BOM·라우팅·표준시간의 수준(13장). ④n8n·Dify — 시스템 경계를 사람이 잇는 월간 시간. ⑤Neo4j·LLM —</w:t>
      </w:r>
      <w:r>
        <w:t xml:space="preserve"> </w:t>
      </w:r>
      <w:r>
        <w:t xml:space="preserve">“</w:t>
      </w:r>
      <w:r>
        <w:t xml:space="preserve">왜</w:t>
      </w:r>
      <w:r>
        <w:t xml:space="preserve">”</w:t>
      </w:r>
      <w:r>
        <w:t xml:space="preserve">를 묻는 질문 목록,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 우선순위의 근거,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상태이므로 왼쪽 열(데이터 품질)부터 채워 간다. KPI 열은 세로로도 읽는다. 전환율이 수주로, 납기준수율이 매출 시점으로, 모든 것이 현금전환주기로 수렴한다 —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3429000" cy="2400300"/>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3429000" cy="2400300"/>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없다. 사건이 한 번 기록되고 관점으로만 다르게 조회된다는 이 단일성이, 온톨로지 그래프와 DMAIC 루프가 성립하는 전제다.</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재고 정확도 없는 MRP는 틀린 소요량을 정밀하게 계산할 뿐이므로(12장), 나는 언제나 재고에서 시작하라고 권한다.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3429000" cy="2091689"/>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3429000" cy="2091689"/>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관문이 다음 투자의 조건이라는 점이다. 월 마감 관문을 통과하지 못한 채 제조 POP를 개통하면 현장은 신뢰하지 않는 데이터 위에 입력 부담만 얹게 된다. 관문 미달의 표준 대응은 일정 연기가 아니라 범위 축소다. 운영은 6장 6.9절의 거버넌스 4역할과 함께 한다 — 표를 움직이는 것은 결국 이 네 사람이다. 같은 표는 외부 제안의 검증 도구이기도 하다. 진단 없이 모듈 목록부터 제시하거나, 1단계 관문 없이 AI를 약속하는 제안은 이 표에 비추면 결격이 드러난다.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데이터 정비다. 둘째, 어느 모듈이든 같은 사다리를 오른다 — 보이는 관리에서 말하는 관리로, 추론하는 관리로. 셋째, 플랫폼의 결핍은 질문이 요구할 때만 부스터로 메우며, 그 완성형이 서드브레인 아키텍처다. 정직한 결산도 남긴다 —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bookmarkEnd w:id="369"/>
    <w:bookmarkEnd w:id="370"/>
    <w:bookmarkStart w:id="371"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JEDAIX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없었다(JEDAIX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원이었다(JEDAIX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JEDAIX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JEDAIX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가지다(JEDAIX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방법(JEDAIX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『JEDAIX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jedaix-온톨로지-말이-시스템이-되는-길"/>
    <w:p>
      <w:pPr>
        <w:pStyle w:val="Heading1"/>
      </w:pPr>
      <w:r>
        <w:t xml:space="preserve">제19장. JEDAIX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JEDAIX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JEDAIX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『JEDAIX 사용자 운영 매뉴얼 Base Camp 2 (v9)』. i7(아이세븐).</w:t>
      </w:r>
    </w:p>
    <w:p>
      <w:pPr>
        <w:numPr>
          <w:ilvl w:val="0"/>
          <w:numId w:val="1041"/>
        </w:numPr>
        <w:pStyle w:val="Compact"/>
      </w:pPr>
      <w:r>
        <w:t xml:space="preserve">정인호 (2026). 『Ontology 기반의 AI-Agent Workflow 구축 — JEDAIX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JEDAIX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JEDAIX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jedaix-형식지의-원장과-암묵지의-판단-계층"/>
    <w:p>
      <w:pPr>
        <w:pStyle w:val="Heading2"/>
      </w:pPr>
      <w:r>
        <w:t xml:space="preserve">20.3 Odoo와 JEDAIX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JEDAIX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JEDAIX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JEDAIX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『JEDAIX 사용자 운영 매뉴얼 Base Camp 2 (v9)』. i7/JEDAIX.</w:t>
      </w:r>
    </w:p>
    <w:p>
      <w:pPr>
        <w:numPr>
          <w:ilvl w:val="0"/>
          <w:numId w:val="1044"/>
        </w:numPr>
        <w:pStyle w:val="Compact"/>
      </w:pPr>
      <w:r>
        <w:t xml:space="preserve">정인호 (2026). 『Ontology 기반의 AI-Agent Workflow 구축 — JEDAIX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JEDAIX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(JEDAIX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『JEDAIX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합류-기록하는-erp에서-판단하는-erp로"/>
    <w:p>
      <w:pPr>
        <w:pStyle w:val="Heading2"/>
      </w:pPr>
      <w:r>
        <w:t xml:space="preserve">합류: 기록하는 ERP에서 판단하는 ERP로</w:t>
      </w:r>
    </w:p>
    <w:p>
      <w:pPr>
        <w:pStyle w:val="CaptionedFigure"/>
      </w:pPr>
      <w:r>
        <w:drawing>
          <wp:inline>
            <wp:extent cx="3429000" cy="2438400"/>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NanumMyeongjo" w:hAnsi="NanumMyeongjo" w:eastAsia="NanumMyeongjo" w:cs="NanumMyeongjo"/>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rPr>
      <w:rFonts w:ascii="NanumMyeongjo" w:hAnsi="NanumMyeongjo" w:eastAsia="NanumMyeongjo" w:cs="NanumMyeongjo"/>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NanumMyeongjo" w:hAnsi="NanumMyeongjo" w:eastAsia="NanumMyeongjo" w:cs="NanumMyeongjo"/>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anumGothic" w:hAnsi="NanumGothic" w:eastAsia="NanumGothic" w:cs="Nanum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NanumGothic" w:hAnsi="NanumGothic" w:eastAsia="NanumGothic" w:cs="NanumGothic"/>
      <w:sz w:val="30"/>
      <w:szCs w:val="30"/>
    </w:rPr>
  </w:style>
  <w:style w:customStyle="1" w:styleId="Author" w:type="paragraph">
    <w:name w:val="Author"/>
    <w:next w:val="BodyText"/>
    <w:qFormat/>
    <w:pPr>
      <w:keepNext/>
      <w:keepLines/>
      <w:jc w:val="center"/>
    </w:pPr>
    <w:rPr>
      <w:rFonts w:ascii="NanumGothic" w:hAnsi="NanumGothic" w:eastAsia="NanumGothic" w:cs="NanumGothic"/>
    </w:rPr>
  </w:style>
  <w:style w:styleId="Date" w:type="paragraph">
    <w:name w:val="Date"/>
    <w:next w:val="BodyText"/>
    <w:qFormat/>
    <w:pPr>
      <w:keepNext/>
      <w:keepLines/>
      <w:jc w:val="center"/>
    </w:pPr>
    <w:rPr>
      <w:rFonts w:ascii="NanumGothic" w:hAnsi="NanumGothic" w:eastAsia="NanumGothic" w:cs="NanumGothic"/>
    </w:rPr>
  </w:style>
  <w:style w:customStyle="1" w:styleId="AbstractTitle" w:type="paragraph">
    <w:name w:val="Abstract Title"/>
    <w:basedOn w:val="Normal"/>
    <w:next w:val="Abstract"/>
    <w:qFormat/>
    <w:pPr>
      <w:keepNext/>
      <w:keepLines/>
      <w:jc w:val="center"/>
      <w:spacing w:after="0" w:before="300"/>
    </w:pPr>
    <w:rPr>
      <w:rFonts w:ascii="NanumMyeongjo" w:hAnsi="NanumMyeongjo" w:eastAsia="NanumMyeongjo" w:cs="NanumMyeongjo"/>
      <w:sz w:val="20"/>
      <w:szCs w:val="20"/>
      <w:b/>
      <w:color w:val="345A8A"/>
      &gt;
    </w:rPr>
  </w:style>
  <w:style w:customStyle="1" w:styleId="Abstract" w:type="paragraph">
    <w:name w:val="Abstract"/>
    <w:basedOn w:val="Normal"/>
    <w:next w:val="BodyText"/>
    <w:qFormat/>
    <w:pPr>
      <w:keepNext/>
      <w:keepLines/>
      <w:spacing w:after="300" w:before="100"/>
    </w:pPr>
    <w:rPr>
      <w:rFonts w:ascii="NanumMyeongjo" w:hAnsi="NanumMyeongjo" w:eastAsia="NanumMyeongjo" w:cs="NanumMyeongjo"/>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NanumGothic" w:hAnsi="NanumGothic" w:eastAsia="NanumGothic" w:cs="Nanum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NanumGothic" w:hAnsi="NanumGothic" w:eastAsia="NanumGothic" w:cs="Nanum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NanumGothic" w:hAnsi="NanumGothic" w:eastAsia="NanumGothic" w:cs="Nanum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NanumGothic" w:hAnsi="NanumGothic" w:eastAsia="NanumGothic" w:cs="Nanum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NanumGothic" w:hAnsi="NanumGothic" w:eastAsia="NanumGothic" w:cs="Nanum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NanumGothic" w:hAnsi="NanumGothic" w:eastAsia="NanumGothic" w:cs="Nanum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NanumGothic" w:hAnsi="NanumGothic" w:eastAsia="NanumGothic" w:cs="Nanum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NanumGothic" w:hAnsi="NanumGothic" w:eastAsia="NanumGothic" w:cs="Nanum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NanumGothic" w:hAnsi="NanumGothic" w:eastAsia="NanumGothic" w:cs="Nanum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NanumMyeongjo" w:hAnsi="NanumMyeongjo" w:eastAsia="NanumMyeongjo" w:cs="NanumMyeongjo"/>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NanumMyeongjo" w:hAnsi="NanumMyeongjo" w:eastAsia="NanumMyeongjo" w:cs="NanumMyeongjo"/>
      <w:b/>
    </w:rPr>
  </w:style>
  <w:style w:customStyle="1" w:styleId="Definition" w:type="paragraph">
    <w:name w:val="Definition"/>
    <w:basedOn w:val="Normal"/>
  </w:style>
  <w:style w:styleId="Caption" w:type="paragraph">
    <w:name w:val="Caption"/>
    <w:basedOn w:val="Normal"/>
    <w:link w:val="BodyTextChar"/>
    <w:pPr>
      <w:spacing w:after="120" w:before="0"/>
    </w:pPr>
    <w:rPr>
      <w:rFonts w:ascii="NanumMyeongjo" w:hAnsi="NanumMyeongjo" w:eastAsia="NanumMyeongjo" w:cs="NanumMyeongjo"/>
      <w:i/>
    </w:rPr>
  </w:style>
  <w:style w:customStyle="1" w:styleId="TableCaption" w:type="paragraph">
    <w:name w:val="Table Caption"/>
    <w:basedOn w:val="Caption"/>
    <w:pPr>
      <w:keepNext/>
    </w:pPr>
    <w:rPr>
      <w:rFonts w:ascii="NanumMyeongjo" w:hAnsi="NanumMyeongjo" w:eastAsia="NanumMyeongjo" w:cs="NanumMyeongjo"/>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rPr>
      <w:rFonts w:ascii="NanumMyeongjo" w:hAnsi="NanumMyeongjo" w:eastAsia="NanumMyeongjo" w:cs="NanumMyeongj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Myeongjo" w:hAnsi="NanumMyeongjo" w:eastAsia="NanumMyeongjo" w:cs="NanumMyeongjo"/>
      <w:sz w:val="22"/>
    </w:rPr>
  </w:style>
  <w:style w:customStyle="1" w:styleId="SectionNumber" w:type="character">
    <w:name w:val="Section Number"/>
    <w:basedOn w:val="BodyTextChar"/>
  </w:style>
  <w:style w:styleId="FootnoteReference" w:type="character">
    <w:name w:val="Footnote Reference"/>
    <w:basedOn w:val="BodyTextChar"/>
    <w:rPr>
      <w:rFonts w:ascii="NanumMyeongjo" w:hAnsi="NanumMyeongjo" w:eastAsia="NanumMyeongjo" w:cs="NanumMyeongjo"/>
      <w:vertAlign w:val="superscript"/>
    </w:rPr>
  </w:style>
  <w:style w:styleId="Hyperlink" w:type="character">
    <w:name w:val="Hyperlink"/>
    <w:basedOn w:val="BodyTextChar"/>
    <w:rPr>
      <w:rFonts w:ascii="NanumMyeongjo" w:hAnsi="NanumMyeongjo" w:eastAsia="NanumMyeongjo" w:cs="NanumMyeongjo"/>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NanumGothic" w:hAnsi="NanumGothic" w:eastAsia="NanumGothic" w:cs="NanumGothic"/>
      <w:b w:val="0"/>
      <w:bCs w:val="0"/>
      <w:color w:themeColor="accent1" w:themeShade="BF" w:val="365F91"/>
    </w:rPr>
  </w:style>
  <w:style w:type="paragraph" w:customStyle="1" w:styleId="SourceCode">
    <w:name w:val="Source Code"/>
    <w:basedOn w:val="Normal"/>
    <w:link w:val="VerbatimChar"/>
    <w:pPr>
      <w:wordWrap w:val="off"/>
    </w:pPr>
    <w:rPr>
      <w:rFonts w:ascii="NanumMyeongjo" w:hAnsi="NanumMyeongjo" w:eastAsia="NanumMyeongjo" w:cs="NanumMyeongjo"/>
    </w:rPr>
  </w:style>
  <w:style w:type="character" w:customStyle="1" w:styleId="KeywordTok">
    <w:name w:val="KeywordTok"/>
    <w:basedOn w:val="VerbatimChar"/>
    <w:rPr>
      <w:rFonts w:ascii="NanumMyeongjo" w:hAnsi="NanumMyeongjo" w:eastAsia="NanumMyeongjo" w:cs="NanumMyeongjo"/>
      <w:color w:val="007020"/>
      <w:b/>
    </w:rPr>
  </w:style>
  <w:style w:type="character" w:customStyle="1" w:styleId="DataTypeTok">
    <w:name w:val="DataTypeTok"/>
    <w:basedOn w:val="VerbatimChar"/>
    <w:rPr>
      <w:rFonts w:ascii="NanumMyeongjo" w:hAnsi="NanumMyeongjo" w:eastAsia="NanumMyeongjo" w:cs="NanumMyeongjo"/>
      <w:color w:val="902000"/>
    </w:rPr>
  </w:style>
  <w:style w:type="character" w:customStyle="1" w:styleId="DecValTok">
    <w:name w:val="DecValTok"/>
    <w:basedOn w:val="VerbatimChar"/>
    <w:rPr>
      <w:rFonts w:ascii="NanumMyeongjo" w:hAnsi="NanumMyeongjo" w:eastAsia="NanumMyeongjo" w:cs="NanumMyeongjo"/>
      <w:color w:val="40a070"/>
    </w:rPr>
  </w:style>
  <w:style w:type="character" w:customStyle="1" w:styleId="BaseNTok">
    <w:name w:val="BaseNTok"/>
    <w:basedOn w:val="VerbatimChar"/>
    <w:rPr>
      <w:rFonts w:ascii="NanumMyeongjo" w:hAnsi="NanumMyeongjo" w:eastAsia="NanumMyeongjo" w:cs="NanumMyeongjo"/>
      <w:color w:val="40a070"/>
    </w:rPr>
  </w:style>
  <w:style w:type="character" w:customStyle="1" w:styleId="FloatTok">
    <w:name w:val="FloatTok"/>
    <w:basedOn w:val="VerbatimChar"/>
    <w:rPr>
      <w:rFonts w:ascii="NanumMyeongjo" w:hAnsi="NanumMyeongjo" w:eastAsia="NanumMyeongjo" w:cs="NanumMyeongjo"/>
      <w:color w:val="40a070"/>
    </w:rPr>
  </w:style>
  <w:style w:type="character" w:customStyle="1" w:styleId="ConstantTok">
    <w:name w:val="ConstantTok"/>
    <w:basedOn w:val="VerbatimChar"/>
    <w:rPr>
      <w:rFonts w:ascii="NanumMyeongjo" w:hAnsi="NanumMyeongjo" w:eastAsia="NanumMyeongjo" w:cs="NanumMyeongjo"/>
      <w:color w:val="880000"/>
    </w:rPr>
  </w:style>
  <w:style w:type="character" w:customStyle="1" w:styleId="CharTok">
    <w:name w:val="CharTok"/>
    <w:basedOn w:val="VerbatimChar"/>
    <w:rPr>
      <w:rFonts w:ascii="NanumMyeongjo" w:hAnsi="NanumMyeongjo" w:eastAsia="NanumMyeongjo" w:cs="NanumMyeongjo"/>
      <w:color w:val="4070a0"/>
    </w:rPr>
  </w:style>
  <w:style w:type="character" w:customStyle="1" w:styleId="SpecialCharTok">
    <w:name w:val="SpecialCharTok"/>
    <w:basedOn w:val="VerbatimChar"/>
    <w:rPr>
      <w:rFonts w:ascii="NanumMyeongjo" w:hAnsi="NanumMyeongjo" w:eastAsia="NanumMyeongjo" w:cs="NanumMyeongjo"/>
      <w:color w:val="4070a0"/>
    </w:rPr>
  </w:style>
  <w:style w:type="character" w:customStyle="1" w:styleId="StringTok">
    <w:name w:val="StringTok"/>
    <w:basedOn w:val="VerbatimChar"/>
    <w:rPr>
      <w:rFonts w:ascii="NanumMyeongjo" w:hAnsi="NanumMyeongjo" w:eastAsia="NanumMyeongjo" w:cs="NanumMyeongjo"/>
      <w:color w:val="4070a0"/>
    </w:rPr>
  </w:style>
  <w:style w:type="character" w:customStyle="1" w:styleId="VerbatimStringTok">
    <w:name w:val="VerbatimStringTok"/>
    <w:basedOn w:val="VerbatimChar"/>
    <w:rPr>
      <w:rFonts w:ascii="NanumMyeongjo" w:hAnsi="NanumMyeongjo" w:eastAsia="NanumMyeongjo" w:cs="NanumMyeongjo"/>
      <w:color w:val="4070a0"/>
    </w:rPr>
  </w:style>
  <w:style w:type="character" w:customStyle="1" w:styleId="SpecialStringTok">
    <w:name w:val="SpecialStringTok"/>
    <w:basedOn w:val="VerbatimChar"/>
    <w:rPr>
      <w:rFonts w:ascii="NanumMyeongjo" w:hAnsi="NanumMyeongjo" w:eastAsia="NanumMyeongjo" w:cs="NanumMyeongjo"/>
      <w:color w:val="bb6688"/>
    </w:rPr>
  </w:style>
  <w:style w:type="character" w:customStyle="1" w:styleId="ImportTok">
    <w:name w:val="ImportTok"/>
    <w:basedOn w:val="VerbatimChar"/>
    <w:rPr>
      <w:rFonts w:ascii="NanumMyeongjo" w:hAnsi="NanumMyeongjo" w:eastAsia="NanumMyeongjo" w:cs="NanumMyeongjo"/>
      <w:color w:val="008000"/>
      <w:b/>
    </w:rPr>
  </w:style>
  <w:style w:type="character" w:customStyle="1" w:styleId="CommentTok">
    <w:name w:val="CommentTok"/>
    <w:basedOn w:val="VerbatimChar"/>
    <w:rPr>
      <w:rFonts w:ascii="NanumMyeongjo" w:hAnsi="NanumMyeongjo" w:eastAsia="NanumMyeongjo" w:cs="NanumMyeongjo"/>
      <w:color w:val="60a0b0"/>
      <w:i/>
    </w:rPr>
  </w:style>
  <w:style w:type="character" w:customStyle="1" w:styleId="DocumentationTok">
    <w:name w:val="DocumentationTok"/>
    <w:basedOn w:val="VerbatimChar"/>
    <w:rPr>
      <w:rFonts w:ascii="NanumMyeongjo" w:hAnsi="NanumMyeongjo" w:eastAsia="NanumMyeongjo" w:cs="NanumMyeongjo"/>
      <w:color w:val="ba2121"/>
      <w:i/>
    </w:rPr>
  </w:style>
  <w:style w:type="character" w:customStyle="1" w:styleId="AnnotationTok">
    <w:name w:val="AnnotationTok"/>
    <w:basedOn w:val="VerbatimChar"/>
    <w:rPr>
      <w:rFonts w:ascii="NanumMyeongjo" w:hAnsi="NanumMyeongjo" w:eastAsia="NanumMyeongjo" w:cs="NanumMyeongjo"/>
      <w:color w:val="60a0b0"/>
      <w:b/>
      <w:i/>
    </w:rPr>
  </w:style>
  <w:style w:type="character" w:customStyle="1" w:styleId="CommentVarTok">
    <w:name w:val="CommentVarTok"/>
    <w:basedOn w:val="VerbatimChar"/>
    <w:rPr>
      <w:rFonts w:ascii="NanumMyeongjo" w:hAnsi="NanumMyeongjo" w:eastAsia="NanumMyeongjo" w:cs="NanumMyeongjo"/>
      <w:color w:val="60a0b0"/>
      <w:b/>
      <w:i/>
    </w:rPr>
  </w:style>
  <w:style w:type="character" w:customStyle="1" w:styleId="OtherTok">
    <w:name w:val="OtherTok"/>
    <w:basedOn w:val="VerbatimChar"/>
    <w:rPr>
      <w:rFonts w:ascii="NanumMyeongjo" w:hAnsi="NanumMyeongjo" w:eastAsia="NanumMyeongjo" w:cs="NanumMyeongjo"/>
      <w:color w:val="007020"/>
    </w:rPr>
  </w:style>
  <w:style w:type="character" w:customStyle="1" w:styleId="FunctionTok">
    <w:name w:val="FunctionTok"/>
    <w:basedOn w:val="VerbatimChar"/>
    <w:rPr>
      <w:rFonts w:ascii="NanumMyeongjo" w:hAnsi="NanumMyeongjo" w:eastAsia="NanumMyeongjo" w:cs="NanumMyeongjo"/>
      <w:color w:val="06287e"/>
    </w:rPr>
  </w:style>
  <w:style w:type="character" w:customStyle="1" w:styleId="VariableTok">
    <w:name w:val="VariableTok"/>
    <w:basedOn w:val="VerbatimChar"/>
    <w:rPr>
      <w:rFonts w:ascii="NanumMyeongjo" w:hAnsi="NanumMyeongjo" w:eastAsia="NanumMyeongjo" w:cs="NanumMyeongjo"/>
      <w:color w:val="19177c"/>
    </w:rPr>
  </w:style>
  <w:style w:type="character" w:customStyle="1" w:styleId="ControlFlowTok">
    <w:name w:val="ControlFlowTok"/>
    <w:basedOn w:val="VerbatimChar"/>
    <w:rPr>
      <w:rFonts w:ascii="NanumMyeongjo" w:hAnsi="NanumMyeongjo" w:eastAsia="NanumMyeongjo" w:cs="NanumMyeongjo"/>
      <w:color w:val="007020"/>
      <w:b/>
    </w:rPr>
  </w:style>
  <w:style w:type="character" w:customStyle="1" w:styleId="OperatorTok">
    <w:name w:val="OperatorTok"/>
    <w:basedOn w:val="VerbatimChar"/>
    <w:rPr>
      <w:rFonts w:ascii="NanumMyeongjo" w:hAnsi="NanumMyeongjo" w:eastAsia="NanumMyeongjo" w:cs="NanumMyeongjo"/>
      <w:color w:val="666666"/>
    </w:rPr>
  </w:style>
  <w:style w:type="character" w:customStyle="1" w:styleId="BuiltInTok">
    <w:name w:val="BuiltInTok"/>
    <w:basedOn w:val="VerbatimChar"/>
    <w:rPr>
      <w:rFonts w:ascii="NanumMyeongjo" w:hAnsi="NanumMyeongjo" w:eastAsia="NanumMyeongjo" w:cs="NanumMyeongjo"/>
      <w:color w:val="008000"/>
    </w:rPr>
  </w:style>
  <w:style w:type="character" w:customStyle="1" w:styleId="ExtensionTok">
    <w:name w:val="ExtensionTok"/>
    <w:basedOn w:val="VerbatimChar"/>
    <w:rPr/>
  </w:style>
  <w:style w:type="character" w:customStyle="1" w:styleId="PreprocessorTok">
    <w:name w:val="PreprocessorTok"/>
    <w:basedOn w:val="VerbatimChar"/>
    <w:rPr>
      <w:rFonts w:ascii="NanumMyeongjo" w:hAnsi="NanumMyeongjo" w:eastAsia="NanumMyeongjo" w:cs="NanumMyeongjo"/>
      <w:color w:val="bc7a00"/>
    </w:rPr>
  </w:style>
  <w:style w:type="character" w:customStyle="1" w:styleId="AttributeTok">
    <w:name w:val="AttributeTok"/>
    <w:basedOn w:val="VerbatimChar"/>
    <w:rPr>
      <w:rFonts w:ascii="NanumMyeongjo" w:hAnsi="NanumMyeongjo" w:eastAsia="NanumMyeongjo" w:cs="NanumMyeongjo"/>
      <w:color w:val="7d9029"/>
    </w:rPr>
  </w:style>
  <w:style w:type="character" w:customStyle="1" w:styleId="RegionMarkerTok">
    <w:name w:val="RegionMarkerTok"/>
    <w:basedOn w:val="VerbatimChar"/>
    <w:rPr/>
  </w:style>
  <w:style w:type="character" w:customStyle="1" w:styleId="InformationTok">
    <w:name w:val="InformationTok"/>
    <w:basedOn w:val="VerbatimChar"/>
    <w:rPr>
      <w:rFonts w:ascii="NanumMyeongjo" w:hAnsi="NanumMyeongjo" w:eastAsia="NanumMyeongjo" w:cs="NanumMyeongjo"/>
      <w:color w:val="60a0b0"/>
      <w:b/>
      <w:i/>
    </w:rPr>
  </w:style>
  <w:style w:type="character" w:customStyle="1" w:styleId="WarningTok">
    <w:name w:val="WarningTok"/>
    <w:basedOn w:val="VerbatimChar"/>
    <w:rPr>
      <w:rFonts w:ascii="NanumMyeongjo" w:hAnsi="NanumMyeongjo" w:eastAsia="NanumMyeongjo" w:cs="NanumMyeongjo"/>
      <w:color w:val="60a0b0"/>
      <w:b/>
      <w:i/>
    </w:rPr>
  </w:style>
  <w:style w:type="character" w:customStyle="1" w:styleId="AlertTok">
    <w:name w:val="AlertTok"/>
    <w:basedOn w:val="VerbatimChar"/>
    <w:rPr>
      <w:rFonts w:ascii="NanumMyeongjo" w:hAnsi="NanumMyeongjo" w:eastAsia="NanumMyeongjo" w:cs="NanumMyeongjo"/>
      <w:color w:val="ff0000"/>
      <w:b/>
    </w:rPr>
  </w:style>
  <w:style w:type="character" w:customStyle="1" w:styleId="ErrorTok">
    <w:name w:val="ErrorTok"/>
    <w:basedOn w:val="VerbatimChar"/>
    <w:rPr>
      <w:rFonts w:ascii="NanumMyeongjo" w:hAnsi="NanumMyeongjo" w:eastAsia="NanumMyeongjo" w:cs="NanumMyeongjo"/>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anumMyeongjo"/>
        <a:ea typeface="NanumMyeongjo"/>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anumMyeongjo"/>
        <a:ea typeface="NanumMyeongjo"/>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2026-08-25T10:27:06Z</dcterms:created>
  <dcterms:modified xsi:type="dcterms:W3CDTF">2026-08-25T10:27:06Z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