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rFonts w:ascii="Malgun Gothic" w:cs="Malgun Gothic" w:eastAsia="Malgun Gothic" w:hAnsi="Malgun Gothic"/>
          <w:color w:val="888888"/>
          <w:sz w:val="22"/>
          <w:szCs w:val="22"/>
        </w:rPr>
        <w:t xml:space="preserve">기사 분석 리포트</w:t>
      </w:r>
    </w:p>
    <w:p>
      <w:pPr>
        <w:spacing w:after="200"/>
        <w:jc w:val="center"/>
      </w:pPr>
      <w:r>
        <w:rPr>
          <w:rFonts w:ascii="Malgun Gothic" w:cs="Malgun Gothic" w:eastAsia="Malgun Gothic" w:hAnsi="Malgun Gothic"/>
          <w:b/>
          <w:bCs/>
          <w:color w:val="1F3864"/>
          <w:sz w:val="38"/>
          <w:szCs w:val="38"/>
        </w:rPr>
        <w:t xml:space="preserve">AI 시대, 왜 지금 '우뇌경제'인가</w:t>
      </w:r>
    </w:p>
    <w:p>
      <w:pPr>
        <w:spacing w:after="240"/>
        <w:jc w:val="center"/>
      </w:pPr>
      <w:r>
        <w:rPr>
          <w:rFonts w:ascii="Malgun Gothic" w:cs="Malgun Gothic" w:eastAsia="Malgun Gothic" w:hAnsi="Malgun Gothic"/>
          <w:color w:val="444444"/>
          <w:sz w:val="24"/>
          <w:szCs w:val="24"/>
        </w:rPr>
        <w:t xml:space="preserve">좌뇌경제의 한계와 우뇌경제 전환론 — 서드브레인 프레임워크와의 연결</w:t>
      </w:r>
    </w:p>
    <w:p>
      <w:pPr>
        <w:spacing w:after="60"/>
        <w:jc w:val="center"/>
      </w:pPr>
      <w:r>
        <w:rPr>
          <w:rFonts w:ascii="Malgun Gothic" w:cs="Malgun Gothic" w:eastAsia="Malgun Gothic" w:hAnsi="Malgun Gothic"/>
          <w:color w:val="666666"/>
          <w:sz w:val="20"/>
          <w:szCs w:val="20"/>
        </w:rPr>
        <w:t xml:space="preserve">원문: 매경ECONOMY 커버스토리 (2025.12.3~12.9, pp.20~22)</w:t>
      </w:r>
    </w:p>
    <w:p>
      <w:pPr>
        <w:spacing w:after="130"/>
        <w:jc w:val="center"/>
      </w:pPr>
      <w:r>
        <w:rPr>
          <w:rFonts w:ascii="Malgun Gothic" w:cs="Malgun Gothic" w:eastAsia="Malgun Gothic" w:hAnsi="Malgun Gothic"/>
          <w:color w:val="888888"/>
          <w:sz w:val="19"/>
          <w:szCs w:val="19"/>
        </w:rPr>
        <w:t xml:space="preserve">취재: 배준희·빈진욱·문지민·조동현 기자  |  분석 정리: 2026.7.19</w:t>
      </w:r>
    </w:p>
    <w:p>
      <w:r>
        <w:br w:type="page"/>
      </w:r>
    </w:p>
    <w:p>
      <w:pPr>
        <w:pStyle w:val="Heading1"/>
        <w:spacing w:after="160" w:before="360"/>
      </w:pPr>
      <w:r>
        <w:rPr>
          <w:rFonts w:ascii="Malgun Gothic" w:cs="Malgun Gothic" w:eastAsia="Malgun Gothic" w:hAnsi="Malgun Gothic"/>
          <w:b/>
          <w:bCs/>
          <w:color w:val="1F3864"/>
          <w:sz w:val="30"/>
          <w:szCs w:val="30"/>
        </w:rPr>
        <w:t xml:space="preserve">1. 핵심 요약</w:t>
      </w:r>
    </w:p>
    <w:p>
      <w:pPr>
        <w:pStyle w:val="ListParagraph"/>
        <w:numPr>
          <w:ilvl w:val="0"/>
          <w:numId w:val="2"/>
        </w:numPr>
        <w:spacing w:after="80"/>
      </w:pPr>
      <w:r>
        <w:rPr>
          <w:rFonts w:ascii="Malgun Gothic" w:cs="Malgun Gothic" w:eastAsia="Malgun Gothic" w:hAnsi="Malgun Gothic"/>
          <w:sz w:val="21"/>
          <w:szCs w:val="21"/>
        </w:rPr>
        <w:t xml:space="preserve">한국 경제의 고도성장은 분업·효율·계획 중심의 '좌뇌경제' 공식(KPI·ROI·속도) 위에서 이뤄졌으나, 이는 '정답이 정해진 시장'에서만 유효한 성장 모델이다.</w:t>
      </w:r>
    </w:p>
    <w:p>
      <w:pPr>
        <w:pStyle w:val="ListParagraph"/>
        <w:numPr>
          <w:ilvl w:val="0"/>
          <w:numId w:val="2"/>
        </w:numPr>
        <w:spacing w:after="80"/>
      </w:pPr>
      <w:r>
        <w:rPr>
          <w:rFonts w:ascii="Malgun Gothic" w:cs="Malgun Gothic" w:eastAsia="Malgun Gothic" w:hAnsi="Malgun Gothic"/>
          <w:sz w:val="21"/>
          <w:szCs w:val="21"/>
        </w:rPr>
        <w:t xml:space="preserve">AI 확산으로 산업 질서가 재편되는 지금은 '정답 없는 시장'이며, 새로운 문제를 스스로 만들어내는 우뇌형 사고방식이 경쟁력의 원천이 된다.</w:t>
      </w:r>
    </w:p>
    <w:p>
      <w:pPr>
        <w:pStyle w:val="ListParagraph"/>
        <w:numPr>
          <w:ilvl w:val="0"/>
          <w:numId w:val="2"/>
        </w:numPr>
        <w:spacing w:after="80"/>
      </w:pPr>
      <w:r>
        <w:rPr>
          <w:rFonts w:ascii="Malgun Gothic" w:cs="Malgun Gothic" w:eastAsia="Malgun Gothic" w:hAnsi="Malgun Gothic"/>
          <w:sz w:val="21"/>
          <w:szCs w:val="21"/>
        </w:rPr>
        <w:t xml:space="preserve">뇌과학 연구(일마즈 교수, 2023)는 우뇌 우세 성향과 기업가정신·경제성장의 연관을 보고하며, 창업가는 일반인 대비 우뇌 성향이 뚜렷하다.</w:t>
      </w:r>
    </w:p>
    <w:p>
      <w:pPr>
        <w:pStyle w:val="ListParagraph"/>
        <w:numPr>
          <w:ilvl w:val="0"/>
          <w:numId w:val="2"/>
        </w:numPr>
        <w:spacing w:after="80"/>
      </w:pPr>
      <w:r>
        <w:rPr>
          <w:rFonts w:ascii="Malgun Gothic" w:cs="Malgun Gothic" w:eastAsia="Malgun Gothic" w:hAnsi="Malgun Gothic"/>
          <w:sz w:val="21"/>
          <w:szCs w:val="21"/>
        </w:rPr>
        <w:t xml:space="preserve">한국 주력 산업(반도체·자동차·가전)은 '전략적 변곡점'에 도달 — 효율(수율·공정) 경쟁에서 설계·경험·서사 경쟁으로 부가가치의 중심이 이동 중이다.</w:t>
      </w:r>
    </w:p>
    <w:p>
      <w:pPr>
        <w:pStyle w:val="ListParagraph"/>
        <w:numPr>
          <w:ilvl w:val="0"/>
          <w:numId w:val="2"/>
        </w:numPr>
        <w:spacing w:after="80"/>
      </w:pPr>
      <w:r>
        <w:rPr>
          <w:rFonts w:ascii="Malgun Gothic" w:cs="Malgun Gothic" w:eastAsia="Malgun Gothic" w:hAnsi="Malgun Gothic"/>
          <w:sz w:val="21"/>
          <w:szCs w:val="21"/>
        </w:rPr>
        <w:t xml:space="preserve">포지티브(열거주의) 규제는 시행착오로 성장하는 우뇌경제 산업과 구조적으로 충돌 — '포괄적 네거티브' 전환과 사후 규제가 핵심 과제로 제시된다.</w:t>
      </w:r>
    </w:p>
    <w:p>
      <w:pPr>
        <w:pStyle w:val="ListParagraph"/>
        <w:numPr>
          <w:ilvl w:val="0"/>
          <w:numId w:val="2"/>
        </w:numPr>
        <w:spacing w:after="80"/>
      </w:pPr>
      <w:r>
        <w:rPr>
          <w:rFonts w:ascii="Malgun Gothic" w:cs="Malgun Gothic" w:eastAsia="Malgun Gothic" w:hAnsi="Malgun Gothic"/>
          <w:sz w:val="21"/>
          <w:szCs w:val="21"/>
        </w:rPr>
        <w:t xml:space="preserve">K콘텐츠 팬덤 경제(엔터→팬덤→IP→커머스→금융)와 초고속 모바일 소비 생태계는 한국이 이미 보유한 우뇌경제 자산이다.</w:t>
      </w:r>
    </w:p>
    <w:p>
      <w:pPr>
        <w:pStyle w:val="Heading1"/>
        <w:spacing w:after="160" w:before="360"/>
      </w:pPr>
      <w:r>
        <w:rPr>
          <w:rFonts w:ascii="Malgun Gothic" w:cs="Malgun Gothic" w:eastAsia="Malgun Gothic" w:hAnsi="Malgun Gothic"/>
          <w:b/>
          <w:bCs/>
          <w:color w:val="1F3864"/>
          <w:sz w:val="30"/>
          <w:szCs w:val="30"/>
        </w:rPr>
        <w:t xml:space="preserve">2. 기사 상세 정리</w:t>
      </w:r>
    </w:p>
    <w:p>
      <w:pPr>
        <w:pStyle w:val="Heading2"/>
        <w:spacing w:after="120" w:before="240"/>
      </w:pPr>
      <w:r>
        <w:rPr>
          <w:rFonts w:ascii="Malgun Gothic" w:cs="Malgun Gothic" w:eastAsia="Malgun Gothic" w:hAnsi="Malgun Gothic"/>
          <w:b/>
          <w:bCs/>
          <w:color w:val="2E5596"/>
          <w:sz w:val="24"/>
          <w:szCs w:val="24"/>
        </w:rPr>
        <w:t xml:space="preserve">2.1 좌뇌경제의 성공 공식, 그리고 한계</w:t>
      </w:r>
    </w:p>
    <w:p>
      <w:pPr>
        <w:spacing w:after="130"/>
      </w:pPr>
      <w:r>
        <w:rPr>
          <w:rFonts w:ascii="Malgun Gothic" w:cs="Malgun Gothic" w:eastAsia="Malgun Gothic" w:hAnsi="Malgun Gothic"/>
          <w:sz w:val="21"/>
          <w:szCs w:val="21"/>
        </w:rPr>
        <w:t xml:space="preserve">한국 주력 산업은 예측 경영이 가능하던 시절, 범용 제품에 특화한 중앙집중적 생산 구조로 성장했다. 계열사 간 수직계열화로 생산 플랫폼을 공유하며 비용 절감과 점진적 기술 혁신을 거듭하는 방식이다. 학계는 이를 '좌뇌경제(계획·효율 중심)'와 '우뇌경제(위험 감수·이상 추구·혁신)'의 프레임으로 진단한다.</w:t>
      </w:r>
    </w:p>
    <w:p>
      <w:pPr>
        <w:spacing w:after="130"/>
      </w:pPr>
      <w:r>
        <w:rPr>
          <w:rFonts w:ascii="Malgun Gothic" w:cs="Malgun Gothic" w:eastAsia="Malgun Gothic" w:hAnsi="Malgun Gothic"/>
          <w:sz w:val="21"/>
          <w:szCs w:val="21"/>
        </w:rPr>
        <w:t xml:space="preserve">범용 제품 시대의 종언과 AI 확산으로 좌뇌경제형 경쟁력이 무력화되는 추세가 뚜렷해졌고, 효율성 중심 성장 모델이 한계를 노출한 만큼 우뇌경제를 접목한 구조 대전환이 필요하다는 것이 다수 전문가의 진단이다.</w:t>
      </w:r>
    </w:p>
    <w:p>
      <w:pPr>
        <w:pBdr>
          <w:left w:val="single" w:color="2E5596" w:sz="12" w:space="8"/>
        </w:pBdr>
        <w:spacing w:after="160" w:before="60"/>
        <w:ind w:left="400"/>
      </w:pPr>
      <w:r>
        <w:rPr>
          <w:rFonts w:ascii="Malgun Gothic" w:cs="Malgun Gothic" w:eastAsia="Malgun Gothic" w:hAnsi="Malgun Gothic"/>
          <w:i/>
          <w:iCs/>
          <w:color w:val="555555"/>
          <w:sz w:val="21"/>
          <w:szCs w:val="21"/>
        </w:rPr>
        <w:t xml:space="preserve">"정답이 정해진 시장에서는 효율을 좇는 좌뇌형 성장 공식이 잘 들어맞았다. 지금은 경영 환경이 180도 달라졌다. 새로운 문제를 스스로 만들어내는 능력, 즉 우뇌형 사고방식이 요구된다."</w:t>
      </w:r>
    </w:p>
    <w:p>
      <w:pPr>
        <w:pStyle w:val="Heading2"/>
        <w:spacing w:after="120" w:before="240"/>
      </w:pPr>
      <w:r>
        <w:rPr>
          <w:rFonts w:ascii="Malgun Gothic" w:cs="Malgun Gothic" w:eastAsia="Malgun Gothic" w:hAnsi="Malgun Gothic"/>
          <w:b/>
          <w:bCs/>
          <w:color w:val="2E5596"/>
          <w:sz w:val="24"/>
          <w:szCs w:val="24"/>
        </w:rPr>
        <w:t xml:space="preserve">2.2 뇌과학적 근거</w:t>
      </w:r>
    </w:p>
    <w:p>
      <w:pPr>
        <w:spacing w:after="130"/>
      </w:pPr>
      <w:r>
        <w:rPr>
          <w:rFonts w:ascii="Malgun Gothic" w:cs="Malgun Gothic" w:eastAsia="Malgun Gothic" w:hAnsi="Malgun Gothic"/>
          <w:sz w:val="21"/>
          <w:szCs w:val="21"/>
        </w:rPr>
        <w:t xml:space="preserve">현대 신경과학은 뇌 기능이 좌·우로 완전히 분리된 것이 아니라 좌·우뇌를 동시에 동원하는 네트워크 시스템에 가깝다고 본다(완벽한 분업의 근거는 없음). 다만 '기능적 편향'은 일관되게 관찰된다: 좌뇌는 언어·분석·규칙 기반 처리에, 우뇌는 공간·직관·상상·은유·통합적 판단에 비교우위를 보인다.</w:t>
      </w:r>
    </w:p>
    <w:p>
      <w:pPr>
        <w:spacing w:after="130"/>
      </w:pPr>
      <w:r>
        <w:rPr>
          <w:rFonts w:ascii="Malgun Gothic" w:cs="Malgun Gothic" w:eastAsia="Malgun Gothic" w:hAnsi="Malgun Gothic"/>
          <w:sz w:val="21"/>
          <w:szCs w:val="21"/>
        </w:rPr>
        <w:t xml:space="preserve">무스타파 일마즈(튀르키예 네지메틴 에르바칸대) 교수의 논문 「Investigation of Human Brain in the Relationship between Entrepreneurship and Economic Growth」(2023)는 우뇌를 창의·혁신의 뇌 영역으로 보고, 우뇌가 지배적인 개인은 위험을 감수하고 새로운 시도를 하는 기업가적 성향이 강하다고 결론 내린다. 창업가-비창업가 비교 연구에서도 창업가는 우뇌 성향이 뚜렷했으며, 이는 우뇌 발달·활용이 창업 행위와 밀접히 연결되고 궁극적으로 경제 성장 동력이 될 수 있음을 시사한다.</w:t>
      </w:r>
    </w:p>
    <w:p>
      <w:pPr>
        <w:pStyle w:val="Heading2"/>
        <w:spacing w:after="120" w:before="240"/>
      </w:pPr>
      <w:r>
        <w:rPr>
          <w:rFonts w:ascii="Malgun Gothic" w:cs="Malgun Gothic" w:eastAsia="Malgun Gothic" w:hAnsi="Malgun Gothic"/>
          <w:b/>
          <w:bCs/>
          <w:color w:val="2E5596"/>
          <w:sz w:val="24"/>
          <w:szCs w:val="24"/>
        </w:rPr>
        <w:t xml:space="preserve">2.3 좌뇌경제 vs 우뇌경제 (기사 비교표 재구성)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구분</w:t>
            </w:r>
          </w:p>
        </w:tc>
        <w:tc>
          <w:tcPr>
            <w:tcW w:type="dxa" w:w="3700"/>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좌뇌경제</w:t>
            </w:r>
          </w:p>
        </w:tc>
        <w:tc>
          <w:tcPr>
            <w:tcW w:type="dxa" w:w="3826"/>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우뇌경제</w:t>
            </w:r>
          </w:p>
        </w:tc>
      </w:tr>
      <w:tr>
        <w:tc>
          <w:tcPr>
            <w:tcW w:type="dxa" w:w="15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기능적 기반</w:t>
            </w:r>
          </w:p>
        </w:tc>
        <w:tc>
          <w:tcPr>
            <w:tcW w:type="dxa" w:w="37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언어·분석·규칙 기반 정보 처리에 강점</w:t>
            </w:r>
          </w:p>
        </w:tc>
        <w:tc>
          <w:tcPr>
            <w:tcW w:type="dxa" w:w="38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공간·직관·상상·은유·통합 판단에 강점</w:t>
            </w:r>
          </w:p>
        </w:tc>
      </w:tr>
      <w:tr>
        <w:tc>
          <w:tcPr>
            <w:tcW w:type="dxa" w:w="15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의사결정 방식</w:t>
            </w:r>
          </w:p>
        </w:tc>
        <w:tc>
          <w:tcPr>
            <w:tcW w:type="dxa" w:w="37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계획·예측 중심, 리스크 회피</w:t>
            </w:r>
          </w:p>
        </w:tc>
        <w:tc>
          <w:tcPr>
            <w:tcW w:type="dxa" w:w="38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실험·위험 감수·비정형 탐색</w:t>
            </w:r>
          </w:p>
        </w:tc>
      </w:tr>
      <w:tr>
        <w:tc>
          <w:tcPr>
            <w:tcW w:type="dxa" w:w="15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산업·기술 특성</w:t>
            </w:r>
          </w:p>
        </w:tc>
        <w:tc>
          <w:tcPr>
            <w:tcW w:type="dxa" w:w="37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제조·공정·효율·수율 중심 산업</w:t>
            </w:r>
          </w:p>
        </w:tc>
        <w:tc>
          <w:tcPr>
            <w:tcW w:type="dxa" w:w="38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콘텐츠·IP·경험·서사·창의 기반 산업</w:t>
            </w:r>
          </w:p>
        </w:tc>
      </w:tr>
      <w:tr>
        <w:tc>
          <w:tcPr>
            <w:tcW w:type="dxa" w:w="15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혁신 방식</w:t>
            </w:r>
          </w:p>
        </w:tc>
        <w:tc>
          <w:tcPr>
            <w:tcW w:type="dxa" w:w="37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점진적·효율 기반 혁신 (innovation by optimization)</w:t>
            </w:r>
          </w:p>
        </w:tc>
        <w:tc>
          <w:tcPr>
            <w:tcW w:type="dxa" w:w="38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창발적·감성 기반 혁신 (innovation by imagination)</w:t>
            </w:r>
          </w:p>
        </w:tc>
      </w:tr>
      <w:tr>
        <w:tc>
          <w:tcPr>
            <w:tcW w:type="dxa" w:w="15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경영 스타일</w:t>
            </w:r>
          </w:p>
        </w:tc>
        <w:tc>
          <w:tcPr>
            <w:tcW w:type="dxa" w:w="37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ROI·KPI 중심 예측경영</w:t>
            </w:r>
          </w:p>
        </w:tc>
        <w:tc>
          <w:tcPr>
            <w:tcW w:type="dxa" w:w="38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실험·서사·고객 경험 중심 질문형 경영</w:t>
            </w:r>
          </w:p>
        </w:tc>
      </w:tr>
      <w:tr>
        <w:tc>
          <w:tcPr>
            <w:tcW w:type="dxa" w:w="15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인재 특성</w:t>
            </w:r>
          </w:p>
        </w:tc>
        <w:tc>
          <w:tcPr>
            <w:tcW w:type="dxa" w:w="37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규율·분석·정확성 위주</w:t>
            </w:r>
          </w:p>
        </w:tc>
        <w:tc>
          <w:tcPr>
            <w:tcW w:type="dxa" w:w="38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창의·감성·서사·통합 사고 중심</w:t>
            </w:r>
          </w:p>
        </w:tc>
      </w:tr>
      <w:tr>
        <w:tc>
          <w:tcPr>
            <w:tcW w:type="dxa" w:w="15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경제성장 논리</w:t>
            </w:r>
          </w:p>
        </w:tc>
        <w:tc>
          <w:tcPr>
            <w:tcW w:type="dxa" w:w="37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효율성 → 비용 절감 모델</w:t>
            </w:r>
          </w:p>
        </w:tc>
        <w:tc>
          <w:tcPr>
            <w:tcW w:type="dxa" w:w="38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창의성 → 부가가치 확장 모델</w:t>
            </w:r>
          </w:p>
        </w:tc>
      </w:tr>
    </w:tbl>
    <w:p>
      <w:pPr>
        <w:spacing w:after="200"/>
      </w:pPr>
      <w:r>
        <w:rPr>
          <w:rFonts w:ascii="Malgun Gothic" w:cs="Malgun Gothic" w:eastAsia="Malgun Gothic" w:hAnsi="Malgun Gothic"/>
          <w:color w:val="888888"/>
          <w:sz w:val="17"/>
          <w:szCs w:val="17"/>
        </w:rPr>
        <w:t xml:space="preserve">* 기사 내 표(자료: 학계·산업계 종합)를 재구성</w:t>
      </w:r>
    </w:p>
    <w:p>
      <w:pPr>
        <w:pStyle w:val="Heading2"/>
        <w:spacing w:after="120" w:before="240"/>
      </w:pPr>
      <w:r>
        <w:rPr>
          <w:rFonts w:ascii="Malgun Gothic" w:cs="Malgun Gothic" w:eastAsia="Malgun Gothic" w:hAnsi="Malgun Gothic"/>
          <w:b/>
          <w:bCs/>
          <w:color w:val="2E5596"/>
          <w:sz w:val="24"/>
          <w:szCs w:val="24"/>
        </w:rPr>
        <w:t xml:space="preserve">2.4 산업별 진단 — 전략적 변곡점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산업</w:t>
            </w:r>
          </w:p>
        </w:tc>
        <w:tc>
          <w:tcPr>
            <w:tcW w:type="dxa" w:w="3000"/>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기존 경쟁력(좌뇌)</w:t>
            </w:r>
          </w:p>
        </w:tc>
        <w:tc>
          <w:tcPr>
            <w:tcW w:type="dxa" w:w="4726"/>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새 부가가치(우뇌)</w:t>
            </w:r>
          </w:p>
        </w:tc>
      </w:tr>
      <w:tr>
        <w:tc>
          <w:tcPr>
            <w:tcW w:type="dxa" w:w="1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반도체</w:t>
            </w:r>
          </w:p>
        </w:tc>
        <w:tc>
          <w:tcPr>
            <w:tcW w:type="dxa" w:w="3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미세공정·수율</w:t>
            </w:r>
          </w:p>
        </w:tc>
        <w:tc>
          <w:tcPr>
            <w:tcW w:type="dxa" w:w="47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칩 아키텍처 설계 — AI 반도체 커스텀 칩은 고객 요구에 맞춘 '커스텀 비즈니스'로, 공정 프로세스 재규정 등 고도의 설계 역량 요구</w:t>
            </w:r>
          </w:p>
        </w:tc>
      </w:tr>
      <w:tr>
        <w:tc>
          <w:tcPr>
            <w:tcW w:type="dxa" w:w="1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자동차</w:t>
            </w:r>
          </w:p>
        </w:tc>
        <w:tc>
          <w:tcPr>
            <w:tcW w:type="dxa" w:w="3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내연기관 기술·주행 성능 (한계 도달)</w:t>
            </w:r>
          </w:p>
        </w:tc>
        <w:tc>
          <w:tcPr>
            <w:tcW w:type="dxa" w:w="47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자율주행 상용화 이후에는 '기술로 어떤 서비스를 구현하느냐'가 모빌리티 핵심 경쟁력</w:t>
            </w:r>
          </w:p>
        </w:tc>
      </w:tr>
      <w:tr>
        <w:tc>
          <w:tcPr>
            <w:tcW w:type="dxa" w:w="1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가전</w:t>
            </w:r>
          </w:p>
        </w:tc>
        <w:tc>
          <w:tcPr>
            <w:tcW w:type="dxa" w:w="3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제품 성능·가격</w:t>
            </w:r>
          </w:p>
        </w:tc>
        <w:tc>
          <w:tcPr>
            <w:tcW w:type="dxa" w:w="47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라이프스타일 기반 경험 설계로 고부가가치 확보</w:t>
            </w:r>
          </w:p>
        </w:tc>
      </w:tr>
      <w:tr>
        <w:tc>
          <w:tcPr>
            <w:tcW w:type="dxa" w:w="1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창업 생태계</w:t>
            </w:r>
          </w:p>
        </w:tc>
        <w:tc>
          <w:tcPr>
            <w:tcW w:type="dxa" w:w="30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일반적 관리·효율</w:t>
            </w:r>
          </w:p>
        </w:tc>
        <w:tc>
          <w:tcPr>
            <w:tcW w:type="dxa" w:w="47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우뇌 성향(위험 감수·상상)이 창업과 직결 — 우뇌경제 접목 필요</w:t>
            </w:r>
          </w:p>
        </w:tc>
      </w:tr>
    </w:tbl>
    <w:p>
      <w:pPr>
        <w:spacing w:after="200"/>
      </w:pPr>
      <w:r>
        <w:rPr>
          <w:rFonts w:ascii="Malgun Gothic" w:cs="Malgun Gothic" w:eastAsia="Malgun Gothic" w:hAnsi="Malgun Gothic"/>
          <w:sz w:val="21"/>
          <w:szCs w:val="21"/>
        </w:rPr>
        <w:t xml:space="preserve">한국은 '기능·효율' 중심 좌뇌 경쟁력으로 고도 성장을 일궜으나, 산업 질서가 재편되는 '전략적 변곡점(Strategic Inflection Point)'과 맞닥뜨리며 한계를 노출했다는 것이 다수 전문가의 진단이다. AI 기술 고도화로 '피지컬 AI' 대중화를 바라보는 시점에 기존 좌뇌형 성장 모델로는 질적으로 구분되는 다음 세대의 성장을 이룰 수 없다는 위기감이 팽배하다.</w:t>
      </w:r>
    </w:p>
    <w:p>
      <w:pPr>
        <w:pStyle w:val="Heading2"/>
        <w:spacing w:after="120" w:before="240"/>
      </w:pPr>
      <w:r>
        <w:rPr>
          <w:rFonts w:ascii="Malgun Gothic" w:cs="Malgun Gothic" w:eastAsia="Malgun Gothic" w:hAnsi="Malgun Gothic"/>
          <w:b/>
          <w:bCs/>
          <w:color w:val="2E5596"/>
          <w:sz w:val="24"/>
          <w:szCs w:val="24"/>
        </w:rPr>
        <w:t xml:space="preserve">2.5 규제 개혁 — 우뇌경제 확산의 선결 과제</w:t>
      </w:r>
    </w:p>
    <w:p>
      <w:pPr>
        <w:pStyle w:val="ListParagraph"/>
        <w:numPr>
          <w:ilvl w:val="0"/>
          <w:numId w:val="2"/>
        </w:numPr>
        <w:spacing w:after="80"/>
      </w:pPr>
      <w:r>
        <w:rPr>
          <w:rFonts w:ascii="Malgun Gothic" w:cs="Malgun Gothic" w:eastAsia="Malgun Gothic" w:hAnsi="Malgun Gothic"/>
          <w:sz w:val="21"/>
          <w:szCs w:val="21"/>
        </w:rPr>
        <w:t xml:space="preserve">한국 규제 시스템은 '포지티브(열거주의)' 방식 — 법에 사업 가능 항목을 열거하고 이외는 모두 금지. 정부 주도 빠른 성장·예측 경영 시대에는 효과적이었다.</w:t>
      </w:r>
    </w:p>
    <w:p>
      <w:pPr>
        <w:pStyle w:val="ListParagraph"/>
        <w:numPr>
          <w:ilvl w:val="0"/>
          <w:numId w:val="2"/>
        </w:numPr>
        <w:spacing w:after="80"/>
      </w:pPr>
      <w:r>
        <w:rPr>
          <w:rFonts w:ascii="Malgun Gothic" w:cs="Malgun Gothic" w:eastAsia="Malgun Gothic" w:hAnsi="Malgun Gothic"/>
          <w:sz w:val="21"/>
          <w:szCs w:val="21"/>
        </w:rPr>
        <w:t xml:space="preserve">그러나 불확실성과 실험이 본질인 우뇌경제와는 구조적으로 맞지 않는다. 콘텐츠·플랫폼·소프트웨어·IP 산업은 시행착오를 반복하는 'Learning by doing'으로 성장하는데, 새 서비스마다 사전 승인·허가가 필요하고 규정에 없는 모델은 시도조차 어렵다.</w:t>
      </w:r>
    </w:p>
    <w:p>
      <w:pPr>
        <w:pStyle w:val="ListParagraph"/>
        <w:numPr>
          <w:ilvl w:val="0"/>
          <w:numId w:val="2"/>
        </w:numPr>
        <w:spacing w:after="80"/>
      </w:pPr>
      <w:r>
        <w:rPr>
          <w:rFonts w:ascii="Malgun Gothic" w:cs="Malgun Gothic" w:eastAsia="Malgun Gothic" w:hAnsi="Malgun Gothic"/>
          <w:sz w:val="21"/>
          <w:szCs w:val="21"/>
        </w:rPr>
        <w:t xml:space="preserve">전문가 제언: 네거티브 중에서도 '포괄적 네거티브' 전환 + 신제품·신기술은 일단 지켜보고 필요 시 사후 규제. 새 콘텐츠 포맷·실험적 플랫폼 모델·데이터 기반 신사업은 사전 규정이 존재할 수 없기 때문.</w:t>
      </w:r>
    </w:p>
    <w:p>
      <w:pPr>
        <w:pBdr>
          <w:left w:val="single" w:color="2E5596" w:sz="12" w:space="8"/>
        </w:pBdr>
        <w:spacing w:after="160" w:before="60"/>
        <w:ind w:left="400"/>
      </w:pPr>
      <w:r>
        <w:rPr>
          <w:rFonts w:ascii="Malgun Gothic" w:cs="Malgun Gothic" w:eastAsia="Malgun Gothic" w:hAnsi="Malgun Gothic"/>
          <w:i/>
          <w:iCs/>
          <w:color w:val="555555"/>
          <w:sz w:val="21"/>
          <w:szCs w:val="21"/>
        </w:rPr>
        <w:t xml:space="preserve">"복잡한 규제 환경에서는 신산업이 제대로 육성되기 힘들다. 규제의 큰 틀을 포지티브가 아닌 네거티브 방식으로 바꿔야 한다. 속도와 실험이 목숨과도 같은 AI 산업에서 규제가 앞서면 미래를 낙관할 수 없다." — 강성진 고려대 경제학과 교수</w:t>
      </w:r>
    </w:p>
    <w:p>
      <w:pPr>
        <w:pStyle w:val="Heading2"/>
        <w:spacing w:after="120" w:before="240"/>
      </w:pPr>
      <w:r>
        <w:rPr>
          <w:rFonts w:ascii="Malgun Gothic" w:cs="Malgun Gothic" w:eastAsia="Malgun Gothic" w:hAnsi="Malgun Gothic"/>
          <w:b/>
          <w:bCs/>
          <w:color w:val="2E5596"/>
          <w:sz w:val="24"/>
          <w:szCs w:val="24"/>
        </w:rPr>
        <w:t xml:space="preserve">2.6 한국이 이미 가진 우뇌경제 자산</w:t>
      </w:r>
    </w:p>
    <w:p>
      <w:pPr>
        <w:pStyle w:val="ListParagraph"/>
        <w:numPr>
          <w:ilvl w:val="0"/>
          <w:numId w:val="2"/>
        </w:numPr>
        <w:spacing w:after="80"/>
      </w:pPr>
      <w:r>
        <w:rPr>
          <w:rFonts w:ascii="Malgun Gothic" w:cs="Malgun Gothic" w:eastAsia="Malgun Gothic" w:hAnsi="Malgun Gothic"/>
          <w:sz w:val="21"/>
          <w:szCs w:val="21"/>
        </w:rPr>
        <w:t xml:space="preserve">K콘텐츠: 세계 최고 수준의 팬덤 경제 구축 — '엔터 → 팬덤 → IP → 커머스 → 금융'으로 이어지는 통합 가치사슬은 한국의 우뇌경제 핵심 경쟁력</w:t>
      </w:r>
    </w:p>
    <w:p>
      <w:pPr>
        <w:pStyle w:val="ListParagraph"/>
        <w:numPr>
          <w:ilvl w:val="0"/>
          <w:numId w:val="2"/>
        </w:numPr>
        <w:spacing w:after="80"/>
      </w:pPr>
      <w:r>
        <w:rPr>
          <w:rFonts w:ascii="Malgun Gothic" w:cs="Malgun Gothic" w:eastAsia="Malgun Gothic" w:hAnsi="Malgun Gothic"/>
          <w:sz w:val="21"/>
          <w:szCs w:val="21"/>
        </w:rPr>
        <w:t xml:space="preserve">초고속·모바일·온라인 소비 생태계 역시 우뇌경제 핵심 경쟁력으로 지목</w:t>
      </w:r>
    </w:p>
    <w:p>
      <w:r>
        <w:br w:type="page"/>
      </w:r>
    </w:p>
    <w:p>
      <w:pPr>
        <w:pStyle w:val="Heading1"/>
        <w:spacing w:after="160" w:before="360"/>
      </w:pPr>
      <w:r>
        <w:rPr>
          <w:rFonts w:ascii="Malgun Gothic" w:cs="Malgun Gothic" w:eastAsia="Malgun Gothic" w:hAnsi="Malgun Gothic"/>
          <w:b/>
          <w:bCs/>
          <w:color w:val="1F3864"/>
          <w:sz w:val="30"/>
          <w:szCs w:val="30"/>
        </w:rPr>
        <w:t xml:space="preserve">3. 서드브레인 프레임워크와의 연결 (집필 활용)</w:t>
      </w:r>
    </w:p>
    <w:p>
      <w:pPr>
        <w:spacing w:after="130"/>
      </w:pPr>
      <w:r>
        <w:rPr>
          <w:rFonts w:ascii="Malgun Gothic" w:cs="Malgun Gothic" w:eastAsia="Malgun Gothic" w:hAnsi="Malgun Gothic"/>
          <w:sz w:val="21"/>
          <w:szCs w:val="21"/>
        </w:rPr>
        <w:t xml:space="preserve">이 기사는 거시(경제 패러다임) 차원에서 우뇌경제 전환을 논한다. 서드브레인은 같은 전환을 미시(개인의 뇌경영) 차원에서 실천하는 방법론이다 — 즉, 서드브레인은 '개인 차원의 우뇌경제 실천법'으로 포지셔닝할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기사(거시)</w:t>
            </w:r>
          </w:p>
        </w:tc>
        <w:tc>
          <w:tcPr>
            <w:tcW w:type="dxa" w:w="3300"/>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서드브레인(미시·개인)</w:t>
            </w:r>
          </w:p>
        </w:tc>
        <w:tc>
          <w:tcPr>
            <w:tcW w:type="dxa" w:w="2926"/>
            <w:shd w:fill="DCE6F1" w:val="clear"/>
            <w:tcMar>
              <w:top w:type="dxa" w:w="60"/>
              <w:left w:type="dxa" w:w="100"/>
              <w:bottom w:type="dxa" w:w="60"/>
              <w:right w:type="dxa" w:w="100"/>
            </w:tcMar>
          </w:tcPr>
          <w:p>
            <w:r>
              <w:rPr>
                <w:rFonts w:ascii="Malgun Gothic" w:cs="Malgun Gothic" w:eastAsia="Malgun Gothic" w:hAnsi="Malgun Gothic"/>
                <w:b/>
                <w:bCs/>
                <w:sz w:val="19"/>
                <w:szCs w:val="19"/>
              </w:rPr>
              <w:t xml:space="preserve">피지컬브레인(제4브레인)</w:t>
            </w:r>
          </w:p>
        </w:tc>
      </w:tr>
      <w:tr>
        <w:tc>
          <w:tcPr>
            <w:tcW w:type="dxa" w:w="28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우뇌형 사고방식 요구</w:t>
            </w:r>
          </w:p>
        </w:tc>
        <w:tc>
          <w:tcPr>
            <w:tcW w:type="dxa" w:w="3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1st Brain: DMN·몰입 루틴으로 우뇌(직관·통합)를 깨우는 몸경영</w:t>
            </w:r>
          </w:p>
        </w:tc>
        <w:tc>
          <w:tcPr>
            <w:tcW w:type="dxa" w:w="29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로봇이 반복·규칙 업무(좌뇌적 일)를 대신해 인간의 우뇌 시간을 확보</w:t>
            </w:r>
          </w:p>
        </w:tc>
      </w:tr>
      <w:tr>
        <w:tc>
          <w:tcPr>
            <w:tcW w:type="dxa" w:w="28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새로운 문제를 만들어내는 능력</w:t>
            </w:r>
          </w:p>
        </w:tc>
        <w:tc>
          <w:tcPr>
            <w:tcW w:type="dxa" w:w="3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2nd Brain: 지식 연결(제텔카스텐·옵시디언)에서 창발하는 질문</w:t>
            </w:r>
          </w:p>
        </w:tc>
        <w:tc>
          <w:tcPr>
            <w:tcW w:type="dxa" w:w="29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온톨로지 지식그래프 — 연결된 개인 지식이 새 질문의 원천</w:t>
            </w:r>
          </w:p>
        </w:tc>
      </w:tr>
      <w:tr>
        <w:tc>
          <w:tcPr>
            <w:tcW w:type="dxa" w:w="28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AI 확산 국면의 경쟁력</w:t>
            </w:r>
          </w:p>
        </w:tc>
        <w:tc>
          <w:tcPr>
            <w:tcW w:type="dxa" w:w="3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3rd Brain: AI 협력·우뇌형 프롬프트로 인지 증폭</w:t>
            </w:r>
          </w:p>
        </w:tc>
        <w:tc>
          <w:tcPr>
            <w:tcW w:type="dxa" w:w="29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피지컬 AI — 기사도 '피지컬 AI 대중화'를 변곡점으로 명시</w:t>
            </w:r>
          </w:p>
        </w:tc>
      </w:tr>
      <w:tr>
        <w:tc>
          <w:tcPr>
            <w:tcW w:type="dxa" w:w="28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커스텀 비즈니스·경험 설계</w:t>
            </w:r>
          </w:p>
        </w:tc>
        <w:tc>
          <w:tcPr>
            <w:tcW w:type="dxa" w:w="3300"/>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개인화된 지식·루틴 설계</w:t>
            </w:r>
          </w:p>
        </w:tc>
        <w:tc>
          <w:tcPr>
            <w:tcW w:type="dxa" w:w="2926"/>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개인 맞춤 돌봄 로봇 = 경험·서사 산업의 최전선</w:t>
            </w:r>
          </w:p>
        </w:tc>
      </w:tr>
    </w:tbl>
    <w:p>
      <w:pPr>
        <w:pStyle w:val="Heading2"/>
        <w:spacing w:after="120" w:before="240"/>
      </w:pPr>
      <w:r>
        <w:rPr>
          <w:rFonts w:ascii="Malgun Gothic" w:cs="Malgun Gothic" w:eastAsia="Malgun Gothic" w:hAnsi="Malgun Gothic"/>
          <w:b/>
          <w:bCs/>
          <w:color w:val="2E5596"/>
          <w:sz w:val="24"/>
          <w:szCs w:val="24"/>
        </w:rPr>
        <w:t xml:space="preserve">집필 반영 제안</w:t>
      </w:r>
    </w:p>
    <w:p>
      <w:pPr>
        <w:pStyle w:val="ListParagraph"/>
        <w:numPr>
          <w:ilvl w:val="0"/>
          <w:numId w:val="2"/>
        </w:numPr>
        <w:spacing w:after="80"/>
      </w:pPr>
      <w:r>
        <w:rPr>
          <w:rFonts w:ascii="Malgun Gothic" w:cs="Malgun Gothic" w:eastAsia="Malgun Gothic" w:hAnsi="Malgun Gothic"/>
          <w:sz w:val="21"/>
          <w:szCs w:val="21"/>
        </w:rPr>
        <w:t xml:space="preserve">프롤로그·1부 도입 인용: '주입식 좌뇌 교육 → 창조형 우뇌 교육' 주장의 시사적 근거로 이 커버스토리를 각주 인용 (매경ECONOMY 2025.12.3~12.9, pp.20~22)</w:t>
      </w:r>
    </w:p>
    <w:p>
      <w:pPr>
        <w:pStyle w:val="ListParagraph"/>
        <w:numPr>
          <w:ilvl w:val="0"/>
          <w:numId w:val="2"/>
        </w:numPr>
        <w:spacing w:after="80"/>
      </w:pPr>
      <w:r>
        <w:rPr>
          <w:rFonts w:ascii="Malgun Gothic" w:cs="Malgun Gothic" w:eastAsia="Malgun Gothic" w:hAnsi="Malgun Gothic"/>
          <w:sz w:val="21"/>
          <w:szCs w:val="21"/>
        </w:rPr>
        <w:t xml:space="preserve">좌뇌경제 vs 우뇌경제 비교표를 책의 표 형식(개인 버전)으로 변주: '좌뇌형 일과 vs 우뇌형 일과', '좌뇌형 조직인 vs 몰입형 인간'</w:t>
      </w:r>
    </w:p>
    <w:p>
      <w:pPr>
        <w:pStyle w:val="ListParagraph"/>
        <w:numPr>
          <w:ilvl w:val="0"/>
          <w:numId w:val="2"/>
        </w:numPr>
        <w:spacing w:after="80"/>
      </w:pPr>
      <w:r>
        <w:rPr>
          <w:rFonts w:ascii="Malgun Gothic" w:cs="Malgun Gothic" w:eastAsia="Malgun Gothic" w:hAnsi="Malgun Gothic"/>
          <w:sz w:val="21"/>
          <w:szCs w:val="21"/>
        </w:rPr>
        <w:t xml:space="preserve">일마즈(2023) 논문은 책 v0.2 참고문헌 목록에 추가 — 우뇌 성향과 기업가정신의 실증 근거</w:t>
      </w:r>
    </w:p>
    <w:p>
      <w:pPr>
        <w:pStyle w:val="ListParagraph"/>
        <w:numPr>
          <w:ilvl w:val="0"/>
          <w:numId w:val="2"/>
        </w:numPr>
        <w:spacing w:after="80"/>
      </w:pPr>
      <w:r>
        <w:rPr>
          <w:rFonts w:ascii="Malgun Gothic" w:cs="Malgun Gothic" w:eastAsia="Malgun Gothic" w:hAnsi="Malgun Gothic"/>
          <w:sz w:val="21"/>
          <w:szCs w:val="21"/>
        </w:rPr>
        <w:t xml:space="preserve">4부(피지컬브레인): '피지컬 AI 대중화' 언급을 로봇 챕터의 시장 배경 근거로 활용, 제4브레인 제안서의 시장 논리(커스텀 비즈니스·경험 설계) 보강</w:t>
      </w:r>
    </w:p>
    <w:p>
      <w:pPr>
        <w:pStyle w:val="ListParagraph"/>
        <w:numPr>
          <w:ilvl w:val="0"/>
          <w:numId w:val="2"/>
        </w:numPr>
        <w:spacing w:after="80"/>
      </w:pPr>
      <w:r>
        <w:rPr>
          <w:rFonts w:ascii="Malgun Gothic" w:cs="Malgun Gothic" w:eastAsia="Malgun Gothic" w:hAnsi="Malgun Gothic"/>
          <w:sz w:val="21"/>
          <w:szCs w:val="21"/>
        </w:rPr>
        <w:t xml:space="preserve">에필로그 '서드브레인 혁명 선언'에서 독자 확장 구도 명시: 개인 생산성 → 조직 혁신 → 경제 패러다임 전환(우뇌경제)</w:t>
      </w:r>
    </w:p>
    <w:p>
      <w:pPr>
        <w:pStyle w:val="Heading1"/>
        <w:spacing w:after="160" w:before="360"/>
      </w:pPr>
      <w:r>
        <w:rPr>
          <w:rFonts w:ascii="Malgun Gothic" w:cs="Malgun Gothic" w:eastAsia="Malgun Gothic" w:hAnsi="Malgun Gothic"/>
          <w:b/>
          <w:bCs/>
          <w:color w:val="1F3864"/>
          <w:sz w:val="30"/>
          <w:szCs w:val="30"/>
        </w:rPr>
        <w:t xml:space="preserve">4. 시사점 및 제언</w:t>
      </w:r>
    </w:p>
    <w:p>
      <w:pPr>
        <w:pStyle w:val="ListParagraph"/>
        <w:numPr>
          <w:ilvl w:val="0"/>
          <w:numId w:val="2"/>
        </w:numPr>
        <w:spacing w:after="80"/>
      </w:pPr>
      <w:r>
        <w:rPr>
          <w:rFonts w:ascii="Malgun Gothic" w:cs="Malgun Gothic" w:eastAsia="Malgun Gothic" w:hAnsi="Malgun Gothic"/>
          <w:sz w:val="21"/>
          <w:szCs w:val="21"/>
        </w:rPr>
        <w:t xml:space="preserve">검증 관점: 기사도 '좌·우뇌 완벽한 분업은 근거 없음(네트워크 시스템)'을 명시한다. 책에서도 우뇌 담론을 다룰 때 '기능적 편향'으로 정확히 서술해 과학적 신뢰를 지킬 것 (좌뇌/우뇌 이분법 신화와 구분).</w:t>
      </w:r>
    </w:p>
    <w:p>
      <w:pPr>
        <w:pStyle w:val="ListParagraph"/>
        <w:numPr>
          <w:ilvl w:val="0"/>
          <w:numId w:val="2"/>
        </w:numPr>
        <w:spacing w:after="80"/>
      </w:pPr>
      <w:r>
        <w:rPr>
          <w:rFonts w:ascii="Malgun Gothic" w:cs="Malgun Gothic" w:eastAsia="Malgun Gothic" w:hAnsi="Malgun Gothic"/>
          <w:sz w:val="21"/>
          <w:szCs w:val="21"/>
        </w:rPr>
        <w:t xml:space="preserve">타이밍: '피지컬 AI'가 경제지 커버스토리 어휘로 등장 — 책과 피지컬브레인 앱·로봇 프로젝트의 시의성이 시장에서 확인되고 있다.</w:t>
      </w:r>
    </w:p>
    <w:p>
      <w:pPr>
        <w:pStyle w:val="ListParagraph"/>
        <w:numPr>
          <w:ilvl w:val="0"/>
          <w:numId w:val="2"/>
        </w:numPr>
        <w:spacing w:after="80"/>
      </w:pPr>
      <w:r>
        <w:rPr>
          <w:rFonts w:ascii="Malgun Gothic" w:cs="Malgun Gothic" w:eastAsia="Malgun Gothic" w:hAnsi="Malgun Gothic"/>
          <w:sz w:val="21"/>
          <w:szCs w:val="21"/>
        </w:rPr>
        <w:t xml:space="preserve">개인 실천 관점: 규제(환경)가 바뀌길 기다리지 않고 개인이 먼저 우뇌경제형 인간이 되는 법 — 이것이 책이 채우는 공백이며, 이 기사가 그 '왜(Why)'를 대신 설명해 준다.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2026-07-19T11:54:03.241Z</dcterms:created>
  <dcterms:modified xsi:type="dcterms:W3CDTF">2026-07-19T11:54:03.259Z</dcterms:modified>
</cp:coreProperties>
</file>

<file path=docProps/custom.xml><?xml version="1.0" encoding="utf-8"?>
<Properties xmlns="http://schemas.openxmlformats.org/officeDocument/2006/custom-properties" xmlns:vt="http://schemas.openxmlformats.org/officeDocument/2006/docPropsVTypes"/>
</file>