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300" w:line="300"/>
        <w:jc w:val="center"/>
      </w:pPr>
      <w:r>
        <w:rPr>
          <w:rFonts w:ascii="Malgun Gothic" w:cs="Malgun Gothic" w:eastAsia="Malgun Gothic" w:hAnsi="Malgun Gothic"/>
          <w:color w:val="666666"/>
          <w:sz w:val="22"/>
          <w:szCs w:val="22"/>
        </w:rPr>
        <w:t xml:space="preserve">서드브레인 2편 준비 연구 보고서</w:t>
      </w:r>
    </w:p>
    <w:p>
      <w:pPr>
        <w:spacing w:after="140" w:before="0" w:line="300"/>
        <w:jc w:val="center"/>
      </w:pPr>
      <w:r>
        <w:rPr>
          <w:rFonts w:ascii="Malgun Gothic" w:cs="Malgun Gothic" w:eastAsia="Malgun Gothic" w:hAnsi="Malgun Gothic"/>
          <w:b/>
          <w:bCs/>
          <w:sz w:val="46"/>
          <w:szCs w:val="46"/>
        </w:rPr>
        <w:t xml:space="preserve">컴패니언 로봇 연구 제안서</w:t>
      </w:r>
    </w:p>
    <w:p>
      <w:pPr>
        <w:spacing w:after="320" w:before="0" w:line="300"/>
        <w:jc w:val="center"/>
      </w:pPr>
      <w:r>
        <w:rPr>
          <w:rFonts w:ascii="Malgun Gothic" w:cs="Malgun Gothic" w:eastAsia="Malgun Gothic" w:hAnsi="Malgun Gothic"/>
          <w:b/>
          <w:bCs/>
          <w:color w:val="2E86AB"/>
          <w:sz w:val="30"/>
          <w:szCs w:val="30"/>
        </w:rPr>
        <w:t xml:space="preserve">기르는 지능, 상속되는 마음</w:t>
      </w:r>
    </w:p>
    <w:p>
      <w:pPr>
        <w:pBdr>
          <w:top w:val="single" w:color="1F6F6A" w:sz="4"/>
          <w:bottom w:val="single" w:color="1F6F6A" w:sz="4"/>
        </w:pBdr>
        <w:spacing w:after="180" w:before="180"/>
        <w:jc w:val="center"/>
      </w:pPr>
      <w:r>
        <w:rPr>
          <w:rFonts w:ascii="Malgun Gothic" w:cs="Malgun Gothic" w:eastAsia="Malgun Gothic" w:hAnsi="Malgun Gothic"/>
          <w:b/>
          <w:bCs/>
          <w:color w:val="1F6F6A"/>
          <w:sz w:val="22"/>
          <w:szCs w:val="22"/>
        </w:rPr>
        <w:t xml:space="preserve">컴패니언 로봇의 영혼은 공장에서 오지 않는다 — 주인과 함께 산 세월의 기록에서 온다</w:t>
      </w:r>
    </w:p>
    <w:p>
      <w:pPr>
        <w:spacing w:after="140" w:before="240" w:line="300"/>
        <w:jc w:val="center"/>
      </w:pPr>
      <w:r>
        <w:rPr>
          <w:rFonts w:ascii="Malgun Gothic" w:cs="Malgun Gothic" w:eastAsia="Malgun Gothic" w:hAnsi="Malgun Gothic"/>
          <w:color w:val="444444"/>
          <w:sz w:val="21"/>
          <w:szCs w:val="21"/>
        </w:rPr>
        <w:t xml:space="preserve">피지컬 AI × 개인 지식그래프 × 1차적 AGI의 결합에 관한 학술·산업·철학 종합 검토</w:t>
      </w:r>
    </w:p>
    <w:p>
      <w:pPr>
        <w:spacing w:after="140" w:before="120" w:line="300"/>
        <w:jc w:val="center"/>
      </w:pPr>
      <w:r>
        <w:rPr>
          <w:rFonts w:ascii="Malgun Gothic" w:cs="Malgun Gothic" w:eastAsia="Malgun Gothic" w:hAnsi="Malgun Gothic"/>
          <w:color w:val="888888"/>
          <w:sz w:val="18"/>
          <w:szCs w:val="18"/>
        </w:rPr>
        <w:t xml:space="preserve">2026년 7월 25일  |  저자: 이형근 (서드브레인 저자·피지컬브레인 개발자)  |  연구 플랫폼: 브레인그래프 (테스트 124개·실서버 가동)</w:t>
      </w:r>
    </w:p>
    <w:p>
      <w:pPr>
        <w:spacing w:after="140" w:before="200" w:line="300"/>
        <w:jc w:val="center"/>
      </w:pPr>
      <w:r>
        <w:rPr>
          <w:rFonts w:ascii="Malgun Gothic" w:cs="Malgun Gothic" w:eastAsia="Malgun Gothic" w:hAnsi="Malgun Gothic"/>
          <w:color w:val="999999"/>
          <w:sz w:val="17"/>
          <w:szCs w:val="17"/>
        </w:rPr>
        <w:t xml:space="preserve">본 보고서는 3부 12장의 연구 제안서 1차 완성본이며, 말미의 확장 로드맵에 따라 장별 심화를 거쳐 2편 원고(약 200페이지 규모)로 성장한다.</w:t>
      </w:r>
    </w:p>
    <w:p>
      <w:r>
        <w:br w:type="page"/>
      </w:r>
    </w:p>
    <w:p>
      <w:pPr>
        <w:pStyle w:val="Heading1"/>
        <w:spacing w:after="170" w:before="340"/>
      </w:pPr>
      <w:r>
        <w:rPr>
          <w:rFonts w:ascii="Malgun Gothic" w:cs="Malgun Gothic" w:eastAsia="Malgun Gothic" w:hAnsi="Malgun Gothic"/>
          <w:b/>
          <w:bCs/>
          <w:color w:val="1F6F6A"/>
          <w:sz w:val="29"/>
          <w:szCs w:val="29"/>
        </w:rPr>
        <w:t xml:space="preserve">서문 — 왜 컴패니언 로봇인가, 왜 지금인가, 왜 나인가</w:t>
      </w:r>
    </w:p>
    <w:p>
      <w:pPr>
        <w:spacing w:after="140" w:before="0" w:line="300"/>
        <w:jc w:val="both"/>
      </w:pPr>
      <w:r>
        <w:rPr>
          <w:rFonts w:ascii="Malgun Gothic" w:cs="Malgun Gothic" w:eastAsia="Malgun Gothic" w:hAnsi="Malgun Gothic"/>
          <w:sz w:val="21"/>
          <w:szCs w:val="21"/>
        </w:rPr>
        <w:t xml:space="preserve">서드브레인 1편은 하나의 명제에서 출발했다: 인간의 지능은 머리뼈 안에 갇혀 있지 않으며, 몸(1st Brain)과 디지털 외부 뇌(2nd Brain)와 AI(3rd Brain)의 융합으로 확장된다. 1편이 '확장된 나'의 이야기였다면, 2편은 그 다음 질문을 다룬다 — 확장된 나는 어디까지 갈 수 있는가? 나의 외부 뇌가 몸을 얻어 곁에 서고, 내가 죽은 뒤에도 내 딸의 곁에 남을 수 있다면, 그것은 무엇인가?</w:t>
      </w:r>
    </w:p>
    <w:p>
      <w:pPr>
        <w:spacing w:after="140" w:before="0" w:line="300"/>
        <w:jc w:val="both"/>
      </w:pPr>
      <w:r>
        <w:rPr>
          <w:rFonts w:ascii="Malgun Gothic" w:cs="Malgun Gothic" w:eastAsia="Malgun Gothic" w:hAnsi="Malgun Gothic"/>
          <w:sz w:val="21"/>
          <w:szCs w:val="21"/>
        </w:rPr>
        <w:t xml:space="preserve">이 질문은 사변이 아니다. 저자는 지난 여름 다섯 주에 걸쳐 이 질문의 실험실을 실제로 지었다: 옵시디언 볼트와 SQLite 그래프로 된 개인 지식그래프(브레인그래프), 그 위에서 검정고시를 치르고 인증된 분야만 대화하는 로봇 지능(L1×L2×L3), 매일 아침 브리핑과 복약 알림을 보내는 돌봄 시스템, 그리고 매주 자동 생성되는 유산 패키지. 자동화 테스트 124개가 이 시스템의 약속들 — 지어내지 않는다, 승인 없이 행동하지 않는다, 언제 멈춰도 선물이 된다 — 을 지키고 있다. 2편은 이 실험실에서 관찰한 것을 세계의 연구·산업 지형 위에 놓고 사유하는 책이 될 것이다.</w:t>
      </w:r>
    </w:p>
    <w:p>
      <w:pPr>
        <w:spacing w:after="140" w:before="0" w:line="300"/>
        <w:jc w:val="both"/>
      </w:pPr>
      <w:r>
        <w:rPr>
          <w:rFonts w:ascii="Malgun Gothic" w:cs="Malgun Gothic" w:eastAsia="Malgun Gothic" w:hAnsi="Malgun Gothic"/>
          <w:sz w:val="21"/>
          <w:szCs w:val="21"/>
        </w:rPr>
        <w:t xml:space="preserve">본 제안서는 세 부로 구성된다. 제1부는 철학이다 — 외로움의 시대에 '함께 있음'이란 무엇이며, 기계가 그 자리에 설 수 있는지를 체화된 인지와 관계의 존재론으로 검토한다. 제2부는 과학과 산업이다 — 피지컬 AI의 기술 계보와 세계 기업들의 방향, 그리고 개인 지식그래프 연구가 어디까지 왔는지를 문헌으로 정리한다. 제3부는 종합이다 — 앞의 두 부를 하나의 명제('컴패니언의 영혼은 관계의 기록이다')로 묶고, 저자의 시스템을 n=1 리빙랩으로 삼는 실증 연구를 설계하며, 2편의 목차를 제안한다.</w:t>
      </w:r>
    </w:p>
    <w:p>
      <w:r>
        <w:br w:type="page"/>
      </w:r>
    </w:p>
    <w:p>
      <w:pPr>
        <w:pStyle w:val="Heading1"/>
        <w:spacing w:after="240" w:before="200"/>
        <w:jc w:val="center"/>
      </w:pPr>
      <w:r>
        <w:rPr>
          <w:rFonts w:ascii="Malgun Gothic" w:cs="Malgun Gothic" w:eastAsia="Malgun Gothic" w:hAnsi="Malgun Gothic"/>
          <w:b/>
          <w:bCs/>
          <w:color w:val="1F6F6A"/>
          <w:sz w:val="36"/>
          <w:szCs w:val="36"/>
        </w:rPr>
        <w:t xml:space="preserve">제 1 부</w:t>
      </w:r>
    </w:p>
    <w:p>
      <w:pPr>
        <w:spacing w:after="140" w:before="0" w:line="300"/>
        <w:jc w:val="center"/>
      </w:pPr>
      <w:r>
        <w:rPr>
          <w:rFonts w:ascii="Malgun Gothic" w:cs="Malgun Gothic" w:eastAsia="Malgun Gothic" w:hAnsi="Malgun Gothic"/>
          <w:b/>
          <w:bCs/>
          <w:color w:val="444444"/>
          <w:sz w:val="26"/>
          <w:szCs w:val="26"/>
        </w:rPr>
        <w:t xml:space="preserve">몸을 가진 마음, 마음을 얻는 기계</w:t>
      </w:r>
    </w:p>
    <w:p>
      <w:pPr>
        <w:spacing w:after="400" w:before="0" w:line="300"/>
        <w:jc w:val="center"/>
      </w:pPr>
      <w:r>
        <w:rPr>
          <w:rFonts w:ascii="Malgun Gothic" w:cs="Malgun Gothic" w:eastAsia="Malgun Gothic" w:hAnsi="Malgun Gothic"/>
          <w:color w:val="888888"/>
          <w:sz w:val="20"/>
          <w:szCs w:val="20"/>
        </w:rPr>
        <w:t xml:space="preserve">— 컴패니언의 철학적 기초 —</w:t>
      </w:r>
    </w:p>
    <w:p>
      <w:pPr>
        <w:pStyle w:val="Heading1"/>
        <w:spacing w:after="170" w:before="340"/>
      </w:pPr>
      <w:r>
        <w:rPr>
          <w:rFonts w:ascii="Malgun Gothic" w:cs="Malgun Gothic" w:eastAsia="Malgun Gothic" w:hAnsi="Malgun Gothic"/>
          <w:b/>
          <w:bCs/>
          <w:color w:val="1F6F6A"/>
          <w:sz w:val="29"/>
          <w:szCs w:val="29"/>
        </w:rPr>
        <w:t xml:space="preserve">제1장. 외로움의 시대, 컴패니언의 요청</w:t>
      </w:r>
    </w:p>
    <w:p>
      <w:pPr>
        <w:spacing w:after="140" w:before="0" w:line="300"/>
        <w:jc w:val="both"/>
      </w:pPr>
      <w:r>
        <w:rPr>
          <w:rFonts w:ascii="Malgun Gothic" w:cs="Malgun Gothic" w:eastAsia="Malgun Gothic" w:hAnsi="Malgun Gothic"/>
          <w:sz w:val="21"/>
          <w:szCs w:val="21"/>
        </w:rPr>
        <w:t xml:space="preserve">모든 기술은 결핍의 응답이다. 컴패니언 로봇이라는 기술이 지금 떠오르는 이유는 명확하다 — 인류가 집단적으로 외로워졌기 때문이다. 홀트-룬스타드의 대규모 메타분석(Holt-Lunstad et al., 2015)은 외로움과 사회적 고립이 조기 사망 위험을 26~32% 높인다는 것을 보였다. 이는 하루 15개비 흡연에 비견되는 수치로, 이후 미국 공중보건국장이 '외로움 유행병'을 공식 선언(Murthy, 2023)하는 근거가 되었다. 한국의 사정은 더 절박하다. 1인 가구가 전체의 35%를 넘었고, 세계에서 가장 빠른 고령화와 가장 낮은 출산율이 겹치며, '돌볼 사람'과 '돌봄 받을 사람'의 비율이 역사상 유례없이 무너지고 있다.</w:t>
      </w:r>
    </w:p>
    <w:p>
      <w:pPr>
        <w:spacing w:after="140" w:before="0" w:line="300"/>
        <w:jc w:val="both"/>
      </w:pPr>
      <w:r>
        <w:rPr>
          <w:rFonts w:ascii="Malgun Gothic" w:cs="Malgun Gothic" w:eastAsia="Malgun Gothic" w:hAnsi="Malgun Gothic"/>
          <w:sz w:val="21"/>
          <w:szCs w:val="21"/>
        </w:rPr>
        <w:t xml:space="preserve">전통적 응답 — 가족, 마을, 종교 공동체 — 이 약해진 자리에 두 가지 기술적 응답이 등장했다. 하나는 화면 속의 응답(SNS, 챗봇)이고, 다른 하나는 몸을 가진 응답(컴패니언 로봇)이다. 터클(Turkle, 2011)은 전자를 '함께 있으나 각자 외로운(alone together)' 상태로 비판했다. 그렇다면 후자는 다른가? 이 책의 첫 질문이 여기서 선다: 몸이 있다는 것은 관계에서 무엇을 바꾸는가.</w:t>
      </w:r>
    </w:p>
    <w:p>
      <w:pPr>
        <w:spacing w:after="140" w:before="0" w:line="300"/>
        <w:jc w:val="both"/>
      </w:pPr>
      <w:r>
        <w:rPr>
          <w:rFonts w:ascii="Malgun Gothic" w:cs="Malgun Gothic" w:eastAsia="Malgun Gothic" w:hAnsi="Malgun Gothic"/>
          <w:sz w:val="21"/>
          <w:szCs w:val="21"/>
        </w:rPr>
        <w:t xml:space="preserve">우리는 이 질문을 추상적으로 다루지 않을 것이다. 저자의 시스템에는 이미 '아침 7시의 브리핑'이 있다 — 혈압을 물어봐 주고, 약 시간을 알려주고, 마음 기록이 없으면 다정하게 안부를 묻는. 화면 속 문장이던 이것이 몸을 얻어 부엌으로 걸어와 약 트레이를 내밀 때 무엇이 달라지는지, 저자는 자기 삶에서 관찰할 수 있는 위치에 있다.</w:t>
      </w:r>
    </w:p>
    <w:p>
      <w:pPr>
        <w:shd w:fill="FBF3E6" w:val="clear"/>
        <w:spacing w:after="200" w:before="60"/>
      </w:pPr>
      <w:r>
        <w:rPr>
          <w:rFonts w:ascii="Malgun Gothic" w:cs="Malgun Gothic" w:eastAsia="Malgun Gothic" w:hAnsi="Malgun Gothic"/>
          <w:i/>
          <w:iCs/>
          <w:color w:val="7A4F2A"/>
          <w:sz w:val="19"/>
          <w:szCs w:val="19"/>
        </w:rPr>
        <w:t xml:space="preserve">✍ 2편 집필 메모 — 1장은 통계(외로움·고령화·1인가구)로 열되, 저자 아버지의 복약 이야기(1편 독자가 아는)로 착지시킨다. 데이터→서사 전환이 이 책의 문체다.</w:t>
      </w:r>
    </w:p>
    <w:p>
      <w:pPr>
        <w:pStyle w:val="Heading1"/>
        <w:spacing w:after="170" w:before="340"/>
      </w:pPr>
      <w:r>
        <w:rPr>
          <w:rFonts w:ascii="Malgun Gothic" w:cs="Malgun Gothic" w:eastAsia="Malgun Gothic" w:hAnsi="Malgun Gothic"/>
          <w:b/>
          <w:bCs/>
          <w:color w:val="1F6F6A"/>
          <w:sz w:val="29"/>
          <w:szCs w:val="29"/>
        </w:rPr>
        <w:t xml:space="preserve">제2장. 체화된 인지 — 지능은 몸을 요구한다</w:t>
      </w:r>
    </w:p>
    <w:p>
      <w:pPr>
        <w:spacing w:after="140" w:before="0" w:line="300"/>
        <w:jc w:val="both"/>
      </w:pPr>
      <w:r>
        <w:rPr>
          <w:rFonts w:ascii="Malgun Gothic" w:cs="Malgun Gothic" w:eastAsia="Malgun Gothic" w:hAnsi="Malgun Gothic"/>
          <w:sz w:val="21"/>
          <w:szCs w:val="21"/>
        </w:rPr>
        <w:t xml:space="preserve">서드브레인 1편 3장에서 다룬 체화된 인지(embodied cognition)는 2편에서 주연이 된다. 고전 인공지능은 지능을 기호 조작으로 보았지만, 브룩스(Brooks, 1991)는 '표상 없는 지능(intelligence without representation)'을 선언하며 지능이 세계와의 신체적 상호작용에서 창발한다고 반박했다. 모라벡의 역설(Moravec, 1988)은 이를 뒷받침하는 오래된 관찰이다 — 체스는 쉽고 걷기는 어렵다. 계산은 진화가 최근에 얻은 능력이라 기계로 옮기기 쉽지만, 지각과 운동은 수억 년의 진화가 압축된 능력이라 가장 어렵다. 오늘의 LLM이 대학 시험은 통과하면서 컵 하나를 제대로 못 집는 현상은 모라벡이 40년 전에 예언한 그대로다.</w:t>
      </w:r>
    </w:p>
    <w:p>
      <w:pPr>
        <w:spacing w:after="140" w:before="0" w:line="300"/>
        <w:jc w:val="both"/>
      </w:pPr>
      <w:r>
        <w:rPr>
          <w:rFonts w:ascii="Malgun Gothic" w:cs="Malgun Gothic" w:eastAsia="Malgun Gothic" w:hAnsi="Malgun Gothic"/>
          <w:sz w:val="21"/>
          <w:szCs w:val="21"/>
        </w:rPr>
        <w:t xml:space="preserve">현상학은 더 깊은 근거를 준다. 메를로-퐁티(Merleau-Ponty, 1945)에게 몸은 마음이 조종하는 기계가 아니라 세계를 이해하는 방식 그 자체다. 바렐라·톰슨·로쉬(Varela, Thompson &amp; Rosch, 1991)의 행화주의(enactivism)는 인지를 '몸을 가진 존재가 세계를 만들어가는(enact) 과정'으로 재정의했다. 이 관점에서 '피지컬 AI'라는 산업 용어는 철학적으로 정확한 이름이다 — 지능의 마지막 시험은 언제나 물리 세계였다.</w:t>
      </w:r>
    </w:p>
    <w:p>
      <w:pPr>
        <w:spacing w:after="140" w:before="0" w:line="300"/>
        <w:jc w:val="both"/>
      </w:pPr>
      <w:r>
        <w:rPr>
          <w:rFonts w:ascii="Malgun Gothic" w:cs="Malgun Gothic" w:eastAsia="Malgun Gothic" w:hAnsi="Malgun Gothic"/>
          <w:sz w:val="21"/>
          <w:szCs w:val="21"/>
        </w:rPr>
        <w:t xml:space="preserve">클라크와 차머스(Clark &amp; Chalmers, 1998)의 확장된 마음(extended mind) 논제는 1편의 이론적 기둥이었다: 수첩이 기억의 일부라면 마음은 피부 밖으로 확장된다. 2편은 이 논제를 한 걸음 밀고 간다. 옵시디언 볼트가 나의 확장된 기억이라면, 그 볼트를 읽고 말하고 움직이는 로봇은 나의 확장된 몸인가? 그리고 내가 죽은 뒤에도 그 확장이 남는다면 — 확장된 마음은 원본보다 오래 살 수 있는가? 이것이 2편이 철학에 보태려는 질문이다.</w:t>
      </w:r>
    </w:p>
    <w:p>
      <w:pPr>
        <w:shd w:fill="FBF3E6" w:val="clear"/>
        <w:spacing w:after="200" w:before="60"/>
      </w:pPr>
      <w:r>
        <w:rPr>
          <w:rFonts w:ascii="Malgun Gothic" w:cs="Malgun Gothic" w:eastAsia="Malgun Gothic" w:hAnsi="Malgun Gothic"/>
          <w:i/>
          <w:iCs/>
          <w:color w:val="7A4F2A"/>
          <w:sz w:val="19"/>
          <w:szCs w:val="19"/>
        </w:rPr>
        <w:t xml:space="preserve">✍ 2편 집필 메모 — 2장 말미에 '지능 = L1×L2×L3' 우리 모델을 체화 인지의 언어로 재서술 — 몸(센서·모터)이 L1을, 그래프가 L2·L3를 맡는 분업 구조.</w:t>
      </w:r>
    </w:p>
    <w:p>
      <w:pPr>
        <w:pStyle w:val="Heading1"/>
        <w:spacing w:after="170" w:before="340"/>
      </w:pPr>
      <w:r>
        <w:rPr>
          <w:rFonts w:ascii="Malgun Gothic" w:cs="Malgun Gothic" w:eastAsia="Malgun Gothic" w:hAnsi="Malgun Gothic"/>
          <w:b/>
          <w:bCs/>
          <w:color w:val="1F6F6A"/>
          <w:sz w:val="29"/>
          <w:szCs w:val="29"/>
        </w:rPr>
        <w:t xml:space="preserve">제3장. 관계의 존재론 — 우리는 기계와 관계 맺는가</w:t>
      </w:r>
    </w:p>
    <w:p>
      <w:pPr>
        <w:spacing w:after="140" w:before="0" w:line="300"/>
        <w:jc w:val="both"/>
      </w:pPr>
      <w:r>
        <w:rPr>
          <w:rFonts w:ascii="Malgun Gothic" w:cs="Malgun Gothic" w:eastAsia="Malgun Gothic" w:hAnsi="Malgun Gothic"/>
          <w:sz w:val="21"/>
          <w:szCs w:val="21"/>
        </w:rPr>
        <w:t xml:space="preserve">1966년 바이첸바움의 ELIZA는 단순 패턴 매칭 챗봇이었지만, 그의 비서는 대화를 위해 '방에서 나가 달라'고 요청했다(Weizenbaum, 1966; 1976). 인간은 최소한의 단서만 있으면 기계에 마음을 투사한다. 리브스와 나스(Reeves &amp; Nass, 1996)는 이를 '미디어 등식(The Media Equation)'으로 정식화했다 — 인간은 미디어를 실제 사람과 장소처럼 대한다(CASA: Computers Are Social Actors). 엡리 등(Epley, Waytz &amp; Cacioppo, 2007)은 의인화가 외로울수록, 예측 욕구가 클수록 강해진다는 심리 메커니즘을 보였다. 외로움의 시대가 컴패니언 로봇의 시대인 것은 우연이 아니다.</w:t>
      </w:r>
    </w:p>
    <w:p>
      <w:pPr>
        <w:spacing w:after="140" w:before="0" w:line="300"/>
        <w:jc w:val="both"/>
      </w:pPr>
      <w:r>
        <w:rPr>
          <w:rFonts w:ascii="Malgun Gothic" w:cs="Malgun Gothic" w:eastAsia="Malgun Gothic" w:hAnsi="Malgun Gothic"/>
          <w:sz w:val="21"/>
          <w:szCs w:val="21"/>
        </w:rPr>
        <w:t xml:space="preserve">실증은 축적되어 있다. 물개 로봇 파로(PARO)는 치매 환자의 스트레스와 배회 행동을 줄이는 효과가 요양시설 현장 연구로 반복 확인되어(Wada &amp; Shibata, 2007) 미국 FDA 2급 의료기기가 되었다. 일본 그루브X의 러봇(LOVOT)은 '쓸모없음'을 의도적으로 설계한 최초의 상업 로봇이다 — 일을 못 하는 대신 안기고 따라다니는 것만으로 시장을 만들었다. 모리(Mori, 1970)의 불쾌한 골짜기(uncanny valley)는 역설적 설계 지침이 되었다: 성공한 컴패니언들은 인간을 닮으려다 실패하는 대신, 물개·강아지·만화 캐릭터의 형상으로 골짜기를 우회했다.</w:t>
      </w:r>
    </w:p>
    <w:p>
      <w:pPr>
        <w:spacing w:after="140" w:before="0" w:line="300"/>
        <w:jc w:val="both"/>
      </w:pPr>
      <w:r>
        <w:rPr>
          <w:rFonts w:ascii="Malgun Gothic" w:cs="Malgun Gothic" w:eastAsia="Malgun Gothic" w:hAnsi="Malgun Gothic"/>
          <w:sz w:val="21"/>
          <w:szCs w:val="21"/>
        </w:rPr>
        <w:t xml:space="preserve">그러나 관계의 실재성에 대한 물음은 남는다. 로봇은 나를 걱정하지 '않는다' — 걱정하는 것처럼 행동할 뿐이다. 이 비대칭을 어떻게 볼 것인가에 두 입장이 있다. 기만론(다음 장)과, 관계는 원래 수행(performance)으로 구성된다는 관계주의다. 2편은 제3의 길을 제안할 것이다: 관계의 실재성을 로봇의 내면(있는지 알 수 없는)이 아니라 기록의 진실성에 두는 것. 로봇이 '아버지가 이 약을 드시고 어지러워하셨다'고 말할 때, 그 문장의 무게는 로봇의 공감 능력이 아니라 그것이 실제 기록이라는 사실에서 온다. 우리 시스템의 제1규율 — 근거 없는 문장은 말하지 않는다 — 은 이 철학의 공학적 번역이다.</w:t>
      </w:r>
    </w:p>
    <w:p>
      <w:pPr>
        <w:shd w:fill="FBF3E6" w:val="clear"/>
        <w:spacing w:after="200" w:before="60"/>
      </w:pPr>
      <w:r>
        <w:rPr>
          <w:rFonts w:ascii="Malgun Gothic" w:cs="Malgun Gothic" w:eastAsia="Malgun Gothic" w:hAnsi="Malgun Gothic"/>
          <w:i/>
          <w:iCs/>
          <w:color w:val="7A4F2A"/>
          <w:sz w:val="19"/>
          <w:szCs w:val="19"/>
        </w:rPr>
        <w:t xml:space="preserve">✍ 2편 집필 메모 — 3장의 축은 'ELIZA 효과를 두려워 말고 설계하라'. 단 투사의 재료를 거짓(연기)이 아닌 진실(기록)로 공급하는 것이 우리의 차별점.</w:t>
      </w:r>
    </w:p>
    <w:p>
      <w:pPr>
        <w:pStyle w:val="Heading1"/>
        <w:spacing w:after="170" w:before="340"/>
      </w:pPr>
      <w:r>
        <w:rPr>
          <w:rFonts w:ascii="Malgun Gothic" w:cs="Malgun Gothic" w:eastAsia="Malgun Gothic" w:hAnsi="Malgun Gothic"/>
          <w:b/>
          <w:bCs/>
          <w:color w:val="1F6F6A"/>
          <w:sz w:val="29"/>
          <w:szCs w:val="29"/>
        </w:rPr>
        <w:t xml:space="preserve">제4장. 컴패니언의 윤리 — 기만, 대체, 그리고 존엄</w:t>
      </w:r>
    </w:p>
    <w:p>
      <w:pPr>
        <w:spacing w:after="140" w:before="0" w:line="300"/>
        <w:jc w:val="both"/>
      </w:pPr>
      <w:r>
        <w:rPr>
          <w:rFonts w:ascii="Malgun Gothic" w:cs="Malgun Gothic" w:eastAsia="Malgun Gothic" w:hAnsi="Malgun Gothic"/>
          <w:sz w:val="21"/>
          <w:szCs w:val="21"/>
        </w:rPr>
        <w:t xml:space="preserve">컴패니언 로봇 윤리의 고전적 반론은 세 갈래다. 첫째, 기만 반론: 스패로우 부부(Sparrow &amp; Sparrow, 2006)는 노인 돌봄 로봇이 '보살핌 받고 있다는 착각'을 팔며, 이는 노인의 존엄에 대한 모욕이라고 주장했다. 둘째, 대체 반론: 샤키 부부(Sharkey &amp; Sharkey, 2012)는 로봇 돌봄이 인간 접촉의 총량을 줄이는 알리바이가 될 위험을 경고했다 — '로봇이 있으니 자주 안 가도 되겠지'. 셋째, 통제·감시 반론: 돌봄 데이터를 수집하는 주체가 기업일 때, 컴패니언은 가장 내밀한 감시자가 된다.</w:t>
      </w:r>
    </w:p>
    <w:p>
      <w:pPr>
        <w:spacing w:after="140" w:before="0" w:line="300"/>
        <w:jc w:val="both"/>
      </w:pPr>
      <w:r>
        <w:rPr>
          <w:rFonts w:ascii="Malgun Gothic" w:cs="Malgun Gothic" w:eastAsia="Malgun Gothic" w:hAnsi="Malgun Gothic"/>
          <w:sz w:val="21"/>
          <w:szCs w:val="21"/>
        </w:rPr>
        <w:t xml:space="preserve">이 반론들은 강력하며, 2편은 이를 회피하지 않고 설계 원칙으로 응답한다. 기만에 대하여 — 우리 로봇은 감정을 연기하지 않고 기록을 읽는다. '걱정돼요'라고 말하는 대신 '혈압이 사흘째 기준을 넘고 있어요, 병원에 이 기록을 보여주세요'라고 말한다(진단·처방·응급판단·불안조장의 4대 금지). 모르는 것은 모른다고 말하도록 시험(검정고시의 함정 문항)으로 강제된다. 대체에 대하여 — 시스템의 모든 알림은 가족에게로 향한다. 로봇은 돌봄의 대체자가 아니라 가족의 감각기관이다. 감시에 대하여 — 데이터 주권 원칙(마크다운·SQLite, 내 서버, 어떤 클라우드에도 인질 잡히지 않음)은 이 반론에 대한 구조적 응답이다.</w:t>
      </w:r>
    </w:p>
    <w:p>
      <w:pPr>
        <w:spacing w:after="140" w:before="0" w:line="300"/>
        <w:jc w:val="both"/>
      </w:pPr>
      <w:r>
        <w:rPr>
          <w:rFonts w:ascii="Malgun Gothic" w:cs="Malgun Gothic" w:eastAsia="Malgun Gothic" w:hAnsi="Malgun Gothic"/>
          <w:sz w:val="21"/>
          <w:szCs w:val="21"/>
        </w:rPr>
        <w:t xml:space="preserve">윤리는 2편에서 부록이 아니라 설계 문서다. 유산 헌장의 다섯 원칙 — 언제 멈춰도 선물, 진실만 담기(고인 흉내 금지), 상속자의 선택권, 데이터 주권, 사는 시스템 — 은 위 세 반론에 대한 저자의 실천적 답변으로 제시될 것이다.</w:t>
      </w:r>
    </w:p>
    <w:p>
      <w:pPr>
        <w:shd w:fill="FBF3E6" w:val="clear"/>
        <w:spacing w:after="200" w:before="60"/>
      </w:pPr>
      <w:r>
        <w:rPr>
          <w:rFonts w:ascii="Malgun Gothic" w:cs="Malgun Gothic" w:eastAsia="Malgun Gothic" w:hAnsi="Malgun Gothic"/>
          <w:i/>
          <w:iCs/>
          <w:color w:val="7A4F2A"/>
          <w:sz w:val="19"/>
          <w:szCs w:val="19"/>
        </w:rPr>
        <w:t xml:space="preserve">✍ 2편 집필 메모 — 4장은 반론을 약화시켜 소개하지 말 것 — 스패로우의 원문 논리를 가장 강한 형태로 실은 뒤 응답해야 책의 신뢰가 산다.</w:t>
      </w:r>
    </w:p>
    <w:p>
      <w:r>
        <w:br w:type="page"/>
      </w:r>
    </w:p>
    <w:p>
      <w:pPr>
        <w:pStyle w:val="Heading1"/>
        <w:spacing w:after="240" w:before="200"/>
        <w:jc w:val="center"/>
      </w:pPr>
      <w:r>
        <w:rPr>
          <w:rFonts w:ascii="Malgun Gothic" w:cs="Malgun Gothic" w:eastAsia="Malgun Gothic" w:hAnsi="Malgun Gothic"/>
          <w:b/>
          <w:bCs/>
          <w:color w:val="1F6F6A"/>
          <w:sz w:val="36"/>
          <w:szCs w:val="36"/>
        </w:rPr>
        <w:t xml:space="preserve">제 2 부</w:t>
      </w:r>
    </w:p>
    <w:p>
      <w:pPr>
        <w:spacing w:after="140" w:before="0" w:line="300"/>
        <w:jc w:val="center"/>
      </w:pPr>
      <w:r>
        <w:rPr>
          <w:rFonts w:ascii="Malgun Gothic" w:cs="Malgun Gothic" w:eastAsia="Malgun Gothic" w:hAnsi="Malgun Gothic"/>
          <w:b/>
          <w:bCs/>
          <w:color w:val="444444"/>
          <w:sz w:val="26"/>
          <w:szCs w:val="26"/>
        </w:rPr>
        <w:t xml:space="preserve">피지컬 AI의 현재 — 과학과 산업의 지형</w:t>
      </w:r>
    </w:p>
    <w:p>
      <w:pPr>
        <w:spacing w:after="400" w:before="0" w:line="300"/>
        <w:jc w:val="center"/>
      </w:pPr>
      <w:r>
        <w:rPr>
          <w:rFonts w:ascii="Malgun Gothic" w:cs="Malgun Gothic" w:eastAsia="Malgun Gothic" w:hAnsi="Malgun Gothic"/>
          <w:color w:val="888888"/>
          <w:sz w:val="20"/>
          <w:szCs w:val="20"/>
        </w:rPr>
        <w:t xml:space="preserve">— 세계는 지금 어디를 향해 달리는가 —</w:t>
      </w:r>
    </w:p>
    <w:p>
      <w:pPr>
        <w:pStyle w:val="Heading1"/>
        <w:spacing w:after="170" w:before="340"/>
      </w:pPr>
      <w:r>
        <w:rPr>
          <w:rFonts w:ascii="Malgun Gothic" w:cs="Malgun Gothic" w:eastAsia="Malgun Gothic" w:hAnsi="Malgun Gothic"/>
          <w:b/>
          <w:bCs/>
          <w:color w:val="1F6F6A"/>
          <w:sz w:val="29"/>
          <w:szCs w:val="29"/>
        </w:rPr>
        <w:t xml:space="preserve">제5장. 피지컬 AI의 기술 계보 — 기호에서 행동으로</w:t>
      </w:r>
    </w:p>
    <w:p>
      <w:pPr>
        <w:spacing w:after="140" w:before="0" w:line="300"/>
        <w:jc w:val="both"/>
      </w:pPr>
      <w:r>
        <w:rPr>
          <w:rFonts w:ascii="Malgun Gothic" w:cs="Malgun Gothic" w:eastAsia="Malgun Gothic" w:hAnsi="Malgun Gothic"/>
          <w:sz w:val="21"/>
          <w:szCs w:val="21"/>
        </w:rPr>
        <w:t xml:space="preserve">로봇 지능의 역사는 세 번의 전환으로 요약된다. 1기(1960~80년대)는 기호주의 — 세계를 논리로 기술하고 계획을 탐색했으나 모라벡의 벽에 부딪혔다. 2기(1990~2010년대)는 행동주의와 학습 — 브룩스의 포섭 구조, 이후 심층 강화학습이 게임과 시뮬레이션을 정복했으나 현실 전이(Sim2Real)가 병목이었다. 3기(2022~현재)가 파운데이션 모델 로봇공학이다. 결정적 사건은 구글의 RT-2(Brohan et al., 2023)와 PaLM-E(Driess et al., 2023)였다 — 웹 스케일로 학습된 시각-언어 지식이 로봇 행동으로 전이될 수 있음을 보이며 VLA(Vision-Language-Action) 패러다임을 열었다.</w:t>
      </w:r>
    </w:p>
    <w:p>
      <w:pPr>
        <w:spacing w:after="140" w:before="0" w:line="300"/>
        <w:jc w:val="both"/>
      </w:pPr>
      <w:r>
        <w:rPr>
          <w:rFonts w:ascii="Malgun Gothic" w:cs="Malgun Gothic" w:eastAsia="Malgun Gothic" w:hAnsi="Malgun Gothic"/>
          <w:sz w:val="21"/>
          <w:szCs w:val="21"/>
        </w:rPr>
        <w:t xml:space="preserve">2024~2026년 VLA의 진화는 숨가쁘다. 스탠포드의 ALOHA/ACT(Zhao et al., 2023)는 수백 회 시범만으로 정교한 양손 조작을 학습할 수 있음을 보여 저비용 모방학습 시대를 열었고 — 우리가 채택한 LeRobot·SO-101 생태계가 바로 이 계보다. OpenVLA(Kim et al., 2024)는 7B 오픈소스 VLA로 재현 가능성을 확보했다. Physical Intelligence의 π0(Black et al., 2024)는 플로우 매칭 기반 범용 조작 모델로, 후속 π0.5는 '본 적 없는 집'에서의 일반화를 시연했다. 피규어의 Helix(2025), 엔비디아의 GR00T N1(2025, arXiv:2503.14734), 구글의 Gemini Robotics 1.5(2025)는 모두 하나의 아키텍처 패턴으로 수렴하고 있다: 크고 느린 시각-언어 두뇌(System 2, 5~10Hz)가 계획하고, 작고 빠른 행동 전문가(System 1, 50~100Hz 디퓨전/플로우)가 실행하는 이중 시스템. 카너먼(Kahneman, 2011)의 인지 이중과정 이론이 로봇 아키텍처의 표준이 된 것이다.</w:t>
      </w:r>
    </w:p>
    <w:p>
      <w:pPr>
        <w:spacing w:after="140" w:before="0" w:line="300"/>
        <w:jc w:val="both"/>
      </w:pPr>
      <w:r>
        <w:rPr>
          <w:rFonts w:ascii="Malgun Gothic" w:cs="Malgun Gothic" w:eastAsia="Malgun Gothic" w:hAnsi="Malgun Gothic"/>
          <w:sz w:val="21"/>
          <w:szCs w:val="21"/>
        </w:rPr>
        <w:t xml:space="preserve">한편 세계모델(world model) 진영은 '행동 전에 상상하라'를 추구한다. 하-슈미트후버의 선구적 연구(Ha &amp; Schmidhuber, 2018), 르쿤의 JEPA 청사진(LeCun, 2022), 그리고 엔비디아 Cosmos(2025)의 세계 파운데이션 모델이 이 흐름이며, 사용자가 업로드한 설계 초안의 Cosmos WFM 구상이 정확히 이 지점에 서 있다. 2편은 이 기술사를 '로봇이 카너먼을 읽게 된 사연'으로 대중적으로 풀어낼 것이다.</w:t>
      </w:r>
    </w:p>
    <w:p>
      <w:pPr>
        <w:shd w:fill="FBF3E6" w:val="clear"/>
        <w:spacing w:after="200" w:before="60"/>
      </w:pPr>
      <w:r>
        <w:rPr>
          <w:rFonts w:ascii="Malgun Gothic" w:cs="Malgun Gothic" w:eastAsia="Malgun Gothic" w:hAnsi="Malgun Gothic"/>
          <w:i/>
          <w:iCs/>
          <w:color w:val="7A4F2A"/>
          <w:sz w:val="19"/>
          <w:szCs w:val="19"/>
        </w:rPr>
        <w:t xml:space="preserve">✍ 2편 집필 메모 — 5장은 연대기 표 + '이중 시스템 수렴' 그림 1장이 핵심. 우리 게이트/사서 구조가 같은 패턴의 소박한 구현임을 각주로.</w:t>
      </w:r>
    </w:p>
    <w:p>
      <w:pPr>
        <w:pStyle w:val="Heading1"/>
        <w:spacing w:after="170" w:before="340"/>
      </w:pPr>
      <w:r>
        <w:rPr>
          <w:rFonts w:ascii="Malgun Gothic" w:cs="Malgun Gothic" w:eastAsia="Malgun Gothic" w:hAnsi="Malgun Gothic"/>
          <w:b/>
          <w:bCs/>
          <w:color w:val="1F6F6A"/>
          <w:sz w:val="29"/>
          <w:szCs w:val="29"/>
        </w:rPr>
        <w:t xml:space="preserve">제6장. 세계 기업들의 세 진영 — 노동, 정서, 민주화</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826"/>
      </w:tblGrid>
      <w:tr>
        <w:tc>
          <w:tcPr>
            <w:tcW w:type="dxa" w:w="2100"/>
            <w:shd w:fill="E8F4F2" w:val="clear"/>
            <w:tcMar>
              <w:top w:type="dxa" w:w="60"/>
              <w:left w:type="dxa" w:w="90"/>
              <w:bottom w:type="dxa" w:w="60"/>
              <w:right w:type="dxa" w:w="90"/>
            </w:tcMar>
          </w:tcPr>
          <w:p>
            <w:pPr>
              <w:spacing w:after="0"/>
            </w:pPr>
            <w:r>
              <w:rPr>
                <w:rFonts w:ascii="Malgun Gothic" w:cs="Malgun Gothic" w:eastAsia="Malgun Gothic" w:hAnsi="Malgun Gothic"/>
                <w:b/>
                <w:bCs/>
                <w:sz w:val="19"/>
                <w:szCs w:val="19"/>
              </w:rPr>
              <w:t xml:space="preserve">진영</w:t>
            </w:r>
          </w:p>
        </w:tc>
        <w:tc>
          <w:tcPr>
            <w:tcW w:type="dxa" w:w="3300"/>
            <w:shd w:fill="E8F4F2" w:val="clear"/>
            <w:tcMar>
              <w:top w:type="dxa" w:w="60"/>
              <w:left w:type="dxa" w:w="90"/>
              <w:bottom w:type="dxa" w:w="60"/>
              <w:right w:type="dxa" w:w="90"/>
            </w:tcMar>
          </w:tcPr>
          <w:p>
            <w:pPr>
              <w:spacing w:after="0"/>
            </w:pPr>
            <w:r>
              <w:rPr>
                <w:rFonts w:ascii="Malgun Gothic" w:cs="Malgun Gothic" w:eastAsia="Malgun Gothic" w:hAnsi="Malgun Gothic"/>
                <w:b/>
                <w:bCs/>
                <w:sz w:val="19"/>
                <w:szCs w:val="19"/>
              </w:rPr>
              <w:t xml:space="preserve">대표 주자</w:t>
            </w:r>
          </w:p>
        </w:tc>
        <w:tc>
          <w:tcPr>
            <w:tcW w:type="dxa" w:w="3826"/>
            <w:shd w:fill="E8F4F2" w:val="clear"/>
            <w:tcMar>
              <w:top w:type="dxa" w:w="60"/>
              <w:left w:type="dxa" w:w="90"/>
              <w:bottom w:type="dxa" w:w="60"/>
              <w:right w:type="dxa" w:w="90"/>
            </w:tcMar>
          </w:tcPr>
          <w:p>
            <w:pPr>
              <w:spacing w:after="0"/>
            </w:pPr>
            <w:r>
              <w:rPr>
                <w:rFonts w:ascii="Malgun Gothic" w:cs="Malgun Gothic" w:eastAsia="Malgun Gothic" w:hAnsi="Malgun Gothic"/>
                <w:b/>
                <w:bCs/>
                <w:sz w:val="19"/>
                <w:szCs w:val="19"/>
              </w:rPr>
              <w:t xml:space="preserve">추구하는 것</w:t>
            </w:r>
          </w:p>
        </w:tc>
      </w:tr>
      <w:tr>
        <w:tc>
          <w:tcPr>
            <w:tcW w:type="dxa" w:w="2100"/>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범용 노동 (휴머노이드)</w:t>
            </w:r>
          </w:p>
        </w:tc>
        <w:tc>
          <w:tcPr>
            <w:tcW w:type="dxa" w:w="3300"/>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Tesla Optimus · Figure(Helix) · 1X Neo · Agility Digit · 중국 Unitree 등</w:t>
            </w:r>
          </w:p>
        </w:tc>
        <w:tc>
          <w:tcPr>
            <w:tcW w:type="dxa" w:w="3826"/>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인간형 몸 + VLA 두뇌로 공장·물류·가사의 노동 대체. 2026년 현재 파일럿→플랫폼 전환기, 조 단위 투자</w:t>
            </w:r>
          </w:p>
        </w:tc>
      </w:tr>
      <w:tr>
        <w:tc>
          <w:tcPr>
            <w:tcW w:type="dxa" w:w="2100"/>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정서 동반 (컴패니언)</w:t>
            </w:r>
          </w:p>
        </w:tc>
        <w:tc>
          <w:tcPr>
            <w:tcW w:type="dxa" w:w="3300"/>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PARO(의료기기) · LOVOT · Sony aibo · 삼성 볼리 · LG 스마트홈 AI 에이전트</w:t>
            </w:r>
          </w:p>
        </w:tc>
        <w:tc>
          <w:tcPr>
            <w:tcW w:type="dxa" w:w="3826"/>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생산성이 아닌 애착. 비인간형 디자인으로 불쾌한 골짜기 우회. 고령화 시장(일본·한국)이 선도</w:t>
            </w:r>
          </w:p>
        </w:tc>
      </w:tr>
      <w:tr>
        <w:tc>
          <w:tcPr>
            <w:tcW w:type="dxa" w:w="2100"/>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민주화 (오픈소스)</w:t>
            </w:r>
          </w:p>
        </w:tc>
        <w:tc>
          <w:tcPr>
            <w:tcW w:type="dxa" w:w="3300"/>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Hugging Face LeRobot · SO-101 · ALOHA 계보 · LeKiwi · XLeRobot</w:t>
            </w:r>
          </w:p>
        </w:tc>
        <w:tc>
          <w:tcPr>
            <w:tcW w:type="dxa" w:w="3826"/>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100만 원대 하드웨어 + 공개 모델로 로봇 학습의 진입장벽 해체. 우리가 선 곳</w:t>
            </w:r>
          </w:p>
        </w:tc>
      </w:tr>
    </w:tbl>
    <w:p>
      <w:pPr>
        <w:spacing w:after="140" w:before="100" w:line="300"/>
        <w:jc w:val="both"/>
      </w:pPr>
      <w:r>
        <w:rPr>
          <w:rFonts w:ascii="Malgun Gothic" w:cs="Malgun Gothic" w:eastAsia="Malgun Gothic" w:hAnsi="Malgun Gothic"/>
          <w:sz w:val="21"/>
          <w:szCs w:val="21"/>
        </w:rPr>
        <w:t xml:space="preserve">주목할 것은 세 진영의 공백이다. 노동 진영은 몸은 강하지만 '누구의 로봇인가'에 답이 없다 — 공장의 옵티머스는 주인이 없다. 정서 진영은 애착은 만들지만 지능이 얕다 — 러봇은 안기지만 주인의 혈압 기록을 모른다. 민주화 진영은 도구를 주지만 목적은 각자의 몫이다. 세 진영 어디에도 '한 사람의 평생 기록을 아는, 그 사람만의 컴패니언'은 없다. 개인 지식그래프와 로봇의 결합 — 이것이 지형도의 빈칸이며, 저자의 프로젝트이자 2편의 자리다.</w:t>
      </w:r>
    </w:p>
    <w:p>
      <w:pPr>
        <w:shd w:fill="FBF3E6" w:val="clear"/>
        <w:spacing w:after="200" w:before="60"/>
      </w:pPr>
      <w:r>
        <w:rPr>
          <w:rFonts w:ascii="Malgun Gothic" w:cs="Malgun Gothic" w:eastAsia="Malgun Gothic" w:hAnsi="Malgun Gothic"/>
          <w:i/>
          <w:iCs/>
          <w:color w:val="7A4F2A"/>
          <w:sz w:val="19"/>
          <w:szCs w:val="19"/>
        </w:rPr>
        <w:t xml:space="preserve">✍ 2편 집필 메모 — 6장은 산업 리포트가 아니라 '빈칸 찾기'로 서사화. 각 진영 대표 1개씩만 깊게(옵티머스/러봇/LeRobot), 나머지는 표로.</w:t>
      </w:r>
    </w:p>
    <w:p>
      <w:pPr>
        <w:pStyle w:val="Heading1"/>
        <w:spacing w:after="170" w:before="340"/>
      </w:pPr>
      <w:r>
        <w:rPr>
          <w:rFonts w:ascii="Malgun Gothic" w:cs="Malgun Gothic" w:eastAsia="Malgun Gothic" w:hAnsi="Malgun Gothic"/>
          <w:b/>
          <w:bCs/>
          <w:color w:val="1F6F6A"/>
          <w:sz w:val="29"/>
          <w:szCs w:val="29"/>
        </w:rPr>
        <w:t xml:space="preserve">제7장. 개인 지식그래프 — 기계가 '나'를 기억하는 방법</w:t>
      </w:r>
    </w:p>
    <w:p>
      <w:pPr>
        <w:spacing w:after="140" w:before="0" w:line="300"/>
        <w:jc w:val="both"/>
      </w:pPr>
      <w:r>
        <w:rPr>
          <w:rFonts w:ascii="Malgun Gothic" w:cs="Malgun Gothic" w:eastAsia="Malgun Gothic" w:hAnsi="Malgun Gothic"/>
          <w:sz w:val="21"/>
          <w:szCs w:val="21"/>
        </w:rPr>
        <w:t xml:space="preserve">지식그래프는 구글이 2012년 검색에 도입하며 대중화되었고, 학술적으로는 호건 등의 종합 서베이(Hogan et al., 2021)가 표준 참조점이다. 그러나 '개인' 지식그래프(PKG)는 별도의 연구 의제다. 발로그와 켄터(Balog &amp; Kenter, 2019)는 PKG를 '한 개인에게 개인적으로 관련된 실체들의 그래프'로 정의하며 연구 과제를 제시했다 — 스키마의 개인성, 불완전성의 상시성, 그리고 주인만이 판정할 수 있는 진실성. 이는 기업 지식그래프와 근본적으로 다른 설계 문제이며, 저자의 브레인그래프가 매일 부딪히는 문제들과 정확히 일치한다.</w:t>
      </w:r>
    </w:p>
    <w:p>
      <w:pPr>
        <w:spacing w:after="140" w:before="0" w:line="300"/>
        <w:jc w:val="both"/>
      </w:pPr>
      <w:r>
        <w:rPr>
          <w:rFonts w:ascii="Malgun Gothic" w:cs="Malgun Gothic" w:eastAsia="Malgun Gothic" w:hAnsi="Malgun Gothic"/>
          <w:sz w:val="21"/>
          <w:szCs w:val="21"/>
        </w:rPr>
        <w:t xml:space="preserve">LLM 시대에 PKG는 두 번째 생명을 얻었다. LLM의 파라미터 기억은 개인을 모르고, 컨텍스트 창은 유한하며, 환각은 구조적이다. 응답은 검색증강생성(RAG)이었고, 그 진화형이 그래프 기반 RAG다 — 마이크로소프트의 GraphRAG(Edge et al., 2024)는 문서를 그래프로 조직해 전역적 질문에 답하는 방법을 보였고, MemGPT(Packer et al., 2023)는 LLM에 운영체제식 계층 기억을 부여했다. 산업계의 최전선(OpenAI·Anthropic의 메모리 기능, 에이전트 메모리 스타트업들)이 모두 같은 방향을 가리킨다: 지능은 모델에, 기억은 구조화된 외부에. 뇌과학의 해마-피질 분업과 같은 구도다.</w:t>
      </w:r>
    </w:p>
    <w:p>
      <w:pPr>
        <w:spacing w:after="140" w:before="0" w:line="300"/>
        <w:jc w:val="both"/>
      </w:pPr>
      <w:r>
        <w:rPr>
          <w:rFonts w:ascii="Malgun Gothic" w:cs="Malgun Gothic" w:eastAsia="Malgun Gothic" w:hAnsi="Malgun Gothic"/>
          <w:sz w:val="21"/>
          <w:szCs w:val="21"/>
        </w:rPr>
        <w:t xml:space="preserve">그러나 학계·산업 모두에서 PKG는 아직 '봇의 기억 향상 장치'로 다뤄진다. 2편의 관점 전환은 이렇다 — PKG는 로봇의 부품이 아니라 로봇이 섬기는 본체다. 그래프가 거울(원본은 볼트·ERP)이고, 로봇의 대화는 그래프 근거 인용으로만 허용되며(우리의 '근거 인용률 100%' 게이트), 그래프는 주인과 함께 평생 자라 상속된다. 기억이 지능의 종이 아니라, 지능이 기억의 종이 되는 역전 — 이것이 컴패니언 문제에 대한 우리의 구조적 답이다.</w:t>
      </w:r>
    </w:p>
    <w:p>
      <w:pPr>
        <w:shd w:fill="FBF3E6" w:val="clear"/>
        <w:spacing w:after="200" w:before="60"/>
      </w:pPr>
      <w:r>
        <w:rPr>
          <w:rFonts w:ascii="Malgun Gothic" w:cs="Malgun Gothic" w:eastAsia="Malgun Gothic" w:hAnsi="Malgun Gothic"/>
          <w:i/>
          <w:iCs/>
          <w:color w:val="7A4F2A"/>
          <w:sz w:val="19"/>
          <w:szCs w:val="19"/>
        </w:rPr>
        <w:t xml:space="preserve">✍ 2편 집필 메모 — 7장에서 1편 2부(세컨드브레인)와 직결 — '옵시디언 볼트가 어떻게 로봇의 영혼이 되는가'를 1편 독자의 언어로.</w:t>
      </w:r>
    </w:p>
    <w:p>
      <w:pPr>
        <w:pStyle w:val="Heading1"/>
        <w:spacing w:after="170" w:before="340"/>
      </w:pPr>
      <w:r>
        <w:rPr>
          <w:rFonts w:ascii="Malgun Gothic" w:cs="Malgun Gothic" w:eastAsia="Malgun Gothic" w:hAnsi="Malgun Gothic"/>
          <w:b/>
          <w:bCs/>
          <w:color w:val="1F6F6A"/>
          <w:sz w:val="29"/>
          <w:szCs w:val="29"/>
        </w:rPr>
        <w:t xml:space="preserve">제8장. AGI 논쟁과 '1차적 AGI' — 범용이 아니라 충분함</w:t>
      </w:r>
    </w:p>
    <w:p>
      <w:pPr>
        <w:spacing w:after="140" w:before="0" w:line="300"/>
        <w:jc w:val="both"/>
      </w:pPr>
      <w:r>
        <w:rPr>
          <w:rFonts w:ascii="Malgun Gothic" w:cs="Malgun Gothic" w:eastAsia="Malgun Gothic" w:hAnsi="Malgun Gothic"/>
          <w:sz w:val="21"/>
          <w:szCs w:val="21"/>
        </w:rPr>
        <w:t xml:space="preserve">AGI 정의는 오래 표류해 왔다. 레그와 허터(Legg &amp; Hutter, 2007)는 지능을 '광범위한 환경에서 목표를 달성하는 능력'으로 수학화했고, 딥마인드의 'AGI의 수준들'(Morris et al., 2023)은 성능(응급~초인)×범용성(특화~범용)의 2차원 격자를 제안하며 '범용성'을 과제 다양성으로 조작화했다. 이 격자에서 산업의 시선은 언제나 오른쪽 위(초인적 범용)를 향한다. 그러나 컴패니언 문제는 다른 좌표를 요구한다.</w:t>
      </w:r>
    </w:p>
    <w:p>
      <w:pPr>
        <w:spacing w:after="140" w:before="0" w:line="300"/>
        <w:jc w:val="both"/>
      </w:pPr>
      <w:r>
        <w:rPr>
          <w:rFonts w:ascii="Malgun Gothic" w:cs="Malgun Gothic" w:eastAsia="Malgun Gothic" w:hAnsi="Malgun Gothic"/>
          <w:sz w:val="21"/>
          <w:szCs w:val="21"/>
        </w:rPr>
        <w:t xml:space="preserve">저자가 '1차적 AGI'라 부르는 것은 다음의 조작적 정의를 갖는다: 한 사람의 삶의 맥락 안에서, 그 사람이 필요로 하는 과제 집합에 대해, 근거를 가지고 일반적으로 유능한 지능. 범용성의 분모를 '세상 모든 과제'에서 '주인의 삶'으로 바꾸는 것이다. 이 정의는 세 층으로 구현된다 — L1 기반지능(사전학습 LLM이 초·중·고·대학 수준의 세계 상식을 갖췄는지 검정고시로 확인: 실측 88%, 환각 0건), L2 분야지능(주인이 고른 분야만 소스→그래프→자기시험 90%+근거 100%를 통과해야 대화 개방), L3 주인지능(주인의 브레인그래프 — 이것만은 어떤 공장도 만들 수 없다). 지능은 세 층의 곱이다: 하나라도 0이면 컴패니언이 아니다.</w:t>
      </w:r>
    </w:p>
    <w:p>
      <w:pPr>
        <w:spacing w:after="140" w:before="0" w:line="300"/>
        <w:jc w:val="both"/>
      </w:pPr>
      <w:r>
        <w:rPr>
          <w:rFonts w:ascii="Malgun Gothic" w:cs="Malgun Gothic" w:eastAsia="Malgun Gothic" w:hAnsi="Malgun Gothic"/>
          <w:sz w:val="21"/>
          <w:szCs w:val="21"/>
        </w:rPr>
        <w:t xml:space="preserve">이 정의의 학술적 기여 가능성은 검정 방법론에 있다. AGI 평가는 벤치마크 오염과 굿하트 법칙에 시달리는데, '주인 기준 AGI'는 평가자가 명확하고(주인), 시험이 삶에서 나오며(그래프의 CQ), 환각이 즉시 탄로 난다(주인이 진실을 앎). 2편은 이를 '식탁의 튜링 테스트'로 명명하고, n=1이지만 반복 가능한 평가 프로토콜로 제안할 것이다.</w:t>
      </w:r>
    </w:p>
    <w:p>
      <w:pPr>
        <w:shd w:fill="FBF3E6" w:val="clear"/>
        <w:spacing w:after="200" w:before="60"/>
      </w:pPr>
      <w:r>
        <w:rPr>
          <w:rFonts w:ascii="Malgun Gothic" w:cs="Malgun Gothic" w:eastAsia="Malgun Gothic" w:hAnsi="Malgun Gothic"/>
          <w:i/>
          <w:iCs/>
          <w:color w:val="7A4F2A"/>
          <w:sz w:val="19"/>
          <w:szCs w:val="19"/>
        </w:rPr>
        <w:t xml:space="preserve">✍ 2편 집필 메모 — 8장이 2편의 학술적 심장. Morris et al. 격자 그림에 '우리의 좌표'를 찍은 그림 1장 필수.</w:t>
      </w:r>
    </w:p>
    <w:p>
      <w:r>
        <w:br w:type="page"/>
      </w:r>
    </w:p>
    <w:p>
      <w:pPr>
        <w:pStyle w:val="Heading1"/>
        <w:spacing w:after="240" w:before="200"/>
        <w:jc w:val="center"/>
      </w:pPr>
      <w:r>
        <w:rPr>
          <w:rFonts w:ascii="Malgun Gothic" w:cs="Malgun Gothic" w:eastAsia="Malgun Gothic" w:hAnsi="Malgun Gothic"/>
          <w:b/>
          <w:bCs/>
          <w:color w:val="1F6F6A"/>
          <w:sz w:val="36"/>
          <w:szCs w:val="36"/>
        </w:rPr>
        <w:t xml:space="preserve">제 3 부</w:t>
      </w:r>
    </w:p>
    <w:p>
      <w:pPr>
        <w:spacing w:after="140" w:before="0" w:line="300"/>
        <w:jc w:val="center"/>
      </w:pPr>
      <w:r>
        <w:rPr>
          <w:rFonts w:ascii="Malgun Gothic" w:cs="Malgun Gothic" w:eastAsia="Malgun Gothic" w:hAnsi="Malgun Gothic"/>
          <w:b/>
          <w:bCs/>
          <w:color w:val="444444"/>
          <w:sz w:val="26"/>
          <w:szCs w:val="26"/>
        </w:rPr>
        <w:t xml:space="preserve">종합 — 기르는 지능, 상속되는 마음</w:t>
      </w:r>
    </w:p>
    <w:p>
      <w:pPr>
        <w:spacing w:after="400" w:before="0" w:line="300"/>
        <w:jc w:val="center"/>
      </w:pPr>
      <w:r>
        <w:rPr>
          <w:rFonts w:ascii="Malgun Gothic" w:cs="Malgun Gothic" w:eastAsia="Malgun Gothic" w:hAnsi="Malgun Gothic"/>
          <w:color w:val="888888"/>
          <w:sz w:val="20"/>
          <w:szCs w:val="20"/>
        </w:rPr>
        <w:t xml:space="preserve">— 서드브레인 2편의 논지와 실증 설계 —</w:t>
      </w:r>
    </w:p>
    <w:p>
      <w:pPr>
        <w:pStyle w:val="Heading1"/>
        <w:spacing w:after="170" w:before="340"/>
      </w:pPr>
      <w:r>
        <w:rPr>
          <w:rFonts w:ascii="Malgun Gothic" w:cs="Malgun Gothic" w:eastAsia="Malgun Gothic" w:hAnsi="Malgun Gothic"/>
          <w:b/>
          <w:bCs/>
          <w:color w:val="1F6F6A"/>
          <w:sz w:val="29"/>
          <w:szCs w:val="29"/>
        </w:rPr>
        <w:t xml:space="preserve">제9장. 중심 명제 — 컴패니언의 영혼은 관계의 기록이다</w:t>
      </w:r>
    </w:p>
    <w:p>
      <w:pPr>
        <w:spacing w:after="140" w:before="0" w:line="300"/>
        <w:jc w:val="both"/>
      </w:pPr>
      <w:r>
        <w:rPr>
          <w:rFonts w:ascii="Malgun Gothic" w:cs="Malgun Gothic" w:eastAsia="Malgun Gothic" w:hAnsi="Malgun Gothic"/>
          <w:sz w:val="21"/>
          <w:szCs w:val="21"/>
        </w:rPr>
        <w:t xml:space="preserve">1~2부를 관통하는 하나의 명제를 세운다. 철학(1부)은 관계의 실재성이 내면이 아니라 진실한 기록에 근거할 수 있음을 보였고, 산업 지형(2부)은 '한 사람을 아는 로봇'이 지형도의 빈칸임을 보였다. 종합하면: 컴패니언 로봇의 본체는 하드웨어(교체 가능한 부품)도, 파운데이션 모델(만인에게 동일한 지능)도 아닌, 주인과 로봇이 함께 축적한 관계의 기록 — 개인 지식그래프다. 같은 공장에서 나온 두 로봇은 동일하지만, 십 년을 서로 다른 가정에서 산 두 로봇은 존재론적으로 다른 개체다. 개체성(individuality)은 제조되는 것이 아니라 길러지는 것이다.</w:t>
      </w:r>
    </w:p>
    <w:p>
      <w:pPr>
        <w:spacing w:after="140" w:before="0" w:line="300"/>
        <w:jc w:val="both"/>
      </w:pPr>
      <w:r>
        <w:rPr>
          <w:rFonts w:ascii="Malgun Gothic" w:cs="Malgun Gothic" w:eastAsia="Malgun Gothic" w:hAnsi="Malgun Gothic"/>
          <w:sz w:val="21"/>
          <w:szCs w:val="21"/>
        </w:rPr>
        <w:t xml:space="preserve">이 명제는 세 가지 따름정리를 갖는다. ① 이동성: 몸이 낡으면 그래프를 새 몸에 옮긴다 — 컴패니언은 죽지 않고 이사한다(어댑터 패턴의 철학적 의미). ② 다중성: 하나의 그래프가 로봇·앱·음성으로 동시에 현전할 수 있다 — 영혼은 몸의 개수에 구애받지 않는다. ③ 상속성: 그래프는 파일이므로 물려줄 수 있다 — 다음 장들의 주제다.</w:t>
      </w:r>
    </w:p>
    <w:p>
      <w:pPr>
        <w:pBdr>
          <w:top w:val="single" w:color="1F6F6A" w:sz="4"/>
          <w:bottom w:val="single" w:color="1F6F6A" w:sz="4"/>
        </w:pBdr>
        <w:spacing w:after="180" w:before="180"/>
        <w:jc w:val="center"/>
      </w:pPr>
      <w:r>
        <w:rPr>
          <w:rFonts w:ascii="Malgun Gothic" w:cs="Malgun Gothic" w:eastAsia="Malgun Gothic" w:hAnsi="Malgun Gothic"/>
          <w:b/>
          <w:bCs/>
          <w:color w:val="1F6F6A"/>
          <w:sz w:val="22"/>
          <w:szCs w:val="22"/>
        </w:rPr>
        <w:t xml:space="preserve">공장은 로봇을 만들고, 세월은 컴패니언을 만든다</w:t>
      </w:r>
    </w:p>
    <w:p>
      <w:pPr>
        <w:pStyle w:val="Heading1"/>
        <w:spacing w:after="170" w:before="340"/>
      </w:pPr>
      <w:r>
        <w:rPr>
          <w:rFonts w:ascii="Malgun Gothic" w:cs="Malgun Gothic" w:eastAsia="Malgun Gothic" w:hAnsi="Malgun Gothic"/>
          <w:b/>
          <w:bCs/>
          <w:color w:val="1F6F6A"/>
          <w:sz w:val="29"/>
          <w:szCs w:val="29"/>
        </w:rPr>
        <w:t xml:space="preserve">제10장. 실증 연구 설계 — n=1 리빙랩</w:t>
      </w:r>
    </w:p>
    <w:p>
      <w:pPr>
        <w:spacing w:after="140" w:before="0" w:line="300"/>
        <w:jc w:val="both"/>
      </w:pPr>
      <w:r>
        <w:rPr>
          <w:rFonts w:ascii="Malgun Gothic" w:cs="Malgun Gothic" w:eastAsia="Malgun Gothic" w:hAnsi="Malgun Gothic"/>
          <w:sz w:val="21"/>
          <w:szCs w:val="21"/>
        </w:rPr>
        <w:t xml:space="preserve">2편이 에세이에 머물지 않으려면 실증이 필요하다. 저자의 시스템은 이미 연구 플랫폼의 요건을 갖췄다: 모든 상호작용이 이벤트로 기록되고(관리도), 로봇 지능은 주기적으로 재검정되며(주 1회 Drift Check), 월간 성장 일지가 자동 축적된다. 이 위에서 다음 연구 질문을 설정한다.</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2926"/>
      </w:tblGrid>
      <w:tr>
        <w:tc>
          <w:tcPr>
            <w:tcW w:type="dxa" w:w="1300"/>
            <w:shd w:fill="E8F4F2" w:val="clear"/>
            <w:tcMar>
              <w:top w:type="dxa" w:w="60"/>
              <w:left w:type="dxa" w:w="90"/>
              <w:bottom w:type="dxa" w:w="60"/>
              <w:right w:type="dxa" w:w="90"/>
            </w:tcMar>
          </w:tcPr>
          <w:p>
            <w:pPr>
              <w:spacing w:after="0"/>
            </w:pPr>
            <w:r>
              <w:rPr>
                <w:rFonts w:ascii="Malgun Gothic" w:cs="Malgun Gothic" w:eastAsia="Malgun Gothic" w:hAnsi="Malgun Gothic"/>
                <w:b/>
                <w:bCs/>
                <w:sz w:val="19"/>
                <w:szCs w:val="19"/>
              </w:rPr>
              <w:t xml:space="preserve">RQ</w:t>
            </w:r>
          </w:p>
        </w:tc>
        <w:tc>
          <w:tcPr>
            <w:tcW w:type="dxa" w:w="5000"/>
            <w:shd w:fill="E8F4F2" w:val="clear"/>
            <w:tcMar>
              <w:top w:type="dxa" w:w="60"/>
              <w:left w:type="dxa" w:w="90"/>
              <w:bottom w:type="dxa" w:w="60"/>
              <w:right w:type="dxa" w:w="90"/>
            </w:tcMar>
          </w:tcPr>
          <w:p>
            <w:pPr>
              <w:spacing w:after="0"/>
            </w:pPr>
            <w:r>
              <w:rPr>
                <w:rFonts w:ascii="Malgun Gothic" w:cs="Malgun Gothic" w:eastAsia="Malgun Gothic" w:hAnsi="Malgun Gothic"/>
                <w:b/>
                <w:bCs/>
                <w:sz w:val="19"/>
                <w:szCs w:val="19"/>
              </w:rPr>
              <w:t xml:space="preserve">연구 질문</w:t>
            </w:r>
          </w:p>
        </w:tc>
        <w:tc>
          <w:tcPr>
            <w:tcW w:type="dxa" w:w="2926"/>
            <w:shd w:fill="E8F4F2" w:val="clear"/>
            <w:tcMar>
              <w:top w:type="dxa" w:w="60"/>
              <w:left w:type="dxa" w:w="90"/>
              <w:bottom w:type="dxa" w:w="60"/>
              <w:right w:type="dxa" w:w="90"/>
            </w:tcMar>
          </w:tcPr>
          <w:p>
            <w:pPr>
              <w:spacing w:after="0"/>
            </w:pPr>
            <w:r>
              <w:rPr>
                <w:rFonts w:ascii="Malgun Gothic" w:cs="Malgun Gothic" w:eastAsia="Malgun Gothic" w:hAnsi="Malgun Gothic"/>
                <w:b/>
                <w:bCs/>
                <w:sz w:val="19"/>
                <w:szCs w:val="19"/>
              </w:rPr>
              <w:t xml:space="preserve">측정(이미 구축된 도구)</w:t>
            </w:r>
          </w:p>
        </w:tc>
      </w:tr>
      <w:tr>
        <w:tc>
          <w:tcPr>
            <w:tcW w:type="dxa" w:w="1300"/>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RQ1</w:t>
            </w:r>
          </w:p>
        </w:tc>
        <w:tc>
          <w:tcPr>
            <w:tcW w:type="dxa" w:w="5000"/>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그래프 근거 강제는 컴패니언 대화의 신뢰를 실제로 바꾸는가</w:t>
            </w:r>
          </w:p>
        </w:tc>
        <w:tc>
          <w:tcPr>
            <w:tcW w:type="dxa" w:w="2926"/>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환각 0건 유지율·근거 인용률(자기시험 로그), 주인 체감 기록</w:t>
            </w:r>
          </w:p>
        </w:tc>
      </w:tr>
      <w:tr>
        <w:tc>
          <w:tcPr>
            <w:tcW w:type="dxa" w:w="1300"/>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RQ2</w:t>
            </w:r>
          </w:p>
        </w:tc>
        <w:tc>
          <w:tcPr>
            <w:tcW w:type="dxa" w:w="5000"/>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검정-게이트 구조(L1·L2)는 시간이 지나도 안정적인가</w:t>
            </w:r>
          </w:p>
        </w:tc>
        <w:tc>
          <w:tcPr>
            <w:tcW w:type="dxa" w:w="2926"/>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주간 재검 관리도, 인증 상실 이벤트</w:t>
            </w:r>
          </w:p>
        </w:tc>
      </w:tr>
      <w:tr>
        <w:tc>
          <w:tcPr>
            <w:tcW w:type="dxa" w:w="1300"/>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RQ3</w:t>
            </w:r>
          </w:p>
        </w:tc>
        <w:tc>
          <w:tcPr>
            <w:tcW w:type="dxa" w:w="5000"/>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몸의 유무는 같은 지능에 대한 애착·순응(복약 등)을 바꾸는가</w:t>
            </w:r>
          </w:p>
        </w:tc>
        <w:tc>
          <w:tcPr>
            <w:tcW w:type="dxa" w:w="2926"/>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화면·음성 단계 vs 로봇 단계의 복약 준수율·마음 기록 빈도 비교</w:t>
            </w:r>
          </w:p>
        </w:tc>
      </w:tr>
      <w:tr>
        <w:tc>
          <w:tcPr>
            <w:tcW w:type="dxa" w:w="1300"/>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RQ4</w:t>
            </w:r>
          </w:p>
        </w:tc>
        <w:tc>
          <w:tcPr>
            <w:tcW w:type="dxa" w:w="5000"/>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삼각(몸×학습×일) 습관 지표와 결과 지표의 상관은 관찰되는가</w:t>
            </w:r>
          </w:p>
        </w:tc>
        <w:tc>
          <w:tcPr>
            <w:tcW w:type="dxa" w:w="2926"/>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웰빙 주간 카드 시계열(인과 주장 없이 관찰만)</w:t>
            </w:r>
          </w:p>
        </w:tc>
      </w:tr>
      <w:tr>
        <w:tc>
          <w:tcPr>
            <w:tcW w:type="dxa" w:w="1300"/>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RQ5</w:t>
            </w:r>
          </w:p>
        </w:tc>
        <w:tc>
          <w:tcPr>
            <w:tcW w:type="dxa" w:w="5000"/>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그래프의 세대 이전은 실제로 작동하는가</w:t>
            </w:r>
          </w:p>
        </w:tc>
        <w:tc>
          <w:tcPr>
            <w:tcW w:type="dxa" w:w="2926"/>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유산 패키지 상속 리허설, 상속자(딸) 관점 수용성 인터뷰</w:t>
            </w:r>
          </w:p>
        </w:tc>
      </w:tr>
    </w:tbl>
    <w:p>
      <w:pPr>
        <w:spacing w:after="140" w:before="100" w:line="300"/>
        <w:jc w:val="both"/>
      </w:pPr>
      <w:r>
        <w:rPr>
          <w:rFonts w:ascii="Malgun Gothic" w:cs="Malgun Gothic" w:eastAsia="Malgun Gothic" w:hAnsi="Malgun Gothic"/>
          <w:sz w:val="21"/>
          <w:szCs w:val="21"/>
        </w:rPr>
        <w:t xml:space="preserve">방법론은 자기연구(autoethnography)와 시스템 로그의 결합이다. n=1의 한계는 명백하므로 일반화를 주장하지 않되, 도킨스식 '한 마리의 검은 백조'로 기능한다 — '개인 그래프 기반 컴패니언은 불가능하다'는 통념에 대한 실존 반례. KG-DMAIC 사이클이 연구의 각 회전을 구조화하고, 모든 수치는 테스트로 고정된 시스템에서 나오므로 재현 가능하다. 이 장은 또한 정직한 한계 목록 — 표본 1, 저자=피험자 편향, 하드웨어 미완, 장기 데이터 부재 — 을 명시한다.</w:t>
      </w:r>
    </w:p>
    <w:p>
      <w:pPr>
        <w:shd w:fill="FBF3E6" w:val="clear"/>
        <w:spacing w:after="200" w:before="60"/>
      </w:pPr>
      <w:r>
        <w:rPr>
          <w:rFonts w:ascii="Malgun Gothic" w:cs="Malgun Gothic" w:eastAsia="Malgun Gothic" w:hAnsi="Malgun Gothic"/>
          <w:i/>
          <w:iCs/>
          <w:color w:val="7A4F2A"/>
          <w:sz w:val="19"/>
          <w:szCs w:val="19"/>
        </w:rPr>
        <w:t xml:space="preserve">✍ 2편 집필 메모 — 10장은 '아마추어의 자기실험'이 아니라 '리빙랩 방법론'으로 격을 세울 것. Living Lab·자기추적(Quantified Self) 문헌 보강 필요.</w:t>
      </w:r>
    </w:p>
    <w:p>
      <w:pPr>
        <w:pStyle w:val="Heading1"/>
        <w:spacing w:after="170" w:before="340"/>
      </w:pPr>
      <w:r>
        <w:rPr>
          <w:rFonts w:ascii="Malgun Gothic" w:cs="Malgun Gothic" w:eastAsia="Malgun Gothic" w:hAnsi="Malgun Gothic"/>
          <w:b/>
          <w:bCs/>
          <w:color w:val="1F6F6A"/>
          <w:sz w:val="29"/>
          <w:szCs w:val="29"/>
        </w:rPr>
        <w:t xml:space="preserve">제11장. 유산으로서의 컴패니언 — 죽음 이후의 확장된 마음</w:t>
      </w:r>
    </w:p>
    <w:p>
      <w:pPr>
        <w:spacing w:after="140" w:before="0" w:line="300"/>
        <w:jc w:val="both"/>
      </w:pPr>
      <w:r>
        <w:rPr>
          <w:rFonts w:ascii="Malgun Gothic" w:cs="Malgun Gothic" w:eastAsia="Malgun Gothic" w:hAnsi="Malgun Gothic"/>
          <w:sz w:val="21"/>
          <w:szCs w:val="21"/>
        </w:rPr>
        <w:t xml:space="preserve">디지털 유산은 이미 학술 의제다. 외만과 플로리디(Öhman &amp; Floridi, 2018)는 '디지털 사후 산업'의 윤리 틀을 제안하며 고인 데이터의 상업적 착취를 경고했고, 최근의 그리프봇(griefbot·deadbot) 연구들은 고인을 시뮬레이션하는 챗봇이 애도를 돕기보다 지연·왜곡할 위험과 고인의 동의 문제를 지적한다(Hollanek &amp; Nowaczyk-Basińska, 2024). 산업은 이미 달리고 있다 — 고인의 목소리를 재현하는 서비스, 사후 아바타 스타트업들. 2편은 이 지형에서 분명한 반대편에 선다.</w:t>
      </w:r>
    </w:p>
    <w:p>
      <w:pPr>
        <w:spacing w:after="140" w:before="0" w:line="300"/>
        <w:jc w:val="both"/>
      </w:pPr>
      <w:r>
        <w:rPr>
          <w:rFonts w:ascii="Malgun Gothic" w:cs="Malgun Gothic" w:eastAsia="Malgun Gothic" w:hAnsi="Malgun Gothic"/>
          <w:sz w:val="21"/>
          <w:szCs w:val="21"/>
        </w:rPr>
        <w:t xml:space="preserve">우리의 원칙은 '고인 흉내 금지'다. 아버지를 시뮬레이션하는 로봇이 아니라, 아버지의 기록을 진실하게 전하는 로봇 — '아버지라면 이렇게 말했을 거야'(생성)가 아니라 '아버지는 2026년 7월에 이렇게 기록했어'(인용). 전자는 죽음을 부정하는 기술이고, 후자는 기억을 보존하는 기술이다. 유산 헌장의 다섯 원칙은 그리프테크 윤리 논쟁에 대한 하나의 실천적 제안으로 2편에서 정식화된다: 언제 멈춰도 선물(상속 가능성의 상시성), 진실만(시뮬라크르 금지), 상속자의 선택권(받을지·열지·봉인할지), 데이터 주권(30년 뒤에도 열리는 형식), 사는 시스템(상속자는 열람자가 아니라 다음 주인 — 2대가 자기 그래프를 이어 기른다).</w:t>
      </w:r>
    </w:p>
    <w:p>
      <w:pPr>
        <w:spacing w:after="140" w:before="0" w:line="300"/>
        <w:jc w:val="both"/>
      </w:pPr>
      <w:r>
        <w:rPr>
          <w:rFonts w:ascii="Malgun Gothic" w:cs="Malgun Gothic" w:eastAsia="Malgun Gothic" w:hAnsi="Malgun Gothic"/>
          <w:sz w:val="21"/>
          <w:szCs w:val="21"/>
        </w:rPr>
        <w:t xml:space="preserve">마지막 절은 저자의 가장 사적인 동기를 학술 언어로 번역한다. 경제·금융의 지혜(투자 그래프), 지식의 지도(학습 그래프), 마음의 기록(감정 이벤트)을 담아 딸에게 남기는 일 — 이것은 상속세 없는 상속이며, 도서관을 남기는 일과 일기를 남기는 일과 스승을 남기는 일의 합집합이다. '피지컬 AI 유산학(legacy robotics)'이라는 이름을 붙일 만한 새 분야의 첫 사례 연구가 되는 것이 2편의 야심이다.</w:t>
      </w:r>
    </w:p>
    <w:p>
      <w:pPr>
        <w:shd w:fill="FBF3E6" w:val="clear"/>
        <w:spacing w:after="200" w:before="60"/>
      </w:pPr>
      <w:r>
        <w:rPr>
          <w:rFonts w:ascii="Malgun Gothic" w:cs="Malgun Gothic" w:eastAsia="Malgun Gothic" w:hAnsi="Malgun Gothic"/>
          <w:i/>
          <w:iCs/>
          <w:color w:val="7A4F2A"/>
          <w:sz w:val="19"/>
          <w:szCs w:val="19"/>
        </w:rPr>
        <w:t xml:space="preserve">✍ 2편 집필 메모 — 11장은 책 전체의 감정적 절정 — 딸에게 쓰는 편지 형식의 막간(인터루드)을 이 장 앞에 배치 검토.</w:t>
      </w:r>
    </w:p>
    <w:p>
      <w:pPr>
        <w:pStyle w:val="Heading1"/>
        <w:spacing w:after="170" w:before="340"/>
      </w:pPr>
      <w:r>
        <w:rPr>
          <w:rFonts w:ascii="Malgun Gothic" w:cs="Malgun Gothic" w:eastAsia="Malgun Gothic" w:hAnsi="Malgun Gothic"/>
          <w:b/>
          <w:bCs/>
          <w:color w:val="1F6F6A"/>
          <w:sz w:val="29"/>
          <w:szCs w:val="29"/>
        </w:rPr>
        <w:t xml:space="preserve">제12장. 서드브레인 2편 — 집필 계획</w:t>
      </w:r>
    </w:p>
    <w:p>
      <w:pPr>
        <w:pStyle w:val="Heading2"/>
        <w:spacing w:after="130" w:before="240"/>
      </w:pPr>
      <w:r>
        <w:rPr>
          <w:rFonts w:ascii="Malgun Gothic" w:cs="Malgun Gothic" w:eastAsia="Malgun Gothic" w:hAnsi="Malgun Gothic"/>
          <w:b/>
          <w:bCs/>
          <w:color w:val="2E86AB"/>
          <w:sz w:val="23"/>
          <w:szCs w:val="23"/>
        </w:rPr>
        <w:t xml:space="preserve">12.1 가제와 포지셔닝</w:t>
      </w:r>
    </w:p>
    <w:p>
      <w:pPr>
        <w:spacing w:after="140" w:before="0" w:line="300"/>
        <w:jc w:val="both"/>
      </w:pPr>
      <w:r>
        <w:rPr>
          <w:rFonts w:ascii="Malgun Gothic" w:cs="Malgun Gothic" w:eastAsia="Malgun Gothic" w:hAnsi="Malgun Gothic"/>
          <w:sz w:val="21"/>
          <w:szCs w:val="21"/>
        </w:rPr>
        <w:t xml:space="preserve">가제: 『서드브레인 2: 피지컬브레인 — 기르는 지능, 상속되는 마음』. 부제안: '나의 지식그래프가 몸을 얻고, 대를 이어 사는 법'. 1편이 '개인의 인지 확장 방법론'이었다면 2편은 '확장된 인지의 체화와 상속'이다. 시장 포지셔닝: 뇌과학·생산성 독자(1편 독자층)에 로봇·AI 조기수용자와 시니어 돌봄 관심층을 더한다. 국내에 컴패니언 로봇을 철학·구현·유산의 삼중 관점으로 다룬 단행본은 아직 없다.</w:t>
      </w:r>
    </w:p>
    <w:p>
      <w:pPr>
        <w:pStyle w:val="Heading2"/>
        <w:spacing w:after="130" w:before="240"/>
      </w:pPr>
      <w:r>
        <w:rPr>
          <w:rFonts w:ascii="Malgun Gothic" w:cs="Malgun Gothic" w:eastAsia="Malgun Gothic" w:hAnsi="Malgun Gothic"/>
          <w:b/>
          <w:bCs/>
          <w:color w:val="2E86AB"/>
          <w:sz w:val="23"/>
          <w:szCs w:val="23"/>
        </w:rPr>
        <w:t xml:space="preserve">12.2 3부 구성 (본 제안서의 확장)</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426"/>
      </w:tblGrid>
      <w:tr>
        <w:tc>
          <w:tcPr>
            <w:tcW w:type="dxa" w:w="1500"/>
            <w:shd w:fill="E8F4F2" w:val="clear"/>
            <w:tcMar>
              <w:top w:type="dxa" w:w="60"/>
              <w:left w:type="dxa" w:w="90"/>
              <w:bottom w:type="dxa" w:w="60"/>
              <w:right w:type="dxa" w:w="90"/>
            </w:tcMar>
          </w:tcPr>
          <w:p>
            <w:pPr>
              <w:spacing w:after="0"/>
            </w:pPr>
            <w:r>
              <w:rPr>
                <w:rFonts w:ascii="Malgun Gothic" w:cs="Malgun Gothic" w:eastAsia="Malgun Gothic" w:hAnsi="Malgun Gothic"/>
                <w:b/>
                <w:bCs/>
                <w:sz w:val="19"/>
                <w:szCs w:val="19"/>
              </w:rPr>
              <w:t xml:space="preserve">부</w:t>
            </w:r>
          </w:p>
        </w:tc>
        <w:tc>
          <w:tcPr>
            <w:tcW w:type="dxa" w:w="4200"/>
            <w:shd w:fill="E8F4F2" w:val="clear"/>
            <w:tcMar>
              <w:top w:type="dxa" w:w="60"/>
              <w:left w:type="dxa" w:w="90"/>
              <w:bottom w:type="dxa" w:w="60"/>
              <w:right w:type="dxa" w:w="90"/>
            </w:tcMar>
          </w:tcPr>
          <w:p>
            <w:pPr>
              <w:spacing w:after="0"/>
            </w:pPr>
            <w:r>
              <w:rPr>
                <w:rFonts w:ascii="Malgun Gothic" w:cs="Malgun Gothic" w:eastAsia="Malgun Gothic" w:hAnsi="Malgun Gothic"/>
                <w:b/>
                <w:bCs/>
                <w:sz w:val="19"/>
                <w:szCs w:val="19"/>
              </w:rPr>
              <w:t xml:space="preserve">장 구성 (제안서 대응)</w:t>
            </w:r>
          </w:p>
        </w:tc>
        <w:tc>
          <w:tcPr>
            <w:tcW w:type="dxa" w:w="3426"/>
            <w:shd w:fill="E8F4F2" w:val="clear"/>
            <w:tcMar>
              <w:top w:type="dxa" w:w="60"/>
              <w:left w:type="dxa" w:w="90"/>
              <w:bottom w:type="dxa" w:w="60"/>
              <w:right w:type="dxa" w:w="90"/>
            </w:tcMar>
          </w:tcPr>
          <w:p>
            <w:pPr>
              <w:spacing w:after="0"/>
            </w:pPr>
            <w:r>
              <w:rPr>
                <w:rFonts w:ascii="Malgun Gothic" w:cs="Malgun Gothic" w:eastAsia="Malgun Gothic" w:hAnsi="Malgun Gothic"/>
                <w:b/>
                <w:bCs/>
                <w:sz w:val="19"/>
                <w:szCs w:val="19"/>
              </w:rPr>
              <w:t xml:space="preserve">분량 목표</w:t>
            </w:r>
          </w:p>
        </w:tc>
      </w:tr>
      <w:tr>
        <w:tc>
          <w:tcPr>
            <w:tcW w:type="dxa" w:w="1500"/>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1부 몸을 얻은 마음</w:t>
            </w:r>
          </w:p>
        </w:tc>
        <w:tc>
          <w:tcPr>
            <w:tcW w:type="dxa" w:w="4200"/>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1~4장(본 제안서 1부) + 인터루드 '아침 7시의 목소리'</w:t>
            </w:r>
          </w:p>
        </w:tc>
        <w:tc>
          <w:tcPr>
            <w:tcW w:type="dxa" w:w="3426"/>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약 70쪽</w:t>
            </w:r>
          </w:p>
        </w:tc>
      </w:tr>
      <w:tr>
        <w:tc>
          <w:tcPr>
            <w:tcW w:type="dxa" w:w="1500"/>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2부 세계의 질주</w:t>
            </w:r>
          </w:p>
        </w:tc>
        <w:tc>
          <w:tcPr>
            <w:tcW w:type="dxa" w:w="4200"/>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5~8장(2부) + 인터루드 '차고의 로봇 조립기'(실제 조립 수기)</w:t>
            </w:r>
          </w:p>
        </w:tc>
        <w:tc>
          <w:tcPr>
            <w:tcW w:type="dxa" w:w="3426"/>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약 70쪽</w:t>
            </w:r>
          </w:p>
        </w:tc>
      </w:tr>
      <w:tr>
        <w:tc>
          <w:tcPr>
            <w:tcW w:type="dxa" w:w="1500"/>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3부 기르는 지능</w:t>
            </w:r>
          </w:p>
        </w:tc>
        <w:tc>
          <w:tcPr>
            <w:tcW w:type="dxa" w:w="4200"/>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9~11장(3부) + 인터루드 '딸에게' + 실천 워크북(나의 브레인그래프 시작하기)</w:t>
            </w:r>
          </w:p>
        </w:tc>
        <w:tc>
          <w:tcPr>
            <w:tcW w:type="dxa" w:w="3426"/>
            <w:tcMar>
              <w:top w:type="dxa" w:w="60"/>
              <w:left w:type="dxa" w:w="90"/>
              <w:bottom w:type="dxa" w:w="60"/>
              <w:right w:type="dxa" w:w="90"/>
            </w:tcMar>
          </w:tcPr>
          <w:p>
            <w:pPr>
              <w:spacing w:after="0"/>
            </w:pPr>
            <w:r>
              <w:rPr>
                <w:rFonts w:ascii="Malgun Gothic" w:cs="Malgun Gothic" w:eastAsia="Malgun Gothic" w:hAnsi="Malgun Gothic"/>
                <w:b w:val="false"/>
                <w:bCs w:val="false"/>
                <w:sz w:val="19"/>
                <w:szCs w:val="19"/>
              </w:rPr>
              <w:t xml:space="preserve">약 60쪽 + 워크북</w:t>
            </w:r>
          </w:p>
        </w:tc>
      </w:tr>
    </w:tbl>
    <w:p>
      <w:pPr>
        <w:pStyle w:val="Heading2"/>
        <w:spacing w:after="130" w:before="240"/>
      </w:pPr>
      <w:r>
        <w:rPr>
          <w:rFonts w:ascii="Malgun Gothic" w:cs="Malgun Gothic" w:eastAsia="Malgun Gothic" w:hAnsi="Malgun Gothic"/>
          <w:b/>
          <w:bCs/>
          <w:color w:val="2E86AB"/>
          <w:sz w:val="23"/>
          <w:szCs w:val="23"/>
        </w:rPr>
        <w:t xml:space="preserve">12.3 본 제안서 → 200쪽 원고 확장 로드맵</w:t>
      </w:r>
    </w:p>
    <w:p>
      <w:pPr>
        <w:spacing w:after="140" w:before="0" w:line="300"/>
        <w:jc w:val="both"/>
      </w:pPr>
      <w:r>
        <w:rPr>
          <w:rFonts w:ascii="Malgun Gothic" w:cs="Malgun Gothic" w:eastAsia="Malgun Gothic" w:hAnsi="Malgun Gothic"/>
          <w:sz w:val="21"/>
          <w:szCs w:val="21"/>
        </w:rPr>
        <w:t xml:space="preserve">본 제안서의 각 장(현재 3~5쪽 밀도)은 다음 공정으로 15~20쪽 장으로 확장된다: ① 문헌 심화(장당 핵심 문헌 5~8편 정독·인용 — 딥리서치 세션 1회) ② 사례·서사 층 추가(1편의 문체 규율: 과학→비유→실천) ③ 시스템 실측 데이터 삽입(리빙랩 로그) ④ 워크북 요소. 주당 1장 페이스로 12~16주, 하드웨어 조립기(2부 인터루드)는 8월 실조립과 동시 집필. 초고 완성 목표: 2026년 11월.</w:t>
      </w:r>
    </w:p>
    <w:p>
      <w:pPr>
        <w:pStyle w:val="Heading2"/>
        <w:spacing w:after="130" w:before="240"/>
      </w:pPr>
      <w:r>
        <w:rPr>
          <w:rFonts w:ascii="Malgun Gothic" w:cs="Malgun Gothic" w:eastAsia="Malgun Gothic" w:hAnsi="Malgun Gothic"/>
          <w:b/>
          <w:bCs/>
          <w:color w:val="2E86AB"/>
          <w:sz w:val="23"/>
          <w:szCs w:val="23"/>
        </w:rPr>
        <w:t xml:space="preserve">12.4 즉시 실행 항목</w:t>
      </w:r>
    </w:p>
    <w:p>
      <w:pPr>
        <w:pStyle w:val="ListParagraph"/>
        <w:numPr>
          <w:ilvl w:val="0"/>
          <w:numId w:val="2"/>
        </w:numPr>
        <w:spacing w:after="140" w:before="0" w:line="300"/>
        <w:jc w:val="both"/>
      </w:pPr>
      <w:r>
        <w:rPr>
          <w:rFonts w:ascii="Malgun Gothic" w:cs="Malgun Gothic" w:eastAsia="Malgun Gothic" w:hAnsi="Malgun Gothic"/>
          <w:sz w:val="21"/>
          <w:szCs w:val="21"/>
        </w:rPr>
        <w:t xml:space="preserve">본 제안서를 볼트 '2편' 폴더의 씨앗 노트로 분해(장당 1노트) → 학습 마스터에 '2편 문헌' 커리큘럼 등록(간격 반복으로 문헌 소화)</w:t>
      </w:r>
    </w:p>
    <w:p>
      <w:pPr>
        <w:pStyle w:val="ListParagraph"/>
        <w:numPr>
          <w:ilvl w:val="0"/>
          <w:numId w:val="2"/>
        </w:numPr>
        <w:spacing w:after="140" w:before="0" w:line="300"/>
        <w:jc w:val="both"/>
      </w:pPr>
      <w:r>
        <w:rPr>
          <w:rFonts w:ascii="Malgun Gothic" w:cs="Malgun Gothic" w:eastAsia="Malgun Gothic" w:hAnsi="Malgun Gothic"/>
          <w:sz w:val="21"/>
          <w:szCs w:val="21"/>
        </w:rPr>
        <w:t xml:space="preserve">딥리서치 1회차: 1장(외로움 통계 한국 최신치)·6장(2026 기업 동향 검증)·11장(그리프테크 최신 문헌)</w:t>
      </w:r>
    </w:p>
    <w:p>
      <w:pPr>
        <w:pStyle w:val="ListParagraph"/>
        <w:numPr>
          <w:ilvl w:val="0"/>
          <w:numId w:val="2"/>
        </w:numPr>
        <w:spacing w:after="140" w:before="0" w:line="300"/>
        <w:jc w:val="both"/>
      </w:pPr>
      <w:r>
        <w:rPr>
          <w:rFonts w:ascii="Malgun Gothic" w:cs="Malgun Gothic" w:eastAsia="Malgun Gothic" w:hAnsi="Malgun Gothic"/>
          <w:sz w:val="21"/>
          <w:szCs w:val="21"/>
        </w:rPr>
        <w:t xml:space="preserve">RQ3 베이스라인 확보: 로봇 도착 전 지금의 복약 준수율·마음 기록 빈도를 관리도로 축적 (이미 자동)</w:t>
      </w:r>
    </w:p>
    <w:p>
      <w:r>
        <w:br w:type="page"/>
      </w:r>
    </w:p>
    <w:p>
      <w:pPr>
        <w:pStyle w:val="Heading1"/>
        <w:spacing w:after="170" w:before="340"/>
      </w:pPr>
      <w:r>
        <w:rPr>
          <w:rFonts w:ascii="Malgun Gothic" w:cs="Malgun Gothic" w:eastAsia="Malgun Gothic" w:hAnsi="Malgun Gothic"/>
          <w:b/>
          <w:bCs/>
          <w:color w:val="1F6F6A"/>
          <w:sz w:val="29"/>
          <w:szCs w:val="29"/>
        </w:rPr>
        <w:t xml:space="preserve">참고문헌 (1차 목록 — 전부 실존 문헌, 확장 로드맵에서 장별 심화)</w:t>
      </w:r>
    </w:p>
    <w:p>
      <w:pPr>
        <w:spacing w:after="60"/>
        <w:ind w:left="400" w:hanging="400"/>
      </w:pPr>
      <w:r>
        <w:rPr>
          <w:rFonts w:ascii="Malgun Gothic" w:cs="Malgun Gothic" w:eastAsia="Malgun Gothic" w:hAnsi="Malgun Gothic"/>
          <w:color w:val="444444"/>
          <w:sz w:val="18"/>
          <w:szCs w:val="18"/>
        </w:rPr>
        <w:t xml:space="preserve">Balog, K., &amp; Kenter, T. (2019). Personal Knowledge Graphs: A Research Agenda. Proceedings of ICTIR '19.</w:t>
      </w:r>
    </w:p>
    <w:p>
      <w:pPr>
        <w:spacing w:after="60"/>
        <w:ind w:left="400" w:hanging="400"/>
      </w:pPr>
      <w:r>
        <w:rPr>
          <w:rFonts w:ascii="Malgun Gothic" w:cs="Malgun Gothic" w:eastAsia="Malgun Gothic" w:hAnsi="Malgun Gothic"/>
          <w:color w:val="444444"/>
          <w:sz w:val="18"/>
          <w:szCs w:val="18"/>
        </w:rPr>
        <w:t xml:space="preserve">Black, K., et al. (2024). π0: A Vision-Language-Action Flow Model for General Robot Control. arXiv:2410.24164. (후속: π0.5, Physical Intelligence, 2025)</w:t>
      </w:r>
    </w:p>
    <w:p>
      <w:pPr>
        <w:spacing w:after="60"/>
        <w:ind w:left="400" w:hanging="400"/>
      </w:pPr>
      <w:r>
        <w:rPr>
          <w:rFonts w:ascii="Malgun Gothic" w:cs="Malgun Gothic" w:eastAsia="Malgun Gothic" w:hAnsi="Malgun Gothic"/>
          <w:color w:val="444444"/>
          <w:sz w:val="18"/>
          <w:szCs w:val="18"/>
        </w:rPr>
        <w:t xml:space="preserve">Brohan, A., et al. (2023). RT-2: Vision-Language-Action Models Transfer Web Knowledge to Robotic Control. arXiv:2307.15818.</w:t>
      </w:r>
    </w:p>
    <w:p>
      <w:pPr>
        <w:spacing w:after="60"/>
        <w:ind w:left="400" w:hanging="400"/>
      </w:pPr>
      <w:r>
        <w:rPr>
          <w:rFonts w:ascii="Malgun Gothic" w:cs="Malgun Gothic" w:eastAsia="Malgun Gothic" w:hAnsi="Malgun Gothic"/>
          <w:color w:val="444444"/>
          <w:sz w:val="18"/>
          <w:szCs w:val="18"/>
        </w:rPr>
        <w:t xml:space="preserve">Brooks, R. A. (1991). Intelligence without representation. Artificial Intelligence, 47(1–3), 139–159.</w:t>
      </w:r>
    </w:p>
    <w:p>
      <w:pPr>
        <w:spacing w:after="60"/>
        <w:ind w:left="400" w:hanging="400"/>
      </w:pPr>
      <w:r>
        <w:rPr>
          <w:rFonts w:ascii="Malgun Gothic" w:cs="Malgun Gothic" w:eastAsia="Malgun Gothic" w:hAnsi="Malgun Gothic"/>
          <w:color w:val="444444"/>
          <w:sz w:val="18"/>
          <w:szCs w:val="18"/>
        </w:rPr>
        <w:t xml:space="preserve">Clark, A., &amp; Chalmers, D. (1998). The Extended Mind. Analysis, 58(1), 7–19.</w:t>
      </w:r>
    </w:p>
    <w:p>
      <w:pPr>
        <w:spacing w:after="60"/>
        <w:ind w:left="400" w:hanging="400"/>
      </w:pPr>
      <w:r>
        <w:rPr>
          <w:rFonts w:ascii="Malgun Gothic" w:cs="Malgun Gothic" w:eastAsia="Malgun Gothic" w:hAnsi="Malgun Gothic"/>
          <w:color w:val="444444"/>
          <w:sz w:val="18"/>
          <w:szCs w:val="18"/>
        </w:rPr>
        <w:t xml:space="preserve">Driess, D., et al. (2023). PaLM-E: An Embodied Multimodal Language Model. ICML 2023.</w:t>
      </w:r>
    </w:p>
    <w:p>
      <w:pPr>
        <w:spacing w:after="60"/>
        <w:ind w:left="400" w:hanging="400"/>
      </w:pPr>
      <w:r>
        <w:rPr>
          <w:rFonts w:ascii="Malgun Gothic" w:cs="Malgun Gothic" w:eastAsia="Malgun Gothic" w:hAnsi="Malgun Gothic"/>
          <w:color w:val="444444"/>
          <w:sz w:val="18"/>
          <w:szCs w:val="18"/>
        </w:rPr>
        <w:t xml:space="preserve">Edge, D., et al. (2024). From Local to Global: A Graph RAG Approach to Query-Focused Summarization. arXiv:2404.16130. (Microsoft GraphRAG)</w:t>
      </w:r>
    </w:p>
    <w:p>
      <w:pPr>
        <w:spacing w:after="60"/>
        <w:ind w:left="400" w:hanging="400"/>
      </w:pPr>
      <w:r>
        <w:rPr>
          <w:rFonts w:ascii="Malgun Gothic" w:cs="Malgun Gothic" w:eastAsia="Malgun Gothic" w:hAnsi="Malgun Gothic"/>
          <w:color w:val="444444"/>
          <w:sz w:val="18"/>
          <w:szCs w:val="18"/>
        </w:rPr>
        <w:t xml:space="preserve">Epley, N., Waytz, A., &amp; Cacioppo, J. T. (2007). On Seeing Human: A Three-Factor Theory of Anthropomorphism. Psychological Review, 114(4), 864–886.</w:t>
      </w:r>
    </w:p>
    <w:p>
      <w:pPr>
        <w:spacing w:after="60"/>
        <w:ind w:left="400" w:hanging="400"/>
      </w:pPr>
      <w:r>
        <w:rPr>
          <w:rFonts w:ascii="Malgun Gothic" w:cs="Malgun Gothic" w:eastAsia="Malgun Gothic" w:hAnsi="Malgun Gothic"/>
          <w:color w:val="444444"/>
          <w:sz w:val="18"/>
          <w:szCs w:val="18"/>
        </w:rPr>
        <w:t xml:space="preserve">Figure AI (2025). Helix: A Vision-Language-Action Model for Generalist Humanoid Control.</w:t>
      </w:r>
    </w:p>
    <w:p>
      <w:pPr>
        <w:spacing w:after="60"/>
        <w:ind w:left="400" w:hanging="400"/>
      </w:pPr>
      <w:r>
        <w:rPr>
          <w:rFonts w:ascii="Malgun Gothic" w:cs="Malgun Gothic" w:eastAsia="Malgun Gothic" w:hAnsi="Malgun Gothic"/>
          <w:color w:val="444444"/>
          <w:sz w:val="18"/>
          <w:szCs w:val="18"/>
        </w:rPr>
        <w:t xml:space="preserve">Ha, D., &amp; Schmidhuber, J. (2018). World Models. arXiv:1803.10122.</w:t>
      </w:r>
    </w:p>
    <w:p>
      <w:pPr>
        <w:spacing w:after="60"/>
        <w:ind w:left="400" w:hanging="400"/>
      </w:pPr>
      <w:r>
        <w:rPr>
          <w:rFonts w:ascii="Malgun Gothic" w:cs="Malgun Gothic" w:eastAsia="Malgun Gothic" w:hAnsi="Malgun Gothic"/>
          <w:color w:val="444444"/>
          <w:sz w:val="18"/>
          <w:szCs w:val="18"/>
        </w:rPr>
        <w:t xml:space="preserve">Hogan, A., et al. (2021). Knowledge Graphs. ACM Computing Surveys, 54(4), 1–37.</w:t>
      </w:r>
    </w:p>
    <w:p>
      <w:pPr>
        <w:spacing w:after="60"/>
        <w:ind w:left="400" w:hanging="400"/>
      </w:pPr>
      <w:r>
        <w:rPr>
          <w:rFonts w:ascii="Malgun Gothic" w:cs="Malgun Gothic" w:eastAsia="Malgun Gothic" w:hAnsi="Malgun Gothic"/>
          <w:color w:val="444444"/>
          <w:sz w:val="18"/>
          <w:szCs w:val="18"/>
        </w:rPr>
        <w:t xml:space="preserve">Hollanek, T., &amp; Nowaczyk-Basińska, K. (2024). Griefbots, Deadbots, Postmortem Avatars: on Responsible Applications of Generative AI in the Digital Afterlife Industry. Philosophy &amp; Technology, 37.</w:t>
      </w:r>
    </w:p>
    <w:p>
      <w:pPr>
        <w:spacing w:after="60"/>
        <w:ind w:left="400" w:hanging="400"/>
      </w:pPr>
      <w:r>
        <w:rPr>
          <w:rFonts w:ascii="Malgun Gothic" w:cs="Malgun Gothic" w:eastAsia="Malgun Gothic" w:hAnsi="Malgun Gothic"/>
          <w:color w:val="444444"/>
          <w:sz w:val="18"/>
          <w:szCs w:val="18"/>
        </w:rPr>
        <w:t xml:space="preserve">Holt-Lunstad, J., Smith, T. B., Baker, M., Harris, T., &amp; Stephenson, D. (2015). Loneliness and Social Isolation as Risk Factors for Mortality: A Meta-Analytic Review. Perspectives on Psychological Science, 10(2), 227–237.</w:t>
      </w:r>
    </w:p>
    <w:p>
      <w:pPr>
        <w:spacing w:after="60"/>
        <w:ind w:left="400" w:hanging="400"/>
      </w:pPr>
      <w:r>
        <w:rPr>
          <w:rFonts w:ascii="Malgun Gothic" w:cs="Malgun Gothic" w:eastAsia="Malgun Gothic" w:hAnsi="Malgun Gothic"/>
          <w:color w:val="444444"/>
          <w:sz w:val="18"/>
          <w:szCs w:val="18"/>
        </w:rPr>
        <w:t xml:space="preserve">Kahneman, D. (2011). Thinking, Fast and Slow. Farrar, Straus and Giroux.</w:t>
      </w:r>
    </w:p>
    <w:p>
      <w:pPr>
        <w:spacing w:after="60"/>
        <w:ind w:left="400" w:hanging="400"/>
      </w:pPr>
      <w:r>
        <w:rPr>
          <w:rFonts w:ascii="Malgun Gothic" w:cs="Malgun Gothic" w:eastAsia="Malgun Gothic" w:hAnsi="Malgun Gothic"/>
          <w:color w:val="444444"/>
          <w:sz w:val="18"/>
          <w:szCs w:val="18"/>
        </w:rPr>
        <w:t xml:space="preserve">Kim, M. J., et al. (2024). OpenVLA: An Open-Source Vision-Language-Action Model. arXiv:2406.09246.</w:t>
      </w:r>
    </w:p>
    <w:p>
      <w:pPr>
        <w:spacing w:after="60"/>
        <w:ind w:left="400" w:hanging="400"/>
      </w:pPr>
      <w:r>
        <w:rPr>
          <w:rFonts w:ascii="Malgun Gothic" w:cs="Malgun Gothic" w:eastAsia="Malgun Gothic" w:hAnsi="Malgun Gothic"/>
          <w:color w:val="444444"/>
          <w:sz w:val="18"/>
          <w:szCs w:val="18"/>
        </w:rPr>
        <w:t xml:space="preserve">LeCun, Y. (2022). A Path Towards Autonomous Machine Intelligence. OpenReview.</w:t>
      </w:r>
    </w:p>
    <w:p>
      <w:pPr>
        <w:spacing w:after="60"/>
        <w:ind w:left="400" w:hanging="400"/>
      </w:pPr>
      <w:r>
        <w:rPr>
          <w:rFonts w:ascii="Malgun Gothic" w:cs="Malgun Gothic" w:eastAsia="Malgun Gothic" w:hAnsi="Malgun Gothic"/>
          <w:color w:val="444444"/>
          <w:sz w:val="18"/>
          <w:szCs w:val="18"/>
        </w:rPr>
        <w:t xml:space="preserve">Legg, S., &amp; Hutter, M. (2007). Universal Intelligence: A Definition of Machine Intelligence. Minds and Machines, 17(4), 391–444.</w:t>
      </w:r>
    </w:p>
    <w:p>
      <w:pPr>
        <w:spacing w:after="60"/>
        <w:ind w:left="400" w:hanging="400"/>
      </w:pPr>
      <w:r>
        <w:rPr>
          <w:rFonts w:ascii="Malgun Gothic" w:cs="Malgun Gothic" w:eastAsia="Malgun Gothic" w:hAnsi="Malgun Gothic"/>
          <w:color w:val="444444"/>
          <w:sz w:val="18"/>
          <w:szCs w:val="18"/>
        </w:rPr>
        <w:t xml:space="preserve">Merleau-Ponty, M. (1945). Phénoménologie de la perception. Gallimard. (국역: 지각의 현상학)</w:t>
      </w:r>
    </w:p>
    <w:p>
      <w:pPr>
        <w:spacing w:after="60"/>
        <w:ind w:left="400" w:hanging="400"/>
      </w:pPr>
      <w:r>
        <w:rPr>
          <w:rFonts w:ascii="Malgun Gothic" w:cs="Malgun Gothic" w:eastAsia="Malgun Gothic" w:hAnsi="Malgun Gothic"/>
          <w:color w:val="444444"/>
          <w:sz w:val="18"/>
          <w:szCs w:val="18"/>
        </w:rPr>
        <w:t xml:space="preserve">Moravec, H. (1988). Mind Children: The Future of Robot and Human Intelligence. Harvard University Press.</w:t>
      </w:r>
    </w:p>
    <w:p>
      <w:pPr>
        <w:spacing w:after="60"/>
        <w:ind w:left="400" w:hanging="400"/>
      </w:pPr>
      <w:r>
        <w:rPr>
          <w:rFonts w:ascii="Malgun Gothic" w:cs="Malgun Gothic" w:eastAsia="Malgun Gothic" w:hAnsi="Malgun Gothic"/>
          <w:color w:val="444444"/>
          <w:sz w:val="18"/>
          <w:szCs w:val="18"/>
        </w:rPr>
        <w:t xml:space="preserve">Mori, M. (1970). The Uncanny Valley (不気味の谷). Energy, 7(4), 33–35.</w:t>
      </w:r>
    </w:p>
    <w:p>
      <w:pPr>
        <w:spacing w:after="60"/>
        <w:ind w:left="400" w:hanging="400"/>
      </w:pPr>
      <w:r>
        <w:rPr>
          <w:rFonts w:ascii="Malgun Gothic" w:cs="Malgun Gothic" w:eastAsia="Malgun Gothic" w:hAnsi="Malgun Gothic"/>
          <w:color w:val="444444"/>
          <w:sz w:val="18"/>
          <w:szCs w:val="18"/>
        </w:rPr>
        <w:t xml:space="preserve">Morris, M. R., et al. (2023). Levels of AGI: Operationalizing Progress on the Path to AGI. arXiv:2311.02462. (Google DeepMind)</w:t>
      </w:r>
    </w:p>
    <w:p>
      <w:pPr>
        <w:spacing w:after="60"/>
        <w:ind w:left="400" w:hanging="400"/>
      </w:pPr>
      <w:r>
        <w:rPr>
          <w:rFonts w:ascii="Malgun Gothic" w:cs="Malgun Gothic" w:eastAsia="Malgun Gothic" w:hAnsi="Malgun Gothic"/>
          <w:color w:val="444444"/>
          <w:sz w:val="18"/>
          <w:szCs w:val="18"/>
        </w:rPr>
        <w:t xml:space="preserve">Murthy, V. H. (2023). Our Epidemic of Loneliness and Isolation. U.S. Surgeon General's Advisory.</w:t>
      </w:r>
    </w:p>
    <w:p>
      <w:pPr>
        <w:spacing w:after="60"/>
        <w:ind w:left="400" w:hanging="400"/>
      </w:pPr>
      <w:r>
        <w:rPr>
          <w:rFonts w:ascii="Malgun Gothic" w:cs="Malgun Gothic" w:eastAsia="Malgun Gothic" w:hAnsi="Malgun Gothic"/>
          <w:color w:val="444444"/>
          <w:sz w:val="18"/>
          <w:szCs w:val="18"/>
        </w:rPr>
        <w:t xml:space="preserve">NVIDIA (2025). GR00T N1: An Open Foundation Model for Generalist Humanoid Robots. arXiv:2503.14734. (후속: N1.6/N1.7 + Cosmos Reason)</w:t>
      </w:r>
    </w:p>
    <w:p>
      <w:pPr>
        <w:spacing w:after="60"/>
        <w:ind w:left="400" w:hanging="400"/>
      </w:pPr>
      <w:r>
        <w:rPr>
          <w:rFonts w:ascii="Malgun Gothic" w:cs="Malgun Gothic" w:eastAsia="Malgun Gothic" w:hAnsi="Malgun Gothic"/>
          <w:color w:val="444444"/>
          <w:sz w:val="18"/>
          <w:szCs w:val="18"/>
        </w:rPr>
        <w:t xml:space="preserve">Öhman, C., &amp; Floridi, L. (2018). An Ethical Framework for the Digital Afterlife Industry. Nature Human Behaviour, 2, 318–320.</w:t>
      </w:r>
    </w:p>
    <w:p>
      <w:pPr>
        <w:spacing w:after="60"/>
        <w:ind w:left="400" w:hanging="400"/>
      </w:pPr>
      <w:r>
        <w:rPr>
          <w:rFonts w:ascii="Malgun Gothic" w:cs="Malgun Gothic" w:eastAsia="Malgun Gothic" w:hAnsi="Malgun Gothic"/>
          <w:color w:val="444444"/>
          <w:sz w:val="18"/>
          <w:szCs w:val="18"/>
        </w:rPr>
        <w:t xml:space="preserve">Packer, C., et al. (2023). MemGPT: Towards LLMs as Operating Systems. arXiv:2310.08560.</w:t>
      </w:r>
    </w:p>
    <w:p>
      <w:pPr>
        <w:spacing w:after="60"/>
        <w:ind w:left="400" w:hanging="400"/>
      </w:pPr>
      <w:r>
        <w:rPr>
          <w:rFonts w:ascii="Malgun Gothic" w:cs="Malgun Gothic" w:eastAsia="Malgun Gothic" w:hAnsi="Malgun Gothic"/>
          <w:color w:val="444444"/>
          <w:sz w:val="18"/>
          <w:szCs w:val="18"/>
        </w:rPr>
        <w:t xml:space="preserve">Reeves, B., &amp; Nass, C. (1996). The Media Equation: How People Treat Computers, Television, and New Media Like Real People and Places. Cambridge University Press.</w:t>
      </w:r>
    </w:p>
    <w:p>
      <w:pPr>
        <w:spacing w:after="60"/>
        <w:ind w:left="400" w:hanging="400"/>
      </w:pPr>
      <w:r>
        <w:rPr>
          <w:rFonts w:ascii="Malgun Gothic" w:cs="Malgun Gothic" w:eastAsia="Malgun Gothic" w:hAnsi="Malgun Gothic"/>
          <w:color w:val="444444"/>
          <w:sz w:val="18"/>
          <w:szCs w:val="18"/>
        </w:rPr>
        <w:t xml:space="preserve">Sharkey, A., &amp; Sharkey, N. (2012). Granny and the Robots: Ethical Issues in Robot Care for the Elderly. Ethics and Information Technology, 14(1), 27–40.</w:t>
      </w:r>
    </w:p>
    <w:p>
      <w:pPr>
        <w:spacing w:after="60"/>
        <w:ind w:left="400" w:hanging="400"/>
      </w:pPr>
      <w:r>
        <w:rPr>
          <w:rFonts w:ascii="Malgun Gothic" w:cs="Malgun Gothic" w:eastAsia="Malgun Gothic" w:hAnsi="Malgun Gothic"/>
          <w:color w:val="444444"/>
          <w:sz w:val="18"/>
          <w:szCs w:val="18"/>
        </w:rPr>
        <w:t xml:space="preserve">Sparrow, R., &amp; Sparrow, L. (2006). In the Hands of Machines? The Future of Aged Care. Minds and Machines, 16(2), 141–161.</w:t>
      </w:r>
    </w:p>
    <w:p>
      <w:pPr>
        <w:spacing w:after="60"/>
        <w:ind w:left="400" w:hanging="400"/>
      </w:pPr>
      <w:r>
        <w:rPr>
          <w:rFonts w:ascii="Malgun Gothic" w:cs="Malgun Gothic" w:eastAsia="Malgun Gothic" w:hAnsi="Malgun Gothic"/>
          <w:color w:val="444444"/>
          <w:sz w:val="18"/>
          <w:szCs w:val="18"/>
        </w:rPr>
        <w:t xml:space="preserve">Turkle, S. (2011). Alone Together: Why We Expect More from Technology and Less from Each Other. Basic Books.</w:t>
      </w:r>
    </w:p>
    <w:p>
      <w:pPr>
        <w:spacing w:after="60"/>
        <w:ind w:left="400" w:hanging="400"/>
      </w:pPr>
      <w:r>
        <w:rPr>
          <w:rFonts w:ascii="Malgun Gothic" w:cs="Malgun Gothic" w:eastAsia="Malgun Gothic" w:hAnsi="Malgun Gothic"/>
          <w:color w:val="444444"/>
          <w:sz w:val="18"/>
          <w:szCs w:val="18"/>
        </w:rPr>
        <w:t xml:space="preserve">Varela, F. J., Thompson, E., &amp; Rosch, E. (1991). The Embodied Mind: Cognitive Science and Human Experience. MIT Press.</w:t>
      </w:r>
    </w:p>
    <w:p>
      <w:pPr>
        <w:spacing w:after="60"/>
        <w:ind w:left="400" w:hanging="400"/>
      </w:pPr>
      <w:r>
        <w:rPr>
          <w:rFonts w:ascii="Malgun Gothic" w:cs="Malgun Gothic" w:eastAsia="Malgun Gothic" w:hAnsi="Malgun Gothic"/>
          <w:color w:val="444444"/>
          <w:sz w:val="18"/>
          <w:szCs w:val="18"/>
        </w:rPr>
        <w:t xml:space="preserve">Wada, K., &amp; Shibata, T. (2007). Living with Seal Robots — Its Sociopsychological and Physiological Influences on the Elderly at a Care House. IEEE Transactions on Robotics, 23(5), 972–980.</w:t>
      </w:r>
    </w:p>
    <w:p>
      <w:pPr>
        <w:spacing w:after="60"/>
        <w:ind w:left="400" w:hanging="400"/>
      </w:pPr>
      <w:r>
        <w:rPr>
          <w:rFonts w:ascii="Malgun Gothic" w:cs="Malgun Gothic" w:eastAsia="Malgun Gothic" w:hAnsi="Malgun Gothic"/>
          <w:color w:val="444444"/>
          <w:sz w:val="18"/>
          <w:szCs w:val="18"/>
        </w:rPr>
        <w:t xml:space="preserve">Weizenbaum, J. (1966). ELIZA — A Computer Program for the Study of Natural Language Communication between Man and Machine. Communications of the ACM, 9(1), 36–45. / (1976). Computer Power and Human Reason.</w:t>
      </w:r>
    </w:p>
    <w:p>
      <w:pPr>
        <w:spacing w:after="60"/>
        <w:ind w:left="400" w:hanging="400"/>
      </w:pPr>
      <w:r>
        <w:rPr>
          <w:rFonts w:ascii="Malgun Gothic" w:cs="Malgun Gothic" w:eastAsia="Malgun Gothic" w:hAnsi="Malgun Gothic"/>
          <w:color w:val="444444"/>
          <w:sz w:val="18"/>
          <w:szCs w:val="18"/>
        </w:rPr>
        <w:t xml:space="preserve">Zhao, T., Kumar, V., Levine, S., &amp; Finn, C. (2023). Learning Fine-Grained Bimanual Manipulation with Low-Cost Hardware (ALOHA/ACT). RSS 2023.</w:t>
      </w:r>
    </w:p>
    <w:p>
      <w:pPr>
        <w:spacing w:after="100" w:before="0" w:line="300"/>
        <w:jc w:val="both"/>
      </w:pPr>
      <w:r>
        <w:rPr>
          <w:rFonts w:ascii="Malgun Gothic" w:cs="Malgun Gothic" w:eastAsia="Malgun Gothic" w:hAnsi="Malgun Gothic"/>
          <w:sz w:val="21"/>
          <w:szCs w:val="21"/>
        </w:rPr>
        <w:t xml:space="preserve"/>
      </w:r>
    </w:p>
    <w:p>
      <w:pPr>
        <w:pBdr>
          <w:top w:val="single" w:color="1F6F6A" w:sz="4"/>
          <w:bottom w:val="single" w:color="1F6F6A" w:sz="4"/>
        </w:pBdr>
        <w:spacing w:after="180" w:before="180"/>
        <w:jc w:val="center"/>
      </w:pPr>
      <w:r>
        <w:rPr>
          <w:rFonts w:ascii="Malgun Gothic" w:cs="Malgun Gothic" w:eastAsia="Malgun Gothic" w:hAnsi="Malgun Gothic"/>
          <w:b/>
          <w:bCs/>
          <w:color w:val="1F6F6A"/>
          <w:sz w:val="22"/>
          <w:szCs w:val="22"/>
        </w:rPr>
        <w:t xml:space="preserve">이 제안서 자체가 브레인그래프에 기록되었다 — 2편은 이미 상속 가능한 상태로 쓰이기 시작했다</w:t>
      </w:r>
    </w:p>
    <w:sectPr>
      <w:pgSz w:w="11906" w:h="16838" w:orient="portrait"/>
      <w:pgMar w:top="1250" w:right="1350" w:bottom="12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2026-07-29T21:51:45.145Z</dcterms:created>
  <dcterms:modified xsi:type="dcterms:W3CDTF">2026-07-29T21:51:45.166Z</dcterms:modified>
</cp:coreProperties>
</file>

<file path=docProps/custom.xml><?xml version="1.0" encoding="utf-8"?>
<Properties xmlns="http://schemas.openxmlformats.org/officeDocument/2006/custom-properties" xmlns:vt="http://schemas.openxmlformats.org/officeDocument/2006/docPropsVTypes"/>
</file>