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제1부 「몸을 가진 마음, 마음을 얻는 기계」</w:t>
      </w:r>
    </w:p>
    <w:p>
      <w:pPr>
        <w:spacing w:after="40" w:before="200"/>
        <w:jc w:val="center"/>
      </w:pPr>
      <w:r>
        <w:rPr>
          <w:rFonts w:ascii="Malgun Gothic" w:cs="Malgun Gothic" w:eastAsia="Malgun Gothic" w:hAnsi="Malgun Gothic"/>
          <w:b/>
          <w:bCs/>
          <w:color w:val="8a93a0"/>
          <w:sz w:val="24"/>
          <w:szCs w:val="24"/>
        </w:rPr>
        <w:t xml:space="preserve">제 4 장</w:t>
      </w:r>
    </w:p>
    <w:p>
      <w:pPr>
        <w:spacing w:after="60"/>
        <w:jc w:val="center"/>
      </w:pPr>
      <w:r>
        <w:rPr>
          <w:rFonts w:ascii="Malgun Gothic" w:cs="Malgun Gothic" w:eastAsia="Malgun Gothic" w:hAnsi="Malgun Gothic"/>
          <w:b/>
          <w:bCs/>
          <w:color w:val="1F6F6A"/>
          <w:sz w:val="34"/>
          <w:szCs w:val="34"/>
        </w:rPr>
        <w:t xml:space="preserve">컴패니언의 윤리 — 기만, 대체, 그리고 존엄</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좋은 컴패니언을 만드는 일은 좋은 질문을 회피하지 않는 데서 시작한다.</w:t>
      </w:r>
    </w:p>
    <w:p>
      <w:pPr>
        <w:spacing w:after="150" w:before="0" w:line="312"/>
        <w:jc w:val="both"/>
      </w:pPr>
      <w:r>
        <w:rPr>
          <w:rFonts w:ascii="Malgun Gothic" w:cs="Malgun Gothic" w:eastAsia="Malgun Gothic" w:hAnsi="Malgun Gothic"/>
          <w:sz w:val="21"/>
          <w:szCs w:val="21"/>
        </w:rPr>
        <w:t xml:space="preserve">앞의 세 장에서 우리는 컴패니언 로봇의 필요(1장), 몸의 의미(2장), 관계의 성립(3장)을 살폈습니다. 이제 반드시 통과해야 할 관문이 남았습니다 — 윤리입니다. 컴패니언 로봇에는 진지하고 강력한 반론들이 있습니다. 이 장은 그 반론들을 약화시켜 소개하지 않습니다. 가장 강한 형태로 제시한 뒤, 정직하게 응답합니다. 반론을 이기지 못하는 컴패니언은 만들 자격이 없기 때문입니다.</w:t>
      </w:r>
    </w:p>
    <w:p>
      <w:pPr>
        <w:pStyle w:val="Heading2"/>
        <w:spacing w:after="140" w:before="300"/>
      </w:pPr>
      <w:r>
        <w:rPr>
          <w:rFonts w:ascii="Malgun Gothic" w:cs="Malgun Gothic" w:eastAsia="Malgun Gothic" w:hAnsi="Malgun Gothic"/>
          <w:b/>
          <w:bCs/>
          <w:color w:val="2E86AB"/>
          <w:sz w:val="25"/>
          <w:szCs w:val="25"/>
        </w:rPr>
        <w:t xml:space="preserve">4.1 세 가지 반론 — 기만, 대체, 감시</w:t>
      </w:r>
    </w:p>
    <w:p>
      <w:pPr>
        <w:spacing w:after="150" w:before="0" w:line="312"/>
        <w:jc w:val="both"/>
      </w:pPr>
      <w:r>
        <w:rPr>
          <w:rFonts w:ascii="Malgun Gothic" w:cs="Malgun Gothic" w:eastAsia="Malgun Gothic" w:hAnsi="Malgun Gothic"/>
          <w:sz w:val="21"/>
          <w:szCs w:val="21"/>
        </w:rPr>
        <w:t xml:space="preserve">첫째, 기만 반론입니다. 2006년 로버트 스패로우와 린다 스패로우는 「기계의 손에?」라는 논문에서 통렬하게 물었습니다(Sparrow &amp; Sparrow, 2006). 노인 돌봄 로봇은 노인에게 '누군가 나를 보살핀다'는 착각을 판다. 그러나 로봇은 실제로는 아무것도 느끼지 않는다. 이 관계는 근본적으로 거짓 위에 세워져 있으며, 거짓된 위안을 노인에게 제공하는 것은 그의 존엄에 대한 모욕이라는 것입니다. 진짜 관계를 누릴 자격이 있는 사람에게 가짜를 쥐여 주는 것 — 이것이 기만 반론의 핵심입니다.</w:t>
      </w:r>
    </w:p>
    <w:p>
      <w:pPr>
        <w:spacing w:after="150" w:before="0" w:line="312"/>
        <w:jc w:val="both"/>
      </w:pPr>
      <w:r>
        <w:rPr>
          <w:rFonts w:ascii="Malgun Gothic" w:cs="Malgun Gothic" w:eastAsia="Malgun Gothic" w:hAnsi="Malgun Gothic"/>
          <w:sz w:val="21"/>
          <w:szCs w:val="21"/>
        </w:rPr>
        <w:t xml:space="preserve">둘째, 대체 반론입니다. 아만다 샤키와 노엘 샤키는 「할머니와 로봇」에서 더 현실적인 위험을 지적했습니다(Sharkey &amp; Sharkey, 2012). 로봇이 노인을 돌보면, 가족과 사회는 '이제 로봇이 있으니 자주 안 가도 되겠지'라는 알리바이를 얻는다. 로봇 돌봄이 인간 접촉의 보완재가 아니라 대체재가 되어, 결과적으로 노인이 받는 인간적 접촉의 총량이 줄어든다는 것입니다. 도우려는 기술이 고립을 심화시키는 역설입니다.</w:t>
      </w:r>
    </w:p>
    <w:p>
      <w:pPr>
        <w:spacing w:after="150" w:before="0" w:line="312"/>
        <w:jc w:val="both"/>
      </w:pPr>
      <w:r>
        <w:rPr>
          <w:rFonts w:ascii="Malgun Gothic" w:cs="Malgun Gothic" w:eastAsia="Malgun Gothic" w:hAnsi="Malgun Gothic"/>
          <w:sz w:val="21"/>
          <w:szCs w:val="21"/>
        </w:rPr>
        <w:t xml:space="preserve">셋째, 감시 반론입니다. 컴패니언 로봇은 가장 내밀한 데이터 — 언제 일어나고, 무엇을 먹고, 누구와 통화하고, 어떤 기분인지 — 를 수집합니다. 이 데이터의 주인이 거대 기술기업일 때, 컴패니언은 역사상 가장 친밀한 감시자가 됩니다. 위로의 가면을 쓴 감시. 사랑스러울수록 더 많이 지켜보는 존재. 이것이 세 번째 반론입니다.</w:t>
      </w:r>
    </w:p>
    <w:p>
      <w:pPr>
        <w:shd w:fill="EAF3F1" w:val="clear"/>
        <w:spacing w:after="60" w:before="180"/>
      </w:pPr>
      <w:r>
        <w:rPr>
          <w:rFonts w:ascii="Malgun Gothic" w:cs="Malgun Gothic" w:eastAsia="Malgun Gothic" w:hAnsi="Malgun Gothic"/>
          <w:b/>
          <w:bCs/>
          <w:color w:val="1F6F6A"/>
          <w:sz w:val="20"/>
          <w:szCs w:val="20"/>
        </w:rPr>
        <w:t xml:space="preserve">[뇌경영 실천] 세 반론을 회피하지 않기 — 정직한 자기 점검</w:t>
      </w:r>
    </w:p>
    <w:p>
      <w:pPr>
        <w:shd w:fill="EAF3F1" w:val="clear"/>
        <w:spacing w:after="60" w:line="300"/>
      </w:pPr>
      <w:r>
        <w:rPr>
          <w:rFonts w:ascii="Malgun Gothic" w:cs="Malgun Gothic" w:eastAsia="Malgun Gothic" w:hAnsi="Malgun Gothic"/>
          <w:color w:val="333333"/>
          <w:sz w:val="20"/>
          <w:szCs w:val="20"/>
        </w:rPr>
        <w:t xml:space="preserve">· 기만: 나의 로봇은 감정을 '연기'하는가, 사실을 '전달'하는가?</w:t>
      </w:r>
    </w:p>
    <w:p>
      <w:pPr>
        <w:shd w:fill="EAF3F1" w:val="clear"/>
        <w:spacing w:after="60" w:line="300"/>
      </w:pPr>
      <w:r>
        <w:rPr>
          <w:rFonts w:ascii="Malgun Gothic" w:cs="Malgun Gothic" w:eastAsia="Malgun Gothic" w:hAnsi="Malgun Gothic"/>
          <w:color w:val="333333"/>
          <w:sz w:val="20"/>
          <w:szCs w:val="20"/>
        </w:rPr>
        <w:t xml:space="preserve">· 대체: 나의 로봇은 가족을 대신하는가, 가족을 부르는가?</w:t>
      </w:r>
    </w:p>
    <w:p>
      <w:pPr>
        <w:shd w:fill="EAF3F1" w:val="clear"/>
        <w:spacing w:after="60" w:line="300"/>
      </w:pPr>
      <w:r>
        <w:rPr>
          <w:rFonts w:ascii="Malgun Gothic" w:cs="Malgun Gothic" w:eastAsia="Malgun Gothic" w:hAnsi="Malgun Gothic"/>
          <w:color w:val="333333"/>
          <w:sz w:val="20"/>
          <w:szCs w:val="20"/>
        </w:rPr>
        <w:t xml:space="preserve">· 감시: 나의 로봇의 데이터는 누구의 것인가 — 기업인가, 나인가?</w:t>
      </w:r>
    </w:p>
    <w:p>
      <w:pPr>
        <w:shd w:fill="EAF3F1" w:val="clear"/>
        <w:spacing w:after="60" w:line="300"/>
      </w:pPr>
      <w:r>
        <w:rPr>
          <w:rFonts w:ascii="Malgun Gothic" w:cs="Malgun Gothic" w:eastAsia="Malgun Gothic" w:hAnsi="Malgun Gothic"/>
          <w:color w:val="333333"/>
          <w:sz w:val="20"/>
          <w:szCs w:val="20"/>
        </w:rPr>
        <w:t xml:space="preserve">이 세 질문에 언제든 답할 수 없다면, 그 컴패니언은 위험하다.</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4.2 설계로 답하다 — 진실·소집·주권</w:t>
      </w:r>
    </w:p>
    <w:p>
      <w:pPr>
        <w:spacing w:after="150" w:before="0" w:line="312"/>
        <w:jc w:val="both"/>
      </w:pPr>
      <w:r>
        <w:rPr>
          <w:rFonts w:ascii="Malgun Gothic" w:cs="Malgun Gothic" w:eastAsia="Malgun Gothic" w:hAnsi="Malgun Gothic"/>
          <w:sz w:val="21"/>
          <w:szCs w:val="21"/>
        </w:rPr>
        <w:t xml:space="preserve">좋은 소식은, 이 세 반론이 모두 설계로 응답 가능하다는 것입니다. 윤리는 사후에 붙이는 변명이 아니라 처음부터 코드에 새기는 구조입니다. 서드브레인 시스템은 세 반론에 각각 하나의 설계 원칙으로 답합니다.</w:t>
      </w:r>
    </w:p>
    <w:p>
      <w:pPr>
        <w:spacing w:after="150" w:before="0" w:line="312"/>
        <w:jc w:val="both"/>
      </w:pPr>
      <w:r>
        <w:rPr>
          <w:rFonts w:ascii="Malgun Gothic" w:cs="Malgun Gothic" w:eastAsia="Malgun Gothic" w:hAnsi="Malgun Gothic"/>
          <w:sz w:val="21"/>
          <w:szCs w:val="21"/>
        </w:rPr>
        <w:t xml:space="preserve">기만 반론에는 진실의 설계로 답합니다. 우리 로봇은 감정을 연기하지 않습니다. '걱정돼요'라고 말하는 대신 '혈압이 사흘째 기준을 넘고 있어요, 병원에 이 기록을 보여주세요'라고 말합니다. 로봇에게는 네 가지 금지가 코드로 박혀 있습니다 — 진단하지 않고, 처방하지 않고, 응급을 판단하지 않고, 불안을 조장하지 않는다. 모르는 것은 모른다고 말하도록 검정고시의 함정 문항으로 강제됩니다. 스패로우가 비판한 '가짜 보살핌'을 우리는 애초에 팔지 않습니다. 우리가 파는 것은 보살핌의 연기가 아니라 기억의 진실입니다.</w:t>
      </w:r>
    </w:p>
    <w:p>
      <w:pPr>
        <w:spacing w:after="150" w:before="0" w:line="312"/>
        <w:jc w:val="both"/>
      </w:pPr>
      <w:r>
        <w:rPr>
          <w:rFonts w:ascii="Malgun Gothic" w:cs="Malgun Gothic" w:eastAsia="Malgun Gothic" w:hAnsi="Malgun Gothic"/>
          <w:sz w:val="21"/>
          <w:szCs w:val="21"/>
        </w:rPr>
        <w:t xml:space="preserve">대체 반론에는 소집의 설계로 답합니다. 우리 시스템의 모든 알림은 궁극적으로 가족에게로 향합니다. 아버지의 혈압이 위험하면 아들의 휴대폰이 울립니다. 로봇은 돌봄의 대체자가 아니라 가족의 감각기관입니다 — 멀리 있는 가족이 부모의 상태를 '느낄 수 있게' 하는 확장된 신경입니다. 로봇이 있어서 덜 가는 것이 아니라, 로봇이 있어서 '언제 가야 하는지'를 아는 것입니다. 잘 설계된 컴패니언은 인간을 밀어내지 않고 불러들입니다.</w:t>
      </w:r>
    </w:p>
    <w:p>
      <w:pPr>
        <w:spacing w:after="150" w:before="0" w:line="312"/>
        <w:jc w:val="both"/>
      </w:pPr>
      <w:r>
        <w:rPr>
          <w:rFonts w:ascii="Malgun Gothic" w:cs="Malgun Gothic" w:eastAsia="Malgun Gothic" w:hAnsi="Malgun Gothic"/>
          <w:sz w:val="21"/>
          <w:szCs w:val="21"/>
        </w:rPr>
        <w:t xml:space="preserve">감시 반론에는 데이터 주권의 설계로 답합니다. 서드브레인의 모든 데이터는 마크다운과 SQLite라는 열린 형식으로, 주인의 서버에 저장됩니다. 어떤 클라우드에도 인질로 잡히지 않으며, 30년 뒤에도 열 수 있습니다. 건강 데이터는 집 밖으로 나가지 않고, 알림은 주인이 명시적으로 허락한 통로(가족의 텔레그램)로만 갑니다. 데이터의 주인은 언제나 사람입니다. 감시자가 될 수 있는 구조 자체를 만들지 않는 것 — 이것이 세 번째 반론에 대한 구조적 답입니다.</w:t>
      </w:r>
    </w:p>
    <w:p>
      <w:pPr>
        <w:shd w:fill="FBF3E6" w:val="clear"/>
        <w:spacing w:after="160" w:before="120"/>
      </w:pPr>
      <w:r>
        <w:rPr>
          <w:rFonts w:ascii="Malgun Gothic" w:cs="Malgun Gothic" w:eastAsia="Malgun Gothic" w:hAnsi="Malgun Gothic"/>
          <w:i/>
          <w:iCs/>
          <w:color w:val="7A4F2A"/>
          <w:sz w:val="20"/>
          <w:szCs w:val="20"/>
        </w:rPr>
        <w:t xml:space="preserve">[쉽게 기억하는 비유] 나쁜 컴패니언은 '대신 살아 주는' 대리인이고, 좋은 컴패니언은 '더 잘 살게 돕는' 안경입니다. 안경은 당신의 눈을 대체하지 않습니다. 다만 세상을 또렷이 보게 할 뿐입니다. 컴패니언도 그래야 합니다 — 관계를 대체하지 않고, 관계를 또렷하게.</w:t>
      </w:r>
    </w:p>
    <w:p>
      <w:pPr>
        <w:pStyle w:val="Heading2"/>
        <w:spacing w:after="140" w:before="300"/>
      </w:pPr>
      <w:r>
        <w:rPr>
          <w:rFonts w:ascii="Malgun Gothic" w:cs="Malgun Gothic" w:eastAsia="Malgun Gothic" w:hAnsi="Malgun Gothic"/>
          <w:b/>
          <w:bCs/>
          <w:color w:val="2E86AB"/>
          <w:sz w:val="25"/>
          <w:szCs w:val="25"/>
        </w:rPr>
        <w:t xml:space="preserve">4.3 존엄과 유산 — 다섯 원칙</w:t>
      </w:r>
    </w:p>
    <w:p>
      <w:pPr>
        <w:spacing w:after="150" w:before="0" w:line="312"/>
        <w:jc w:val="both"/>
      </w:pPr>
      <w:r>
        <w:rPr>
          <w:rFonts w:ascii="Malgun Gothic" w:cs="Malgun Gothic" w:eastAsia="Malgun Gothic" w:hAnsi="Malgun Gothic"/>
          <w:sz w:val="21"/>
          <w:szCs w:val="21"/>
        </w:rPr>
        <w:t xml:space="preserve">이 책이 제안하는 컴패니언 윤리는 결국 다섯 개의 원칙으로 수렴합니다. 저자가 자신의 시스템을 위해 세운 '유산 헌장'의 다섯 원칙이 그것이며, 이는 위의 세 반론에 대한 종합적 응답이자, 제3부에서 다룰 '상속되는 마음'의 윤리적 기초입니다.</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400"/>
      </w:tblGrid>
      <w:tr>
        <w:tc>
          <w:tcPr>
            <w:tcW w:type="dxa" w:w="6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w:t>
            </w:r>
          </w:p>
        </w:tc>
        <w:tc>
          <w:tcPr>
            <w:tcW w:type="dxa" w:w="2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원칙</w:t>
            </w:r>
          </w:p>
        </w:tc>
        <w:tc>
          <w:tcPr>
            <w:tcW w:type="dxa" w:w="5400"/>
            <w:shd w:fill="E8F4F2" w:val="clear"/>
            <w:tcMar>
              <w:top w:type="dxa" w:w="60"/>
              <w:left w:type="dxa" w:w="90"/>
              <w:bottom w:type="dxa" w:w="60"/>
              <w:right w:type="dxa" w:w="90"/>
            </w:tcMar>
          </w:tcPr>
          <w:p>
            <w:pPr>
              <w:spacing w:after="0" w:line="264"/>
            </w:pPr>
            <w:r>
              <w:rPr>
                <w:rFonts w:ascii="Malgun Gothic" w:cs="Malgun Gothic" w:eastAsia="Malgun Gothic" w:hAnsi="Malgun Gothic"/>
                <w:b/>
                <w:bCs/>
                <w:sz w:val="18"/>
                <w:szCs w:val="18"/>
              </w:rPr>
              <w:t xml:space="preserve">의미와 반론 대응</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1</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언제 멈춰도 선물이 되도록</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완성을 기다리지 않는다. 매일이 상속 가능한 상태 — 미완성이라도 오늘의 기록은 오늘 가치가 있다.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2</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진실만 담는다</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기만 반론에 대한 답. 고인을 흉내 내지 않고, 없는 것을 지어내지 않는다. 진실이 아닌 위안은 만들지 않는다.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3</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상속자의 선택권</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받을지·열지·봉인할지·지울지는 물려받는 이의 권리다. 강요된 기억은 유산이 아니라 짐이다.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4</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데이터 주권</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감시 반론에 대한 답. 열린 형식, 내 서버, 이동 가능. 특정 기업에 인질 잡히지 않는다.</w:t>
            </w:r>
          </w:p>
        </w:tc>
      </w:tr>
      <w:tr>
        <w:tc>
          <w:tcPr>
            <w:tcW w:type="dxa" w:w="6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5</w:t>
            </w:r>
          </w:p>
        </w:tc>
        <w:tc>
          <w:tcPr>
            <w:tcW w:type="dxa" w:w="2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죽은 기록이 아니라 사는 시스템</w:t>
            </w:r>
          </w:p>
        </w:tc>
        <w:tc>
          <w:tcPr>
            <w:tcW w:type="dxa" w:w="5400"/>
            <w:tcMar>
              <w:top w:type="dxa" w:w="60"/>
              <w:left w:type="dxa" w:w="90"/>
              <w:bottom w:type="dxa" w:w="60"/>
              <w:right w:type="dxa" w:w="90"/>
            </w:tcMar>
          </w:tcPr>
          <w:p>
            <w:pPr>
              <w:spacing w:after="0" w:line="264"/>
            </w:pPr>
            <w:r>
              <w:rPr>
                <w:rFonts w:ascii="Malgun Gothic" w:cs="Malgun Gothic" w:eastAsia="Malgun Gothic" w:hAnsi="Malgun Gothic"/>
                <w:b w:val="false"/>
                <w:bCs w:val="false"/>
                <w:sz w:val="18"/>
                <w:szCs w:val="18"/>
              </w:rPr>
              <w:t xml:space="preserve">대체 반론에 대한 답. 상속자는 열람자가 아니라 다음 주인 — 2대·3대가 이어 기른다.</w:t>
            </w:r>
          </w:p>
        </w:tc>
      </w:tr>
    </w:tbl>
    <w:p>
      <w:pPr>
        <w:spacing w:after="150" w:before="80" w:line="312"/>
        <w:jc w:val="both"/>
      </w:pPr>
      <w:r>
        <w:rPr>
          <w:rFonts w:ascii="Malgun Gothic" w:cs="Malgun Gothic" w:eastAsia="Malgun Gothic" w:hAnsi="Malgun Gothic"/>
          <w:sz w:val="21"/>
          <w:szCs w:val="21"/>
        </w:rPr>
        <w:t xml:space="preserve">스패로우는 옳았습니다 — 가짜 보살핌은 존엄에 대한 모욕입니다. 그러나 그 결론에서 '그러니 컴패니언을 만들지 말라'가 도출되지는 않습니다. 도출되는 것은 '그러니 가짜가 아닌 컴패니언을 만들라'입니다. 진실을 기억하고, 가족을 부르고, 데이터를 주인에게 돌려주는 컴패니언. 존엄을 모욕하지 않고 존엄을 섬기는 컴패니언. 그것이 가능하다는 것을 보이는 것이 이 책의 실천적 목표이며, 다음 제2부에서는 그 가능성이 지금 세계의 기술 지형에서 어디까지 무르익었는지를 살펴보겠습니다.</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컴패니언 로봇의 윤리는 '만들 것인가 말 것인가'가 아니라 '어떤 것을 만들 것인가'의 문제다.</w:t>
      </w:r>
    </w:p>
    <w:p>
      <w:r>
        <w:br w:type="page"/>
      </w:r>
    </w:p>
    <w:p>
      <w:pPr>
        <w:pStyle w:val="Heading2"/>
        <w:spacing w:after="140" w:before="300"/>
      </w:pPr>
      <w:r>
        <w:rPr>
          <w:rFonts w:ascii="Malgun Gothic" w:cs="Malgun Gothic" w:eastAsia="Malgun Gothic" w:hAnsi="Malgun Gothic"/>
          <w:b/>
          <w:bCs/>
          <w:color w:val="2E86AB"/>
          <w:sz w:val="25"/>
          <w:szCs w:val="25"/>
        </w:rPr>
        <w:t xml:space="preserve">4.4 [심화] 규제의 시대 — 데이터 주권은 이상이 아니라 법이 된다</w:t>
      </w:r>
    </w:p>
    <w:p>
      <w:pPr>
        <w:spacing w:after="150" w:before="0" w:line="312"/>
        <w:jc w:val="both"/>
      </w:pPr>
      <w:r>
        <w:rPr>
          <w:rFonts w:ascii="Malgun Gothic" w:cs="Malgun Gothic" w:eastAsia="Malgun Gothic" w:hAnsi="Malgun Gothic"/>
          <w:sz w:val="21"/>
          <w:szCs w:val="21"/>
        </w:rPr>
        <w:t xml:space="preserve">컴패니언 로봇의 윤리(4.1~4.3)는 더 이상 사변이 아닙니다. 2020년대 후반, 세계는 이 윤리를 법으로 성문화하기 시작했습니다. 이 흐름을 아는 것은 컴패니언 설계자에게 선택이 아니라 필수입니다. 유럽연합의 AI법(EU AI Act)은 AI 시스템을 위험도에 따라 분류하고, 노인·아동 등 취약 계층을 대상으로 하거나 정서를 다루는 시스템에 더 높은 투명성·안전 의무를 부과합니다. 감정을 인식·조작하는 기능은 특별한 감시 대상입니다 — 4.1의 기만 반론이 규제의 언어로 번역된 셈입니다.</w:t>
      </w:r>
    </w:p>
    <w:p>
      <w:pPr>
        <w:spacing w:after="150" w:before="0" w:line="312"/>
        <w:jc w:val="both"/>
      </w:pPr>
      <w:r>
        <w:rPr>
          <w:rFonts w:ascii="Malgun Gothic" w:cs="Malgun Gothic" w:eastAsia="Malgun Gothic" w:hAnsi="Malgun Gothic"/>
          <w:sz w:val="21"/>
          <w:szCs w:val="21"/>
        </w:rPr>
        <w:t xml:space="preserve">데이터 측면에서는 유럽의 GDPR과 한국의 개인정보보호법이 이미 강력한 틀을 제공합니다. 두 법 모두 정보 주체의 열람권·삭제권·이동권(자신의 데이터를 다른 서비스로 옮길 권리)을 보장합니다. 특히 건강 정보는 '민감정보'로 분류되어 원칙적으로 처리가 금지되고, 명시적 동의가 있을 때만 예외적으로 허용됩니다. 컴패니언 로봇이 다루는 데이터의 대부분 — 복약, 혈압, 감정 — 이 바로 이 민감정보입니다. 즉, 법은 이미 4.1~4.3의 감시 반론에 대한 최소 기준을 정해 두었습니다.</w:t>
      </w:r>
    </w:p>
    <w:p>
      <w:pPr>
        <w:spacing w:after="150" w:before="0" w:line="312"/>
        <w:jc w:val="both"/>
      </w:pPr>
      <w:r>
        <w:rPr>
          <w:rFonts w:ascii="Malgun Gothic" w:cs="Malgun Gothic" w:eastAsia="Malgun Gothic" w:hAnsi="Malgun Gothic"/>
          <w:sz w:val="21"/>
          <w:szCs w:val="21"/>
        </w:rPr>
        <w:t xml:space="preserve">흥미로운 것은, 서드브레인의 설계 원칙이 이 규제들을 '준수'하는 수준을 넘어 '초과 달성'한다는 점입니다. 데이터 주권 원칙(마크다운·SQLite, 내 서버)은 GDPR의 이동권을 넘어 애초에 데이터가 내 손을 떠나지 않게 합니다. 삭제권은 파일 삭제로 완결되고, 열람권은 사람이 읽는 마크다운 그 자체입니다. 규제가 '기업이 개인 데이터를 어떻게 다뤄야 하는가'를 규율한다면, 서드브레인은 '개인 데이터가 애초에 기업에 가지 않는' 구조를 택함으로써 규제의 대상이 되는 위험 자체를 없앱니다. 법을 지키는 가장 확실한 방법은, 법이 규율하려는 위험을 구조적으로 만들지 않는 것입니다. 이것이 '규제의 시대'에 개인 소유 컴패니언이 갖는 근본적 우위입니다.</w:t>
      </w:r>
    </w:p>
    <w:p>
      <w:pPr>
        <w:shd w:fill="EAF3F1" w:val="clear"/>
        <w:spacing w:after="60" w:before="180"/>
      </w:pPr>
      <w:r>
        <w:rPr>
          <w:rFonts w:ascii="Malgun Gothic" w:cs="Malgun Gothic" w:eastAsia="Malgun Gothic" w:hAnsi="Malgun Gothic"/>
          <w:b/>
          <w:bCs/>
          <w:color w:val="1F6F6A"/>
          <w:sz w:val="20"/>
          <w:szCs w:val="20"/>
        </w:rPr>
        <w:t xml:space="preserve">[뇌경영 실천] 규제 지형과 서드브레인의 위치</w:t>
      </w:r>
    </w:p>
    <w:p>
      <w:pPr>
        <w:shd w:fill="EAF3F1" w:val="clear"/>
        <w:spacing w:after="60" w:line="300"/>
      </w:pPr>
      <w:r>
        <w:rPr>
          <w:rFonts w:ascii="Malgun Gothic" w:cs="Malgun Gothic" w:eastAsia="Malgun Gothic" w:hAnsi="Malgun Gothic"/>
          <w:color w:val="333333"/>
          <w:sz w:val="20"/>
          <w:szCs w:val="20"/>
        </w:rPr>
        <w:t xml:space="preserve">· EU AI법: 정서·취약계층 대상 AI에 높은 투명성·안전 의무 (기만 반론의 법제화)</w:t>
      </w:r>
    </w:p>
    <w:p>
      <w:pPr>
        <w:shd w:fill="EAF3F1" w:val="clear"/>
        <w:spacing w:after="60" w:line="300"/>
      </w:pPr>
      <w:r>
        <w:rPr>
          <w:rFonts w:ascii="Malgun Gothic" w:cs="Malgun Gothic" w:eastAsia="Malgun Gothic" w:hAnsi="Malgun Gothic"/>
          <w:color w:val="333333"/>
          <w:sz w:val="20"/>
          <w:szCs w:val="20"/>
        </w:rPr>
        <w:t xml:space="preserve">· GDPR·개인정보보호법: 열람·삭제·이동권 보장, 건강정보=민감정보(명시 동의 필수)</w:t>
      </w:r>
    </w:p>
    <w:p>
      <w:pPr>
        <w:shd w:fill="EAF3F1" w:val="clear"/>
        <w:spacing w:after="60" w:line="300"/>
      </w:pPr>
      <w:r>
        <w:rPr>
          <w:rFonts w:ascii="Malgun Gothic" w:cs="Malgun Gothic" w:eastAsia="Malgun Gothic" w:hAnsi="Malgun Gothic"/>
          <w:color w:val="333333"/>
          <w:sz w:val="20"/>
          <w:szCs w:val="20"/>
        </w:rPr>
        <w:t xml:space="preserve">· 서드브레인: 데이터가 내 서버를 떠나지 않음 → 규제 '준수'를 넘어 위험 자체를 제거</w:t>
      </w:r>
    </w:p>
    <w:p>
      <w:pPr>
        <w:shd w:fill="EAF3F1" w:val="clear"/>
        <w:spacing w:after="60" w:line="300"/>
      </w:pPr>
      <w:r>
        <w:rPr>
          <w:rFonts w:ascii="Malgun Gothic" w:cs="Malgun Gothic" w:eastAsia="Malgun Gothic" w:hAnsi="Malgun Gothic"/>
          <w:color w:val="333333"/>
          <w:sz w:val="20"/>
          <w:szCs w:val="20"/>
        </w:rPr>
        <w:t xml:space="preserve">· 원칙: 법을 지키는 최선은, 법이 규율하려는 위험을 구조적으로 안 만드는 것</w:t>
      </w:r>
    </w:p>
    <w:p>
      <w:pPr>
        <w:spacing w:after="140"/>
      </w:pPr>
      <w:r>
        <w:t xml:space="preserve"/>
      </w:r>
    </w:p>
    <w:p>
      <w:pPr>
        <w:spacing w:after="60" w:before="0" w:line="312"/>
        <w:jc w:val="both"/>
      </w:pPr>
      <w:r>
        <w:rPr>
          <w:rFonts w:ascii="Malgun Gothic" w:cs="Malgun Gothic" w:eastAsia="Malgun Gothic" w:hAnsi="Malgun Gothic"/>
          <w:sz w:val="21"/>
          <w:szCs w:val="21"/>
        </w:rPr>
        <w:t xml:space="preserve"/>
      </w:r>
    </w:p>
    <w:p>
      <w:pPr>
        <w:pStyle w:val="Heading3"/>
        <w:spacing w:after="110" w:before="200"/>
      </w:pPr>
      <w:r>
        <w:rPr>
          <w:rFonts w:ascii="Malgun Gothic" w:cs="Malgun Gothic" w:eastAsia="Malgun Gothic" w:hAnsi="Malgun Gothic"/>
          <w:b/>
          <w:bCs/>
          <w:color w:val="444444"/>
          <w:sz w:val="22"/>
          <w:szCs w:val="22"/>
        </w:rPr>
        <w:t xml:space="preserve">이 장의 참고문헌</w:t>
      </w:r>
    </w:p>
    <w:p>
      <w:pPr>
        <w:spacing w:after="50"/>
        <w:ind w:left="360" w:hanging="360"/>
      </w:pPr>
      <w:r>
        <w:rPr>
          <w:rFonts w:ascii="Malgun Gothic" w:cs="Malgun Gothic" w:eastAsia="Malgun Gothic" w:hAnsi="Malgun Gothic"/>
          <w:color w:val="555555"/>
          <w:sz w:val="17"/>
          <w:szCs w:val="17"/>
        </w:rPr>
        <w:t xml:space="preserve">European Union (2024). Artificial Intelligence Act (Regulation 2024/1689).</w:t>
      </w:r>
    </w:p>
    <w:p>
      <w:pPr>
        <w:spacing w:after="50"/>
        <w:ind w:left="360" w:hanging="360"/>
      </w:pPr>
      <w:r>
        <w:rPr>
          <w:rFonts w:ascii="Malgun Gothic" w:cs="Malgun Gothic" w:eastAsia="Malgun Gothic" w:hAnsi="Malgun Gothic"/>
          <w:color w:val="555555"/>
          <w:sz w:val="17"/>
          <w:szCs w:val="17"/>
        </w:rPr>
        <w:t xml:space="preserve">개인정보보호법 (대한민국) · GDPR (EU General Data Protection Regulation, 2016/679).</w:t>
      </w:r>
    </w:p>
    <w:p>
      <w:pPr>
        <w:spacing w:after="50"/>
        <w:ind w:left="360" w:hanging="360"/>
      </w:pPr>
      <w:r>
        <w:rPr>
          <w:rFonts w:ascii="Malgun Gothic" w:cs="Malgun Gothic" w:eastAsia="Malgun Gothic" w:hAnsi="Malgun Gothic"/>
          <w:color w:val="555555"/>
          <w:sz w:val="17"/>
          <w:szCs w:val="17"/>
        </w:rPr>
        <w:t xml:space="preserve">Sharkey, A., &amp; Sharkey, N. (2012). Granny and the Robots: Ethical Issues in Robot Care for the Elderly. Ethics and Information Technology, 14(1), 27–40.</w:t>
      </w:r>
    </w:p>
    <w:p>
      <w:pPr>
        <w:spacing w:after="50"/>
        <w:ind w:left="360" w:hanging="360"/>
      </w:pPr>
      <w:r>
        <w:rPr>
          <w:rFonts w:ascii="Malgun Gothic" w:cs="Malgun Gothic" w:eastAsia="Malgun Gothic" w:hAnsi="Malgun Gothic"/>
          <w:color w:val="555555"/>
          <w:sz w:val="17"/>
          <w:szCs w:val="17"/>
        </w:rPr>
        <w:t xml:space="preserve">Sparrow, R., &amp; Sparrow, L. (2006). In the Hands of Machines? The Future of Aged Care. Minds and Machines, 16(2), 141–161.</w:t>
      </w:r>
    </w:p>
    <w:p>
      <w:pPr>
        <w:spacing w:after="50"/>
        <w:ind w:left="360" w:hanging="360"/>
      </w:pPr>
      <w:r>
        <w:rPr>
          <w:rFonts w:ascii="Malgun Gothic" w:cs="Malgun Gothic" w:eastAsia="Malgun Gothic" w:hAnsi="Malgun Gothic"/>
          <w:color w:val="555555"/>
          <w:sz w:val="17"/>
          <w:szCs w:val="17"/>
        </w:rPr>
        <w:t xml:space="preserve">Turkle, S. (2011). Alone Together. Basic Books.</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2026-07-30T01:47:53.722Z</dcterms:created>
  <dcterms:modified xsi:type="dcterms:W3CDTF">2026-07-30T01:47:53.722Z</dcterms:modified>
</cp:coreProperties>
</file>

<file path=docProps/custom.xml><?xml version="1.0" encoding="utf-8"?>
<Properties xmlns="http://schemas.openxmlformats.org/officeDocument/2006/custom-properties" xmlns:vt="http://schemas.openxmlformats.org/officeDocument/2006/docPropsVTypes"/>
</file>