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algun Gothic" w:cs="Malgun Gothic" w:eastAsia="Malgun Gothic" w:hAnsi="Malgun Gothic"/>
          <w:b/>
          <w:bCs/>
          <w:color w:val="9C5227"/>
          <w:sz w:val="52"/>
          <w:szCs w:val="52"/>
        </w:rPr>
        <w:t xml:space="preserve">TensorFlow 기반 AX 방법론 구축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B1D12"/>
          <w:sz w:val="40"/>
          <w:szCs w:val="40"/>
        </w:rPr>
        <w:t xml:space="preserve">실 행 계 획 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76675A"/>
          <w:sz w:val="24"/>
          <w:szCs w:val="24"/>
        </w:rPr>
        <w:t xml:space="preserve">ERP 트랜잭션 데이터의 온톨로지-지식그래프 연결과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76675A"/>
          <w:sz w:val="24"/>
          <w:szCs w:val="24"/>
        </w:rPr>
        <w:t xml:space="preserve">4M 기준 불량 데이터 마이닝을 중심으로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6675A"/>
          <w:sz w:val="20"/>
          <w:szCs w:val="20"/>
        </w:rPr>
        <w:t xml:space="preserve">에이에스씨 · 『AI ERP 혁명 — Odoo와 지능형 ERP』 방법론 실행 문서</w:t>
      </w:r>
    </w:p>
    <w:p>
      <w:pPr>
        <w:jc w:val="center"/>
      </w:pPr>
      <w:r>
        <w:rPr>
          <w:rFonts w:ascii="Malgun Gothic" w:cs="Malgun Gothic" w:eastAsia="Malgun Gothic" w:hAnsi="Malgun Gothic"/>
          <w:color w:val="76675A"/>
          <w:sz w:val="20"/>
          <w:szCs w:val="20"/>
        </w:rPr>
        <w:t xml:space="preserve">2026. 9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9C5227"/>
          <w:sz w:val="30"/>
          <w:szCs w:val="30"/>
        </w:rPr>
        <w:t xml:space="preserve">1.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1.1 목적</w:t>
      </w:r>
    </w:p>
    <w:p>
      <w:pPr>
        <w:spacing w:after="140" w:line="32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본 계획서는 우리가 추구하는 AX 방법론 — "기록하는 ERP에서 판단하는 ERP로" — 의 지능화 단계(5단계 로드맵의 4단계)를 TensorFlow 프레임워크로 실행하기 위한 기술 실행 계획이다. 핵심 과제는 두 가지다.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ERP(Odoo) 트랜잭션 데이터를 추출·정제(트랜스퍼)하여 온톨로지-지식그래프로 연결하는 데이터 마이닝 파이프라인의 구축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품질 불량 데이터를 4M(Man·Machine·Material·Method) 기준으로 분해하여 지식그래프에 연결하고, 불량의 원인 추론과 예측을 가능하게 하는 것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1.2 TensorFlow의 역할 정의</w:t>
      </w:r>
    </w:p>
    <w:p>
      <w:pPr>
        <w:spacing w:after="140" w:line="32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TensorFlow는 AI 모델을 구축·훈련·평가·배포하는 오픈소스 머신러닝 프레임워크다. 데이터를 다차원 텐서(tensor)로 표현하고, 자동 미분(automatic differentiation)으로 그래디언트를 계산하며, CPU·GPU·TPU로 연산을 가속한다. 학습된 모델은 TF Serving(서버), TensorFlow Lite(모바일·에지), TensorFlow.js(브라우저)로 배포되어 — 데이터에서 배포까지 완전한 머신러닝 워크플로를 하나로 연결한다.</w:t>
      </w:r>
    </w:p>
    <w:p>
      <w:pPr>
        <w:spacing w:after="140" w:line="32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우리 아키텍처에서 TensorFlow의 자리는 명확하다. </w:t>
      </w:r>
      <w:r>
        <w:rPr>
          <w:rFonts w:ascii="Malgun Gothic" w:cs="Malgun Gothic" w:eastAsia="Malgun Gothic" w:hAnsi="Malgun Gothic"/>
          <w:b/>
          <w:bCs/>
          <w:color w:val="9C5227"/>
          <w:sz w:val="21"/>
          <w:szCs w:val="21"/>
        </w:rPr>
        <w:t xml:space="preserve">판단의 두뇌가 아니라 학습과 추론의 엔진</w:t>
      </w: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이다. 원장(Odoo)이 사실을 기록하고, 지식그래프가 의미를 연결하며, TensorFlow는 그 사이에서 패턴을 학습해 예측·분류·임베딩을 공급한다. 최종 확정과 승인은 언제나 사람(HITL)이 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1.3 적용 범위와 전제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원천 시스템: Odoo(단일 PostgreSQL 원장) — 품질검사·생산실적·작업지시·BOM·로트·구매입고·설비·근태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전제 조건: 데이터의 3정5S — 품목·공정·설비·불량사유 코드체계 정비와 재고·실적 정확도 95% 이상 (5S 없이 AI 없다)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지식그래프 저장소: Neo4j(지식 부스터), 자동화 배관: n8n, LLM 보조: 온프레미스 Ollama + 클라우드 병행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9C5227"/>
          <w:sz w:val="30"/>
          <w:szCs w:val="30"/>
        </w:rPr>
        <w:t xml:space="preserve">2. 전체 아키텍처 — 다섯 계층의 파이프라인</w:t>
      </w:r>
    </w:p>
    <w:p>
      <w:pPr>
        <w:spacing w:after="140" w:line="32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실행 구조는 다섯 계층으로 정의한다. 각 계층의 산출물이 다음 계층의 입력이 되며, 마지막 계층의 판단이 승인 게이트를 거쳐 원장 파라미터로 환류된다.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3260"/>
      </w:tblGrid>
      <w:tr>
        <w:tc>
          <w:tcPr>
            <w:tcW w:type="dxa" w:w="15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46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26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산출물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L1 원천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Odoo PostgreSQL (품질·생산·구매·재고·인사)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트랜잭션 레코드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L2 트랜스퍼(ETL)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CDC 이벤트 스트림 + 일 배치, 스테이징 DB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정제된 사실 테이블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L3 특징량·학습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특징량 저장소, TensorFlow 학습 파이프라인(tf.data · Keras)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특징량 · 학습 모델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L4 온톨로지-지식그래프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4M 스키마(Neo4j), 트리플 생성기, 확신도 관리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불량-4M 연결 그래프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L5 추론·환류</w:t>
            </w:r>
          </w:p>
        </w:tc>
        <w:tc>
          <w:tcPr>
            <w:tcW w:type="dxa" w:w="4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TF Serving 추론 API, GraphRAG 질의, HITL 승인 게이트</w:t>
            </w:r>
          </w:p>
        </w:tc>
        <w:tc>
          <w:tcPr>
            <w:tcW w:type="dxa" w:w="3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예측·원인 후보·파라미터 갱신</w:t>
            </w:r>
          </w:p>
        </w:tc>
      </w:tr>
    </w:tbl>
    <w:p>
      <w:pPr>
        <w:spacing w:after="120"/>
      </w:pPr>
    </w:p>
    <w:p>
      <w:pPr>
        <w:spacing w:after="140" w:line="320"/>
      </w:pPr>
      <w:r>
        <w:rPr>
          <w:rFonts w:ascii="Malgun Gothic" w:cs="Malgun Gothic" w:eastAsia="Malgun Gothic" w:hAnsi="Malgun Gothic"/>
          <w:b/>
          <w:bCs/>
          <w:color w:val="2B1D12"/>
          <w:sz w:val="21"/>
          <w:szCs w:val="21"/>
        </w:rPr>
        <w:t xml:space="preserve">설계 원칙: </w:t>
      </w: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모든 특징량과 그래프 노드는 원장 트랜잭션에서만 생성한다(근거 추적 가능). 그래프의 '판단·규칙' 노드는 반복 검증(확신도 70%·3회 이상)과 사람의 승인을 거친 것만 편입한다 — 통계가 검증하고, 사람이 통치한다.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9C5227"/>
          <w:sz w:val="30"/>
          <w:szCs w:val="30"/>
        </w:rPr>
        <w:t xml:space="preserve">3. ERP 데이터 트랜스퍼(ETL) 설계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3.1 대상 데이터와 수집 방식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1900"/>
        <w:gridCol w:w="1100"/>
      </w:tblGrid>
      <w:tr>
        <w:tc>
          <w:tcPr>
            <w:tcW w:type="dxa" w:w="26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원천(Odoo 모델)</w:t>
            </w:r>
          </w:p>
        </w:tc>
        <w:tc>
          <w:tcPr>
            <w:tcW w:type="dxa" w:w="33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9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수집 방식</w:t>
            </w:r>
          </w:p>
        </w:tc>
        <w:tc>
          <w:tcPr>
            <w:tcW w:type="dxa" w:w="11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quality.check / quality.alert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검사 결과·불량 판정·불량사유 코드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CDC 이벤트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실시간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mrp.production / mrp.workorder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작업지시·생산실적·작업자·설비·공정조건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CDC 이벤트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실시간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stock.lot / stock.move.line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원료·완제품 로트, 입출고·소모 이력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CDC 이벤트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실시간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purchase.order / res.partner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입고 로트의 공급처·단가·리드타임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일 배치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일 1회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maintenance.request / equipment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설비 마스터·고장·보전 이력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일 배치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일 1회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hr.employee / 근태·교대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작업자·숙련등급·교대조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일 배치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일 1회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IoT 게이트웨이(선택)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설비 온도·진동·전류 등 센서 시계열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스트림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초~분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3.2 정제 규칙 — 데이터의 3정5S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정리: 중단 품목·폐기 코드 제외, 테스트·취소 트랜잭션 필터링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정돈: 품목·공정·설비·불량사유·작업자 코드를 표준 사전에 매핑 (코드는 온톨로지의 어휘)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청소: 결측 보정 규칙 명시(결측은 '모름' 노드로 보존 — 임의 대체 금지), 이상치는 플래그 후 보존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청결: 스키마 검증(타입·범위·참조 무결성)을 적재 전 자동 실행, 실패 건은 격리 큐로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습관화: 일 마감 시 데이터 품질 리포트 자동 발행(결측률·지연 입력률·코드 미매핑률)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3.3 불량 사실 테이블(Defect Fact) 정의</w:t>
      </w:r>
    </w:p>
    <w:p>
      <w:pPr>
        <w:spacing w:after="140" w:line="32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모든 마이닝과 그래프 연결의 중심이 되는 단일 사실 테이블을 정의한다. 불량 1건 = 1행이며, 4M 차원 키를 모두 보유한다.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defect_fact (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  defect_id, ts, product_id, process_id, defect_code, qty, severity,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  man_id,        -- 작업자 (교대조, 숙련등급 조인)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  machine_id,    -- 설비 (모델, 가동시간, 최근 보전일 조인)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  material_lot,  -- 원료 로트 (공급처, 입고일, 보관기간 조인)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  method_id,     -- 작업표준/레시피 버전 (공정조건 파라미터 조인)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  workorder_id, inspection_id   -- 근거 추적용 원장 참조</w:t>
      </w:r>
    </w:p>
    <w:p>
      <w:pPr>
        <w:shd w:fill="2E2A26" w:val="clear"/>
        <w:spacing w:after="16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9C5227"/>
          <w:sz w:val="30"/>
          <w:szCs w:val="30"/>
        </w:rPr>
        <w:t xml:space="preserve">4. 4M 온톨로지-지식그래프 스키마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4.1 클래스 설계</w:t>
      </w:r>
    </w:p>
    <w:p>
      <w:pPr>
        <w:spacing w:after="140" w:line="32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불량 이벤트(DefectEvent)를 허브로 4M 클래스를 연결한다. 각 클래스는 Odoo 원장 레코드와 1:1로 대응하는 속성(원장 ID)을 보유해 언제든 근거로 되돌아갈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150"/>
        <w:gridCol w:w="2500"/>
        <w:gridCol w:w="2560"/>
      </w:tblGrid>
      <w:tr>
        <w:tc>
          <w:tcPr>
            <w:tcW w:type="dxa" w:w="115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4M</w:t>
            </w:r>
          </w:p>
        </w:tc>
        <w:tc>
          <w:tcPr>
            <w:tcW w:type="dxa" w:w="315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클래스(주요 속성)</w:t>
            </w:r>
          </w:p>
        </w:tc>
        <w:tc>
          <w:tcPr>
            <w:tcW w:type="dxa" w:w="25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Odoo 원천</w:t>
            </w:r>
          </w:p>
        </w:tc>
        <w:tc>
          <w:tcPr>
            <w:tcW w:type="dxa" w:w="256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관계(→ DefectEvent)</w:t>
            </w:r>
          </w:p>
        </w:tc>
      </w:tr>
      <w:tr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Man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Worker(숙련등급·근속·교대조), Shift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hr.employee, 근태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performedBy / duringShift</w:t>
            </w:r>
          </w:p>
        </w:tc>
      </w:tr>
      <w:tr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Machine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Equipment(모델·연식·가동시간), MaintenanceEvent, SensorState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maintenance.*, IoT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producedOn / stateAt</w:t>
            </w:r>
          </w:p>
        </w:tc>
      </w:tr>
      <w:tr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Material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MaterialLot(공급처·입고일·보관기간·시세), Supplier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stock.lot, purchase.*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consumedLot / suppliedBy</w:t>
            </w:r>
          </w:p>
        </w:tc>
      </w:tr>
      <w:tr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Method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SOP·Recipe(버전·공정조건), ProcessParam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mrp.bom, 작업표준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usedMethod / paramAt</w:t>
            </w:r>
          </w:p>
        </w:tc>
      </w:tr>
      <w:tr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허브</w:t>
            </w:r>
          </w:p>
        </w:tc>
        <w:tc>
          <w:tcPr>
            <w:tcW w:type="dxa" w:w="3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DefectEvent(불량코드·수량·심각도·시각), Product, Process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quality.*, mrp.*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4.2 관계와 확신도(wave)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사실 관계(FACT): performedBy·producedOn·consumedLot·usedMethod — 원장에서 결정론적으로 생성, 확신도 100%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원인 후보 관계(CAUSAL_CANDIDATE): 마이닝·모델이 제안하는 '불량 ← 4M 요인' 연결 — 확신도 0~100%의 wave로 관리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확정 규칙(GOVERNED_RULE): 확신도 70% 이상 + 3회 이상 반복 확인 + 담당자 승인 시에만 승격 — 이후 검사 강화·파라미터 보정에 사용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4.3 그래프 적재 예시 (Cypher)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MERGE (d:DefectEvent {id:$defect_id, code:$defect_code, ts:$ts, qty:$qty})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MERGE (w:Worker {id:$man_id})    MERGE (d)-[:PERFORMED_BY]-&gt;(w)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MERGE (m:Equipment {id:$machine_id})  MERGE (d)-[:PRODUCED_ON]-&gt;(m)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MERGE (l:MaterialLot {id:$material_lot}) MERGE (d)-[:CONSUMED_LOT]-&gt;(l)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MERGE (s:SOP {id:$method_id, ver:$ver}) MERGE (d)-[:USED_METHOD]-&gt;(s)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// 모델이 제안한 원인 후보 (확신도는 속성으로)</w:t>
      </w:r>
    </w:p>
    <w:p>
      <w:pPr>
        <w:shd w:fill="2E2A26" w:val="clear"/>
        <w:spacing w:after="16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MERGE (d)-[c:CAUSAL_CANDIDATE {conf:$conf, model:$model_ver}]-&gt;(l)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9C5227"/>
          <w:sz w:val="30"/>
          <w:szCs w:val="30"/>
        </w:rPr>
        <w:t xml:space="preserve">5. TensorFlow 데이터 마이닝·모델링 계획</w:t>
      </w:r>
    </w:p>
    <w:p>
      <w:pPr>
        <w:spacing w:after="140" w:line="32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네 종류의 모델이 지식그래프를 '채우고', 그래프가 다시 모델의 특징량을 '풍부하게' 만드는 상호 강화 구조를 만든다. 전 모델은 tf.data 입력 파이프라인과 Keras API로 구현하고, 실험 추적은 TensorBoard를 사용한다.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5.1 모델 포트폴리오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50"/>
        <w:gridCol w:w="3350"/>
        <w:gridCol w:w="2860"/>
      </w:tblGrid>
      <w:tr>
        <w:tc>
          <w:tcPr>
            <w:tcW w:type="dxa" w:w="7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5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335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기법(TensorFlow)</w:t>
            </w:r>
          </w:p>
        </w:tc>
        <w:tc>
          <w:tcPr>
            <w:tcW w:type="dxa" w:w="286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 → 그래프 연결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M1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불량 발생 예측·분류</w:t>
            </w:r>
          </w:p>
        </w:tc>
        <w:tc>
          <w:tcPr>
            <w:tcW w:type="dxa" w:w="3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Wide &amp; Deep (범주형 임베딩 + 연속형), 클래스 불균형 보정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고위험 4M 조합 → CAUSAL_CANDIDATE 후보 생성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M2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4M 요인 기여도 분석</w:t>
            </w:r>
          </w:p>
        </w:tc>
        <w:tc>
          <w:tcPr>
            <w:tcW w:type="dxa" w:w="3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그래디언트 기반 특성 기여도(Integrated Gradients)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불량별 요인 기여도 → 원인 후보의 확신도 초기값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M3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엔티티 임베딩·링크 예측</w:t>
            </w:r>
          </w:p>
        </w:tc>
        <w:tc>
          <w:tcPr>
            <w:tcW w:type="dxa" w:w="3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TF-GNN 그래프 신경망 (또는 TransE형 임베딩)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숨은 연결(예: 특정 공급처 로트↔특정 설비의 조합 위험) 발굴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M4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이상탐지·텍스트 태깅</w:t>
            </w:r>
          </w:p>
        </w:tc>
        <w:tc>
          <w:tcPr>
            <w:tcW w:type="dxa" w:w="3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오토인코더(공정조건 이상), 한국어 텍스트 분류(작업일지·클레임의 4M 자동 태깅)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암묵지 신호 → seeds 등록(6 Station 인터뷰 대상)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5.2 학습 파이프라인 골격 (Keras)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feat = { 'man_id': tf.keras.Input([], dtype=tf.string), ... }  # 4M 키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emb = [ Embedding(vocab[k], 16)(Lookup(vocab_list[k])(v))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        for k, v in categorical.items() ]          # 범주형 임베딩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wide = tf.keras.layers.concatenate(cross_features)  # 교차항(4M 조합)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deep = MLP([256,128,64])(concat(emb + continuous))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out  = Dense(1, activation='sigmoid')(concat([wide, deep]))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model.compile(optimizer='adam', loss='binary_crossentropy',</w:t>
      </w:r>
    </w:p>
    <w:p>
      <w:pPr>
        <w:shd w:fill="2E2A26" w:val="clear"/>
        <w:spacing w:after="2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              metrics=[AUC(), Recall()])           # 불량=희소 클래스</w:t>
      </w:r>
    </w:p>
    <w:p>
      <w:pPr>
        <w:shd w:fill="2E2A26" w:val="clear"/>
        <w:spacing w:after="160" w:line="260"/>
        <w:ind w:left="240" w:right="240"/>
      </w:pPr>
      <w:r>
        <w:rPr>
          <w:rFonts w:ascii="Courier New" w:cs="Courier New" w:eastAsia="Courier New" w:hAnsi="Courier New"/>
          <w:color w:val="E8DFD2"/>
          <w:sz w:val="17"/>
          <w:szCs w:val="17"/>
        </w:rPr>
        <w:t xml:space="preserve"># 배포: SavedModel → TF Serving REST — n8n이 야간 배치로 호출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5.3 평가·운영 기준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평가: 시계열 분할 검증(과거로 학습, 미래로 평가) — 데이터 누수 금지. 기본 지표는 AUC·재현율, 운영 지표는 '경보의 적중률'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재학습: 주 1회 자동 재학습 + 데이터 드리프트 감지 시 트리거, 모델 버전은 그래프의 model 속성으로 기록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설명 가능성: 모든 원인 후보 제안에는 기여도 상위 요인과 근거 레코드(원장 ID)를 첨부 — 근거 없는 제안은 그래프에 넣지 않는다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9C5227"/>
          <w:sz w:val="30"/>
          <w:szCs w:val="30"/>
        </w:rPr>
        <w:t xml:space="preserve">6. 불량 데이터의 4M 지식그래프 연결 — 실행 절차</w:t>
      </w:r>
    </w:p>
    <w:p>
      <w:pPr>
        <w:spacing w:after="140" w:line="32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하나의 불량 이벤트가 원장에서 그래프의 확정 규칙까지 도달하는 7단계 표준 절차다.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300"/>
        <w:gridCol w:w="2560"/>
      </w:tblGrid>
      <w:tr>
        <w:tc>
          <w:tcPr>
            <w:tcW w:type="dxa" w:w="7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8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3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256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불량 판정 발생 → CDC 이벤트 수신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Odoo → 파이프라인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defect_fact 1행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4M 차원 조인(작업자·설비·로트·표준)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스테이징 SQL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완전한 4M 컨텍스트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FACT 관계 그래프 적재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Cypher MERGE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DefectEvent + 4M 노드 연결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모델 추론(M1·M2) — 원인 후보와 기여도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TF Serving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CAUSAL_CANDIDATE(확신도)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패턴 집계 — 동일 후보의 반복 확인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그래프 질의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확신도 갱신(wave)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임계 돌파 시 현장 검증 인터뷰(6 Station)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HITL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확인/반박 기록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승인 → GOVERNED_RULE 승격, 검사·파라미터 반영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승인 게이트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확정 규칙 + 원장 환류</w:t>
            </w:r>
          </w:p>
        </w:tc>
      </w:tr>
    </w:tbl>
    <w:p>
      <w:pPr>
        <w:spacing w:after="120"/>
      </w:pPr>
    </w:p>
    <w:p>
      <w:pPr>
        <w:spacing w:after="140" w:line="320"/>
      </w:pPr>
      <w:r>
        <w:rPr>
          <w:rFonts w:ascii="Malgun Gothic" w:cs="Malgun Gothic" w:eastAsia="Malgun Gothic" w:hAnsi="Malgun Gothic"/>
          <w:b/>
          <w:bCs/>
          <w:color w:val="2B1D12"/>
          <w:sz w:val="21"/>
          <w:szCs w:val="21"/>
        </w:rPr>
        <w:t xml:space="preserve">활용 예시(GraphRAG 질의): </w:t>
      </w: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"지난달 크림류 불량 3건의 공통 원인은?" → 그래프가 3건의 DefectEvent에서 4M 경로를 역추적해 "동일 공급처 유지 로트(보관 12일 초과) × 오후 교대"라는 교집합을 근거 레코드와 함께 제시한다. 담당자가 확인하면 해당 조합은 확정 규칙이 되어, 이후 같은 조건의 로트 입고 시 자동으로 검사 강화 지시가 나간다.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9C5227"/>
          <w:sz w:val="30"/>
          <w:szCs w:val="30"/>
        </w:rPr>
        <w:t xml:space="preserve">7. 실행 로드맵 — 12주 파일럿과 확장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700"/>
        <w:gridCol w:w="3560"/>
      </w:tblGrid>
      <w:tr>
        <w:tc>
          <w:tcPr>
            <w:tcW w:type="dxa" w:w="11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47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56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산출물·판정 기준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1~2주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코드체계·불량사유 사전 정비, defect_fact 설계 확정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4M 매핑 정의서, 경영 질문 목록 서명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3~4주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ETL 파이프라인 구축(CDC+배치), 스테이징 가동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일 단위 자동 적재, 품질 리포트 발행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5~6주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4M 그래프 스키마 적재(FACT 관계), 과거 12개월 백필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그래프 노드·관계 적재율 95%+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7~9주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M1·M2 모델 학습·검증, TF Serving 배포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AUC 기준선 합의, 첫 원인 후보 생성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10~11주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확신도 루프·6 Station 검증 프로세스 가동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첫 확정 규칙(GOVERNED_RULE) 1건 이상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12주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첫 환류 — 검사 강화·파라미터 보정 승인, 성과 리뷰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KPI 기준선 대비 개선 보고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13주~</w:t>
            </w:r>
          </w:p>
        </w:tc>
        <w:tc>
          <w:tcPr>
            <w:tcW w:type="dxa" w:w="4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확장: M3(GNN 링크 예측)·M4(텍스트 태깅), 타 공정 복제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분기별 확정 규칙 누적, 불량률 추세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추진 체제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데이터 엔지니어 1 (ETL·그래프), ML 엔지니어 1 (TensorFlow), 현장 품질 담당 1 (검증·승인), 컨설턴트 PM 1 — 상시 4역할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우리 5단계 로드맵과의 정렬: 본 계획은 3단계(적재) 후반~4단계(지능화)에 해당하며, 1~2단계(진단·기반)의 코드체계 정비가 선행 조건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9C5227"/>
          <w:sz w:val="30"/>
          <w:szCs w:val="30"/>
        </w:rPr>
        <w:t xml:space="preserve">8. 성공 KPI와 리스크 관리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8.1 판정 KPI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불량률·불량 재발률(동일 4M 조합의 재발) — 최종 성과 지표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원인 규명 리드타임: 불량 발생 → 원인 후보 제시까지의 시간 (목표: 익일 → 실시간)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확정 규칙 누적 건수와 규칙 적중률(규칙 발동 시 실제 불량 예방 비율)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모델 지표: AUC·재현율, 경보 적중률(현장이 느끼는 신뢰의 지표)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B1D12"/>
          <w:sz w:val="24"/>
          <w:szCs w:val="24"/>
        </w:rPr>
        <w:t xml:space="preserve">8.2 리스크와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5760"/>
            <w:shd w:fill="9C522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불량 데이터 희소(클래스 불균형)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가중 손실·오버샘플링, 초기에는 규칙 기반과 병행 — 모델 단독 판단 금지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코드 미정비로 4M 조인 실패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1~2주차 코드체계 정비를 완료 조건으로 — 미매핑률 5% 이하 전 학습 착수 금지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상관을 인과로 오인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모델 제안은 언제나 '후보' — 6 Station 현장 검증과 승인 게이트를 통과해야 규칙化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현장 수용성(감시로 오해)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Man 요인은 개인 평가에 사용하지 않음을 명文化 — 목적은 문책이 아니라 조건 개선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모델 드리프트</w:t>
            </w:r>
          </w:p>
        </w:tc>
        <w:tc>
          <w:tcPr>
            <w:tcW w:type="dxa" w:w="5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B1D12"/>
                <w:sz w:val="18"/>
                <w:szCs w:val="18"/>
              </w:rPr>
              <w:t xml:space="preserve">주간 재학습 + 드리프트 감지, 모델 버전·데이터 구간을 그래프에 기록해 재현 가능</w:t>
            </w:r>
          </w:p>
        </w:tc>
      </w:tr>
    </w:tbl>
    <w:p>
      <w:pPr>
        <w:spacing w:after="120"/>
      </w:pPr>
    </w:p>
    <w:p>
      <w:pPr>
        <w:spacing w:after="140" w:line="320"/>
      </w:pPr>
      <w:r>
        <w:rPr>
          <w:rFonts w:ascii="Malgun Gothic" w:cs="Malgun Gothic" w:eastAsia="Malgun Gothic" w:hAnsi="Malgun Gothic"/>
          <w:b/>
          <w:bCs/>
          <w:color w:val="9C5227"/>
          <w:sz w:val="21"/>
          <w:szCs w:val="21"/>
        </w:rPr>
        <w:t xml:space="preserve">맺음말 — </w:t>
      </w:r>
      <w:r>
        <w:rPr>
          <w:rFonts w:ascii="Malgun Gothic" w:cs="Malgun Gothic" w:eastAsia="Malgun Gothic" w:hAnsi="Malgun Gothic"/>
          <w:color w:val="2B1D12"/>
          <w:sz w:val="21"/>
          <w:szCs w:val="21"/>
        </w:rPr>
        <w:t xml:space="preserve">TensorFlow는 패턴을 배우고, 지식그래프는 의미를 잇고, 사람은 판단을 통치한다. 이 삼분법이 지켜질 때, 불량 데이터는 비용의 기록에서 예방의 자산으로 바뀐다. 본 계획의 첫 12주는 그 전환의 최소 실증이다.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2026-09-08T07:54:58.807Z</dcterms:created>
  <dcterms:modified xsi:type="dcterms:W3CDTF">2026-09-08T07:54:58.807Z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