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피지컬 AI — 서드브레인, 몸을 얻다 (학술 보강판 v0.2 · 5권: 5부 + 에필로그 + 부록 + 참고문헌)</w:t>
      </w:r>
    </w:p>
    <w:p>
      <w:pPr>
        <w:pStyle w:val="Quote"/>
      </w:pPr>
      <w:r>
        <w:rPr>
          <w:rFonts w:ascii="맑은 고딕" w:hAnsi="맑은 고딕" w:eastAsia="맑은 고딕"/>
        </w:rPr>
        <w:t>v0.2 학술 보강판 · 본문의 [숫자]는 각 장 끝 '미주'와 대응합니다. 권말에 전체 통합 참고문헌 수록.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5부. 미래 — 안전·윤리, 그리고 뇌경영의 확장</w:t>
      </w:r>
    </w:p>
    <w:p>
      <w:r>
        <w:rPr>
          <w:rFonts w:ascii="맑은 고딕" w:hAnsi="맑은 고딕" w:eastAsia="맑은 고딕"/>
          <w:b/>
        </w:rPr>
        <w:t>5부에서 하는 일</w:t>
      </w:r>
      <w:r>
        <w:rPr>
          <w:rFonts w:ascii="맑은 고딕" w:hAnsi="맑은 고딕" w:eastAsia="맑은 고딕"/>
        </w:rPr>
        <w:t>: 만들기는 끝났다. 5부는 두 개의 시선이다. 하나는 안으로 — 힘을 가진 기계와 가장 사적인 데이터를 다루는 우리가 지켜야 할 선(18장). 하나는 밖으로 — 이 프로젝트가 놓여 있는 더 큰 흐름과, 그 흐름 속에서 개인이 쥐어야 할 것(19장).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18장. 안전·윤리·프라이버시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>이 장을 책의 끝에 둔 것은 덜 중요해서가 아니다. 그 반대다. 4장에서 처음 그었고, 책 내내 아이콘으로 되살아났던 선들을, 이제 시스템을 다 만들어 본 독자의 눈으로 다시 그어 보기 위해서다. 만들기 전의 안전 수칙은 남의 규칙이지만, 만든 뒤의 안전 수칙은 내 것이 된다.</w:t>
      </w:r>
    </w:p>
    <w:p>
      <w:pPr>
        <w:pStyle w:val="Heading2"/>
      </w:pPr>
      <w:r>
        <w:rPr>
          <w:rFonts w:ascii="맑은 고딕" w:hAnsi="맑은 고딕" w:eastAsia="맑은 고딕"/>
        </w:rPr>
        <w:t>18.1 물리 안전 — 3중 방어의 완성 점검</w:t>
      </w:r>
    </w:p>
    <w:p>
      <w:r>
        <w:rPr>
          <w:rFonts w:ascii="맑은 고딕" w:hAnsi="맑은 고딕" w:eastAsia="맑은 고딕"/>
        </w:rPr>
        <w:t>책 곳곳에 흩어져 있던 물리 안전 장치를 한 표로 모아 최종 점검한다. 8.4에서 소개한 리즌의 다층 방어 원리[1]가 물리 영역에 적용된 형태다.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1층 · 설계로 막기</w:t>
      </w:r>
      <w:r>
        <w:rPr>
          <w:rFonts w:ascii="맑은 고딕" w:hAnsi="맑은 고딕" w:eastAsia="맑은 고딕"/>
        </w:rPr>
        <w:t>: 힘/속도 제한(11.6, 15.5), 작동 구역 제한, 로봇 친화 정위치(9.4, 14.5). 사고가 일어날 조건 자체를 줄이는 층.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2층 · 감지로 멈추기</w:t>
      </w:r>
      <w:r>
        <w:rPr>
          <w:rFonts w:ascii="맑은 고딕" w:hAnsi="맑은 고딕" w:eastAsia="맑은 고딕"/>
        </w:rPr>
        <w:t>: 충돌 감지, '멈추고 알리기' 폴백(17.2). 조건이 어긋났을 때 기계가 스스로 서는 층.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3층 · 사람이 끊기</w:t>
      </w:r>
      <w:r>
        <w:rPr>
          <w:rFonts w:ascii="맑은 고딕" w:hAnsi="맑은 고딕" w:eastAsia="맑은 고딕"/>
        </w:rPr>
        <w:t>: 물리 비상정지 버튼(가족 전원이 위치와 사용법을 안다 — 13.4의 졸업 기준이었다), 전원 차단. 최후의 층.</w:t>
      </w:r>
    </w:p>
    <w:p>
      <w:r>
        <w:rPr>
          <w:rFonts w:ascii="맑은 고딕" w:hAnsi="맑은 고딕" w:eastAsia="맑은 고딕"/>
        </w:rPr>
        <w:t xml:space="preserve">점검 주기는 계절마다 한 번. 그리고 원칙 하나 — </w:t>
      </w:r>
      <w:r>
        <w:rPr>
          <w:rFonts w:ascii="맑은 고딕" w:hAnsi="맑은 고딕" w:eastAsia="맑은 고딕"/>
          <w:b/>
        </w:rPr>
        <w:t>새 동작을 가르칠 때마다 1층부터 다시 묻는다.</w:t>
      </w:r>
      <w:r>
        <w:rPr>
          <w:rFonts w:ascii="맑은 고딕" w:hAnsi="맑은 고딕" w:eastAsia="맑은 고딕"/>
        </w:rPr>
        <w:t xml:space="preserve"> 능력이 늘 때 위험도 는다.</w:t>
      </w:r>
    </w:p>
    <w:p>
      <w:pPr>
        <w:pStyle w:val="Heading2"/>
      </w:pPr>
      <w:r>
        <w:rPr>
          <w:rFonts w:ascii="맑은 고딕" w:hAnsi="맑은 고딕" w:eastAsia="맑은 고딕"/>
        </w:rPr>
        <w:t>18.2 의료의 경계 — 네 가지 금지, 한 가지 의무</w:t>
      </w:r>
    </w:p>
    <w:p>
      <w:r>
        <w:rPr>
          <w:rFonts w:ascii="맑은 고딕" w:hAnsi="맑은 고딕" w:eastAsia="맑은 고딕"/>
        </w:rPr>
        <w:t>8.6의 금지 목록(진단 금지, 처방 금지, 응급 판단 금지, 불안 조장 금지)은 시스템 프롬프트에 있다. 이 절은 그 목록의 '왜'를 적는다.</w:t>
      </w:r>
    </w:p>
    <w:p>
      <w:r>
        <w:rPr>
          <w:rFonts w:ascii="맑은 고딕" w:hAnsi="맑은 고딕" w:eastAsia="맑은 고딕"/>
        </w:rPr>
        <w:t xml:space="preserve">이 시스템이 다루는 것은 경향이지 진실이 아니다. 소비자 기기의 측정에는 오차가 있고, AI의 요약에는 빈틈이 있다. 그 위에 진단을 얹는 순간 우리는 사용자를 돕는 것이 아니라 도박에 태우는 것이다. 이 시스템의 올바른 야심은 의사의 대체가 아니라 </w:t>
      </w:r>
      <w:r>
        <w:rPr>
          <w:rFonts w:ascii="맑은 고딕" w:hAnsi="맑은 고딕" w:eastAsia="맑은 고딕"/>
          <w:b/>
        </w:rPr>
        <w:t>더 좋은 진료실 문턱</w:t>
      </w:r>
      <w:r>
        <w:rPr>
          <w:rFonts w:ascii="맑은 고딕" w:hAnsi="맑은 고딕" w:eastAsia="맑은 고딕"/>
        </w:rPr>
        <w:t>이다 — 석 달치 가정혈압 그래프와 복약 기록을 들고 진료실에 들어가는 환자는, 기억에 의존해 "가끔 높은 것 같아요"라고 말하는 환자보다 훨씬 좋은 진료를 받는다. 의료 AI 논의에서 토폴이 강조한 바[2] — 기술의 소임은 임상적 판단의 대체가 아니라, 판단의 재료를 풍부하게 하고 의사-환자의 대면 시간을 되찾아 주는 것 — 가 개인 규모에서 실현되는 형태다.</w:t>
      </w:r>
    </w:p>
    <w:p>
      <w:r>
        <w:rPr>
          <w:rFonts w:ascii="맑은 고딕" w:hAnsi="맑은 고딕" w:eastAsia="맑은 고딕"/>
        </w:rPr>
        <w:t xml:space="preserve">그래서 금지 넷에 의무 하나가 따른다. </w:t>
      </w:r>
      <w:r>
        <w:rPr>
          <w:rFonts w:ascii="맑은 고딕" w:hAnsi="맑은 고딕" w:eastAsia="맑은 고딕"/>
          <w:b/>
        </w:rPr>
        <w:t>기록을 의사에게 보여 줄 수 있는 형태로 유지할 것.</w:t>
      </w:r>
      <w:r>
        <w:rPr>
          <w:rFonts w:ascii="맑은 고딕" w:hAnsi="맑은 고딕" w:eastAsia="맑은 고딕"/>
        </w:rPr>
        <w:t xml:space="preserve"> 사서에게 '진료용 요약 출력'을 시키는 레시피를 부록 B에 두었다.</w:t>
      </w:r>
    </w:p>
    <w:p>
      <w:r>
        <w:rPr>
          <w:rFonts w:ascii="맑은 고딕" w:hAnsi="맑은 고딕" w:eastAsia="맑은 고딕"/>
        </w:rPr>
        <w:t>[메모: 이 절 전체 의료법·의료기기법 관점 전문가 감수 필수. 표현 수위 조정 여지]</w:t>
      </w:r>
    </w:p>
    <w:p>
      <w:pPr>
        <w:pStyle w:val="Heading2"/>
      </w:pPr>
      <w:r>
        <w:rPr>
          <w:rFonts w:ascii="맑은 고딕" w:hAnsi="맑은 고딕" w:eastAsia="맑은 고딕"/>
        </w:rPr>
        <w:t>18.3 데이터 주권 — 내 몸의 기록은 내 것이다</w:t>
      </w:r>
    </w:p>
    <w:p>
      <w:r>
        <w:rPr>
          <w:rFonts w:ascii="맑은 고딕" w:hAnsi="맑은 고딕" w:eastAsia="맑은 고딕"/>
        </w:rPr>
        <w:t>로컬 퍼스트 원칙(6.5, 클레프만[3])의 최종 형태를 선언문으로 정리한다.</w:t>
      </w:r>
    </w:p>
    <w:p>
      <w:r>
        <w:rPr>
          <w:rFonts w:ascii="맑은 고딕" w:hAnsi="맑은 고딕" w:eastAsia="맑은 고딕"/>
        </w:rPr>
        <w:t xml:space="preserve">1. </w:t>
      </w:r>
      <w:r>
        <w:rPr>
          <w:rFonts w:ascii="맑은 고딕" w:hAnsi="맑은 고딕" w:eastAsia="맑은 고딕"/>
          <w:b/>
        </w:rPr>
        <w:t>원본은 집에</w:t>
      </w:r>
      <w:r>
        <w:rPr>
          <w:rFonts w:ascii="맑은 고딕" w:hAnsi="맑은 고딕" w:eastAsia="맑은 고딕"/>
        </w:rPr>
        <w:t>: 측정값·그래프·인식 데이터의 원본 저장소는 내 서버다. (주보프가 분석한 감시 자본주의의 원재료 수취 구조[4]로부터의 구조적 이탈이다.)</w:t>
      </w:r>
    </w:p>
    <w:p>
      <w:r>
        <w:rPr>
          <w:rFonts w:ascii="맑은 고딕" w:hAnsi="맑은 고딕" w:eastAsia="맑은 고딕"/>
        </w:rPr>
        <w:t xml:space="preserve">2. </w:t>
      </w:r>
      <w:r>
        <w:rPr>
          <w:rFonts w:ascii="맑은 고딕" w:hAnsi="맑은 고딕" w:eastAsia="맑은 고딕"/>
          <w:b/>
        </w:rPr>
        <w:t>이동은 내 결정으로</w:t>
      </w:r>
      <w:r>
        <w:rPr>
          <w:rFonts w:ascii="맑은 고딕" w:hAnsi="맑은 고딕" w:eastAsia="맑은 고딕"/>
        </w:rPr>
        <w:t>: 클라우드·외부 서비스로의 전송은 항목 단위의 명시적 선택이며, 기본값은 언제나 '안 보냄'이다.</w:t>
      </w:r>
    </w:p>
    <w:p>
      <w:r>
        <w:rPr>
          <w:rFonts w:ascii="맑은 고딕" w:hAnsi="맑은 고딕" w:eastAsia="맑은 고딕"/>
        </w:rPr>
        <w:t xml:space="preserve">3. </w:t>
      </w:r>
      <w:r>
        <w:rPr>
          <w:rFonts w:ascii="맑은 고딕" w:hAnsi="맑은 고딕" w:eastAsia="맑은 고딕"/>
          <w:b/>
        </w:rPr>
        <w:t>가족의 것은 가족의 동의로</w:t>
      </w:r>
      <w:r>
        <w:rPr>
          <w:rFonts w:ascii="맑은 고딕" w:hAnsi="맑은 고딕" w:eastAsia="맑은 고딕"/>
        </w:rPr>
        <w:t>: 수집 항목·보관 위치·열람 권한을 문서 한 장으로 합의한다(부록 D에 가족 합의서 양식).</w:t>
      </w:r>
    </w:p>
    <w:p>
      <w:r>
        <w:rPr>
          <w:rFonts w:ascii="맑은 고딕" w:hAnsi="맑은 고딕" w:eastAsia="맑은 고딕"/>
        </w:rPr>
        <w:t xml:space="preserve">4. </w:t>
      </w:r>
      <w:r>
        <w:rPr>
          <w:rFonts w:ascii="맑은 고딕" w:hAnsi="맑은 고딕" w:eastAsia="맑은 고딕"/>
          <w:b/>
        </w:rPr>
        <w:t>떠날 자유</w:t>
      </w:r>
      <w:r>
        <w:rPr>
          <w:rFonts w:ascii="맑은 고딕" w:hAnsi="맑은 고딕" w:eastAsia="맑은 고딕"/>
        </w:rPr>
        <w:t>: 모든 데이터는 표준 형식으로 내보낼 수 있어야 한다. 데이터 이동권은 EU GDPR이 명문화한 권리이기도 하다[5] — 우리는 그 권리를 자기 시스템에 스스로 보장한다. 온톨로지를 v1 표준 스키마로 유지한 이유 중 하나다. 당신의 기억은 특정 도구의 인질이 아니다.</w:t>
      </w:r>
    </w:p>
    <w:p>
      <w:r>
        <w:rPr>
          <w:rFonts w:ascii="맑은 고딕" w:hAnsi="맑은 고딕" w:eastAsia="맑은 고딕"/>
        </w:rPr>
        <w:t xml:space="preserve">5. </w:t>
      </w:r>
      <w:r>
        <w:rPr>
          <w:rFonts w:ascii="맑은 고딕" w:hAnsi="맑은 고딕" w:eastAsia="맑은 고딕"/>
          <w:b/>
        </w:rPr>
        <w:t>상속을 생각한다</w:t>
      </w:r>
      <w:r>
        <w:rPr>
          <w:rFonts w:ascii="맑은 고딕" w:hAnsi="맑은 고딕" w:eastAsia="맑은 고딕"/>
        </w:rPr>
        <w:t>: 이 지식그래프는 어쩌면 당신이 남길 가장 개인적인 기록이 된다. 접근 권한의 사후 처리를 유언장 쓰듯 정해 두라. 무겁지만, 어른의 시스템에는 어른의 조항이 필요하다.</w:t>
      </w:r>
    </w:p>
    <w:p>
      <w:pPr>
        <w:pStyle w:val="Heading2"/>
      </w:pPr>
      <w:r>
        <w:rPr>
          <w:rFonts w:ascii="맑은 고딕" w:hAnsi="맑은 고딕" w:eastAsia="맑은 고딕"/>
        </w:rPr>
        <w:t>18.4 의존과 자율 — 보조 바퀴의 윤리</w:t>
      </w:r>
    </w:p>
    <w:p>
      <w:r>
        <w:rPr>
          <w:rFonts w:ascii="맑은 고딕" w:hAnsi="맑은 고딕" w:eastAsia="맑은 고딕"/>
        </w:rPr>
        <w:t xml:space="preserve">마지막 위험은 해킹도 오작동도 아니다. </w:t>
      </w:r>
      <w:r>
        <w:rPr>
          <w:rFonts w:ascii="맑은 고딕" w:hAnsi="맑은 고딕" w:eastAsia="맑은 고딕"/>
          <w:b/>
        </w:rPr>
        <w:t>너무 잘 작동하는 것</w:t>
      </w:r>
      <w:r>
        <w:rPr>
          <w:rFonts w:ascii="맑은 고딕" w:hAnsi="맑은 고딕" w:eastAsia="맑은 고딕"/>
        </w:rPr>
        <w:t>이다.</w:t>
      </w:r>
    </w:p>
    <w:p>
      <w:r>
        <w:rPr>
          <w:rFonts w:ascii="맑은 고딕" w:hAnsi="맑은 고딕" w:eastAsia="맑은 고딕"/>
        </w:rPr>
        <w:t>자동화 연구는 이 역설을 오래 다뤄 왔다. 베인브리지의 고전 「자동화의 아이러니」는 자동화가 인간의 기량을 퇴화시키면서도, 정작 가장 어려운 순간(자동화가 실패한 순간)에 그 퇴화된 인간에게 개입을 요구하는 구조적 모순을 짚었다[6]. 파라수라만과 라일리는 자동화의 오용(과의존)과 불용(불신)을 인간-자동화 상호작용의 핵심 실패 양식으로 정식화했다[7]. 그리고 돌봄의 맥락에서 스패로 부부는 물었다 — 기계의 손에 맡겨진 노년은 더 존엄해지는가, 아니면 인간 접촉을 박탈당하는가[8].</w:t>
      </w:r>
    </w:p>
    <w:p>
      <w:r>
        <w:rPr>
          <w:rFonts w:ascii="맑은 고딕" w:hAnsi="맑은 고딕" w:eastAsia="맑은 고딕"/>
        </w:rPr>
        <w:t xml:space="preserve">이 경고들에 대한 우리의 공학적 응답이 </w:t>
      </w:r>
      <w:r>
        <w:rPr>
          <w:rFonts w:ascii="맑은 고딕" w:hAnsi="맑은 고딕" w:eastAsia="맑은 고딕"/>
          <w:b/>
        </w:rPr>
        <w:t>점감(漸減) 프로토콜</w:t>
      </w:r>
      <w:r>
        <w:rPr>
          <w:rFonts w:ascii="맑은 고딕" w:hAnsi="맑은 고딕" w:eastAsia="맑은 고딕"/>
        </w:rPr>
        <w:t xml:space="preserve">이다. 3장에서 로봇을 '외부 기저핵', 보조 바퀴라 불렀다. 보조 바퀴의 윤리는 하나다 — </w:t>
      </w:r>
      <w:r>
        <w:rPr>
          <w:rFonts w:ascii="맑은 고딕" w:hAnsi="맑은 고딕" w:eastAsia="맑은 고딕"/>
          <w:b/>
        </w:rPr>
        <w:t>언젠가 떼는 것을 목표로 단다.</w:t>
      </w:r>
      <w:r>
        <w:rPr>
          <w:rFonts w:ascii="맑은 고딕" w:hAnsi="맑은 고딕" w:eastAsia="맑은 고딕"/>
        </w:rPr>
        <w:t xml:space="preserve"> 교육심리학은 이것을 스캐폴딩(비계)이라 부른다. 우드·브루너·로스의 고전적 정의에서, 좋은 비계는 학습자가 할 수 없는 부분만 받쳐 주다가 능력이 자라는 만큼 철거되는 지지대다[9].</w:t>
      </w:r>
    </w:p>
    <w:p>
      <w:r>
        <w:rPr>
          <w:rFonts w:ascii="맑은 고딕" w:hAnsi="맑은 고딕" w:eastAsia="맑은 고딕"/>
        </w:rPr>
        <w:t>설계에 반영하는 법: 복약 준수율이 높게 유지되면(예: 4주 연속 95%), 로봇의 개입을 한 단계 낮춘다 — 트레이 서빙을 음성 알림으로, 음성 알림을 주간 리포트로. 사용자가 스스로 해내는 동안 로봇은 조용히 지켜보다가, 무너질 때만 다시 개입 수위를 올린다. 부록 B의 오케스트레이터 규칙에 기본 탑재했다.</w:t>
      </w:r>
    </w:p>
    <w:p>
      <w:r>
        <w:rPr>
          <w:rFonts w:ascii="맑은 고딕" w:hAnsi="맑은 고딕" w:eastAsia="맑은 고딕"/>
        </w:rPr>
        <w:t>돌봄의 목적은 의존이 아니라 자립이다. 로봇에게도, 사람에게도.</w:t>
      </w:r>
    </w:p>
    <w:p>
      <w:pPr>
        <w:pStyle w:val="Heading2"/>
      </w:pPr>
      <w:r>
        <w:rPr>
          <w:rFonts w:ascii="맑은 고딕" w:hAnsi="맑은 고딕" w:eastAsia="맑은 고딕"/>
        </w:rPr>
        <w:t>18장 체크리스트</w:t>
      </w:r>
    </w:p>
    <w:p>
      <w:pPr>
        <w:pStyle w:val="ListBullet"/>
      </w:pPr>
      <w:r>
        <w:rPr>
          <w:rFonts w:ascii="맑은 고딕" w:hAnsi="맑은 고딕" w:eastAsia="맑은 고딕"/>
        </w:rPr>
        <w:t>[ ] 3중 방어를 계절 점검 목록으로 만들었다</w:t>
      </w:r>
    </w:p>
    <w:p>
      <w:pPr>
        <w:pStyle w:val="ListBullet"/>
      </w:pPr>
      <w:r>
        <w:rPr>
          <w:rFonts w:ascii="맑은 고딕" w:hAnsi="맑은 고딕" w:eastAsia="맑은 고딕"/>
        </w:rPr>
        <w:t>[ ] '진료용 요약 출력'을 한 번 만들어 봤다</w:t>
      </w:r>
    </w:p>
    <w:p>
      <w:pPr>
        <w:pStyle w:val="ListBullet"/>
      </w:pPr>
      <w:r>
        <w:rPr>
          <w:rFonts w:ascii="맑은 고딕" w:hAnsi="맑은 고딕" w:eastAsia="맑은 고딕"/>
        </w:rPr>
        <w:t>[ ] 데이터 주권 5조를 가족과 공유했다 (합의서 서명)</w:t>
      </w:r>
    </w:p>
    <w:p>
      <w:pPr>
        <w:pStyle w:val="ListBullet"/>
      </w:pPr>
      <w:r>
        <w:rPr>
          <w:rFonts w:ascii="맑은 고딕" w:hAnsi="맑은 고딕" w:eastAsia="맑은 고딕"/>
        </w:rPr>
        <w:t>[ ] 자동화의 아이러니와 스캐폴딩 개념으로 점감 프로토콜을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점감 프로토콜이 켜져 있다</w:t>
      </w:r>
    </w:p>
    <w:p>
      <w:pPr>
        <w:pStyle w:val="Heading2"/>
      </w:pPr>
      <w:r>
        <w:rPr>
          <w:rFonts w:ascii="맑은 고딕" w:hAnsi="맑은 고딕" w:eastAsia="맑은 고딕"/>
        </w:rPr>
        <w:t>◆ 18장 미주</w:t>
      </w:r>
    </w:p>
    <w:p>
      <w:r>
        <w:rPr>
          <w:rFonts w:ascii="맑은 고딕" w:hAnsi="맑은 고딕" w:eastAsia="맑은 고딕"/>
        </w:rPr>
        <w:t>[1] Reason, J. (2000). Human error: Models and management. *BMJ*, 320(7237), 768–770.</w:t>
      </w:r>
    </w:p>
    <w:p>
      <w:r>
        <w:rPr>
          <w:rFonts w:ascii="맑은 고딕" w:hAnsi="맑은 고딕" w:eastAsia="맑은 고딕"/>
        </w:rPr>
        <w:t>[2] Topol, E. (2019). *Deep Medicine*. Basic Books.</w:t>
      </w:r>
    </w:p>
    <w:p>
      <w:r>
        <w:rPr>
          <w:rFonts w:ascii="맑은 고딕" w:hAnsi="맑은 고딕" w:eastAsia="맑은 고딕"/>
        </w:rPr>
        <w:t>[3] Kleppmann, M., Wiggins, A., van Hardenberg, P., &amp; McGranaghan, M. (2019). Local-first software: You own your data, in spite of the cloud. *Onward! 2019*, 154–178.</w:t>
      </w:r>
    </w:p>
    <w:p>
      <w:r>
        <w:rPr>
          <w:rFonts w:ascii="맑은 고딕" w:hAnsi="맑은 고딕" w:eastAsia="맑은 고딕"/>
        </w:rPr>
        <w:t>[4] Zuboff, S. (2019). *The Age of Surveillance Capitalism*. PublicAffairs.</w:t>
      </w:r>
    </w:p>
    <w:p>
      <w:r>
        <w:rPr>
          <w:rFonts w:ascii="맑은 고딕" w:hAnsi="맑은 고딕" w:eastAsia="맑은 고딕"/>
        </w:rPr>
        <w:t>[5] European Union. (2016). General Data Protection Regulation (GDPR), Article 20 (Right to data portability). [메모: 국내 개인정보보호법의 전송요구권 조항 병기 — 전문가 감수]</w:t>
      </w:r>
    </w:p>
    <w:p>
      <w:r>
        <w:rPr>
          <w:rFonts w:ascii="맑은 고딕" w:hAnsi="맑은 고딕" w:eastAsia="맑은 고딕"/>
        </w:rPr>
        <w:t>[6] Bainbridge, L. (1983). Ironies of automation. *Automatica*, 19(6), 775–779.</w:t>
      </w:r>
    </w:p>
    <w:p>
      <w:r>
        <w:rPr>
          <w:rFonts w:ascii="맑은 고딕" w:hAnsi="맑은 고딕" w:eastAsia="맑은 고딕"/>
        </w:rPr>
        <w:t>[7] Parasuraman, R., &amp; Riley, V. (1997). Humans and automation: Use, misuse, disuse, abuse. *Human Factors*, 39(2), 230–253.</w:t>
      </w:r>
    </w:p>
    <w:p>
      <w:r>
        <w:rPr>
          <w:rFonts w:ascii="맑은 고딕" w:hAnsi="맑은 고딕" w:eastAsia="맑은 고딕"/>
        </w:rPr>
        <w:t>[8] Sparrow, R., &amp; Sparrow, L. (2006). In the hands of machines? The future of aged care. *Minds and Machines*, 16(2), 141–161.</w:t>
      </w:r>
    </w:p>
    <w:p>
      <w:r>
        <w:rPr>
          <w:rFonts w:ascii="맑은 고딕" w:hAnsi="맑은 고딕" w:eastAsia="맑은 고딕"/>
        </w:rPr>
        <w:t>[9] Wood, D., Bruner, J. S., &amp; Ross, G. (1976). The role of tutoring in problem solving. *Journal of Child Psychology and Psychiatry*, 17(2), 89–100.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19장. 피지컬 AI와 뇌경영의 미래</w:t>
      </w:r>
    </w:p>
    <w:p>
      <w:pPr>
        <w:pStyle w:val="Heading2"/>
      </w:pPr>
      <w:r>
        <w:rPr>
          <w:rFonts w:ascii="맑은 고딕" w:hAnsi="맑은 고딕" w:eastAsia="맑은 고딕"/>
        </w:rPr>
        <w:t>장면 하나</w:t>
      </w:r>
    </w:p>
    <w:p>
      <w:r>
        <w:rPr>
          <w:rFonts w:ascii="맑은 고딕" w:hAnsi="맑은 고딕" w:eastAsia="맑은 고딕"/>
        </w:rPr>
        <w:t xml:space="preserve">이 책의 초고를 쓰는 동안에도 풍경은 계속 바뀌었다. 휴머노이드 가격은 또 내렸고, 파운데이션 모델은 세대를 갈아탔다. 그래서 이 마지막 장은 예언을 하지 않는다. 대신 </w:t>
      </w:r>
      <w:r>
        <w:rPr>
          <w:rFonts w:ascii="맑은 고딕" w:hAnsi="맑은 고딕" w:eastAsia="맑은 고딕"/>
          <w:b/>
        </w:rPr>
        <w:t>변하지 않을 것 세 가지</w:t>
      </w:r>
      <w:r>
        <w:rPr>
          <w:rFonts w:ascii="맑은 고딕" w:hAnsi="맑은 고딕" w:eastAsia="맑은 고딕"/>
        </w:rPr>
        <w:t>에 대해 쓴다. 빠르게 변하는 시대에 책이 할 수 있는 일은 그것이다.</w:t>
      </w:r>
    </w:p>
    <w:p>
      <w:pPr>
        <w:pStyle w:val="Heading2"/>
      </w:pPr>
      <w:r>
        <w:rPr>
          <w:rFonts w:ascii="맑은 고딕" w:hAnsi="맑은 고딕" w:eastAsia="맑은 고딕"/>
        </w:rPr>
        <w:t>19.1 변하지 않을 것 하나 — 가격은 내려가고, 몸은 흔해진다</w:t>
      </w:r>
    </w:p>
    <w:p>
      <w:r>
        <w:rPr>
          <w:rFonts w:ascii="맑은 고딕" w:hAnsi="맑은 고딕" w:eastAsia="맑은 고딕"/>
        </w:rPr>
        <w:t>정확한 연도는 틀리겠지만 방향은 틀리지 않을 것이다. 로저스의 혁신 확산 이론이 그리는 S자 곡선[1]에서 가정용 휴머노이드는 아직 왼쪽 끝, '혁신가' 구간에 있다 — 이 책의 독자가 바로 그 구간의 사람들이다. 스마트폰이 걸었던 길(사치품에서 필수품으로, 10년)을 휴머노이드가 걷는다면, '1가구 1로봇'이라는 말은 언젠가 통계가 될 것이다. 한국의 인구 구조 — 세계에서 가장 빠른 고령화와 1인 가구의 증가 — 는 이 확산의 압력을 더할 것이다. [메모: 통계청 고령화·1인 가구 최신 통계 인용 확정]</w:t>
      </w:r>
    </w:p>
    <w:p>
      <w:r>
        <w:rPr>
          <w:rFonts w:ascii="맑은 고딕" w:hAnsi="맑은 고딕" w:eastAsia="맑은 고딕"/>
        </w:rPr>
        <w:t xml:space="preserve">그날이 오면 이 책의 하드웨어 장들(9장, 14장)은 낡을 것이다. 괜찮다. 그러라고 가격표를 전부 부록으로 빼 두었다. 낡지 않는 것은 질문이다 — </w:t>
      </w:r>
      <w:r>
        <w:rPr>
          <w:rFonts w:ascii="맑은 고딕" w:hAnsi="맑은 고딕" w:eastAsia="맑은 고딕"/>
          <w:b/>
        </w:rPr>
        <w:t>흔해진 몸에 무엇을 담을 것인가.</w:t>
      </w:r>
    </w:p>
    <w:p>
      <w:pPr>
        <w:pStyle w:val="Heading2"/>
      </w:pPr>
      <w:r>
        <w:rPr>
          <w:rFonts w:ascii="맑은 고딕" w:hAnsi="맑은 고딕" w:eastAsia="맑은 고딕"/>
        </w:rPr>
        <w:t>19.2 변하지 않을 것 둘 — 개인 온톨로지가 자산이 된다</w:t>
      </w:r>
    </w:p>
    <w:p>
      <w:r>
        <w:rPr>
          <w:rFonts w:ascii="맑은 고딕" w:hAnsi="맑은 고딕" w:eastAsia="맑은 고딕"/>
        </w:rPr>
        <w:t>몸이 흔해질수록 희소해지는 것이 당신의 지식그래프다.</w:t>
      </w:r>
    </w:p>
    <w:p>
      <w:r>
        <w:rPr>
          <w:rFonts w:ascii="맑은 고딕" w:hAnsi="맑은 고딕" w:eastAsia="맑은 고딕"/>
        </w:rPr>
        <w:t>16장의 두 로봇을 기억하라. 같은 공장, 같은 하드웨어, 완전히 다른 존재. 그 차이는 시간이 갈수록 벌어진다. 지식그래프는 복리로 자라는 자산이기 때문이다 — 오늘 그은 선 하나가 내일의 질의를 가능하게 하고, 그 질의가 모레의 선을 낳는다.</w:t>
      </w:r>
    </w:p>
    <w:p>
      <w:r>
        <w:rPr>
          <w:rFonts w:ascii="맑은 고딕" w:hAnsi="맑은 고딕" w:eastAsia="맑은 고딕"/>
        </w:rPr>
        <w:t xml:space="preserve">이것이 뜻하는 미래 하나: </w:t>
      </w:r>
      <w:r>
        <w:rPr>
          <w:rFonts w:ascii="맑은 고딕" w:hAnsi="맑은 고딕" w:eastAsia="맑은 고딕"/>
          <w:b/>
        </w:rPr>
        <w:t>로봇을 바꾸는 일은 폰 기변처럼 가벼워지고, 지식그래프를 잃는 일은 화재처럼 무거워진다.</w:t>
      </w:r>
      <w:r>
        <w:rPr>
          <w:rFonts w:ascii="맑은 고딕" w:hAnsi="맑은 고딕" w:eastAsia="맑은 고딕"/>
        </w:rPr>
        <w:t xml:space="preserve"> 백업하라(18.3). 표준 형식을 지켜라. 그리고 어쩌면 — 물려줘라. 당신의 손주가 물려받는 것이 사진첩만이 아니라, 3대의 건강 패턴이 새겨진 살아 있는 그래프일 수도 있는 시대가 오고 있다. (그 상속의 법적·윤리적 틀은 아직 사회가 만드는 중이다 — 18.3의 5조가 개인이 지금 할 수 있는 준비다.)</w:t>
      </w:r>
    </w:p>
    <w:p>
      <w:pPr>
        <w:pStyle w:val="Heading2"/>
      </w:pPr>
      <w:r>
        <w:rPr>
          <w:rFonts w:ascii="맑은 고딕" w:hAnsi="맑은 고딕" w:eastAsia="맑은 고딕"/>
        </w:rPr>
        <w:t>19.3 변하지 않을 것 셋 — 중심은 여전히 사람이다</w:t>
      </w:r>
    </w:p>
    <w:p>
      <w:r>
        <w:rPr>
          <w:rFonts w:ascii="맑은 고딕" w:hAnsi="맑은 고딕" w:eastAsia="맑은 고딕"/>
        </w:rPr>
        <w:t>전작의 공식으로 돌아가 끝내자.</w:t>
      </w:r>
    </w:p>
    <w:p>
      <w:pPr>
        <w:pStyle w:val="Quote"/>
      </w:pPr>
      <w:r>
        <w:rPr>
          <w:rFonts w:ascii="맑은 고딕" w:hAnsi="맑은 고딕" w:eastAsia="맑은 고딕"/>
        </w:rPr>
        <w:t>몸(1st) × 지식(2nd) × AI(3rd) × 로봇(4th)</w:t>
      </w:r>
    </w:p>
    <w:p>
      <w:r>
        <w:rPr>
          <w:rFonts w:ascii="맑은 고딕" w:hAnsi="맑은 고딕" w:eastAsia="맑은 고딕"/>
        </w:rPr>
        <w:t>곱셈의 냉정한 산수도 그대로다 — 어느 항이든 0이면 전체가 0이다. 로봇이 네 번째 항으로 곱해진 뒤에도, 아니 곱해졌기 때문에 더욱, 첫 항의 무게는 커졌다. 로봇이 아무리 성실히 약을 건네도 삼키는 것은 당신이고, 걷자고 권해도 현관을 나서는 것은 당신의 다리다.</w:t>
      </w:r>
    </w:p>
    <w:p>
      <w:r>
        <w:rPr>
          <w:rFonts w:ascii="맑은 고딕" w:hAnsi="맑은 고딕" w:eastAsia="맑은 고딕"/>
        </w:rPr>
        <w:t>한나 아렌트는 인간의 활동을 노동(labor)·작업(work)·행위(action)로 구분했다[2]. 생존을 위해 반복되는 노동, 지속하는 사물을 만드는 작업, 그리고 사람들 사이에서 말과 시작으로 이루어지는 행위. 이 구분을 빌리면 우리 프로젝트의 야심이 정확해진다 — 로봇에게 넘기는 것은 돌봄의 '노동'이다(약 나르기, 기록하기). 이 책을 따라 시스템을 지은 것은 '작업'이었다(당신은 지속하는 무언가를 만들었다). 그리고 그 덕분에 되찾은 시간과 기력으로 할 일 — 아버지와 통화하고, 손주와 걷고, 새로 시작하는 일 — 그것이 '행위'이며, 그것만은 어떤 항으로도 대체되지 않는다.</w:t>
      </w:r>
    </w:p>
    <w:p>
      <w:r>
        <w:rPr>
          <w:rFonts w:ascii="맑은 고딕" w:hAnsi="맑은 고딕" w:eastAsia="맑은 고딕"/>
        </w:rPr>
        <w:t xml:space="preserve">피지컬 AI의 시대에 대체 불가능한 사람은 로봇을 가진 사람이 아니다. </w:t>
      </w:r>
      <w:r>
        <w:rPr>
          <w:rFonts w:ascii="맑은 고딕" w:hAnsi="맑은 고딕" w:eastAsia="맑은 고딕"/>
          <w:b/>
        </w:rPr>
        <w:t>로봇에게 줄 '나'가 있는 사람</w:t>
      </w:r>
      <w:r>
        <w:rPr>
          <w:rFonts w:ascii="맑은 고딕" w:hAnsi="맑은 고딕" w:eastAsia="맑은 고딕"/>
        </w:rPr>
        <w:t xml:space="preserve"> — 돌볼 몸이 있고, 쌓아 온 지식이 있고, 그것을 연결할 줄 아는 사람이다. 뇌경영의 결론은 기술이 아무리 바뀌어도 같은 자리로 돌아온다. 당신을 경영하라. 도구는 따라온다.</w:t>
      </w:r>
    </w:p>
    <w:p>
      <w:pPr>
        <w:pStyle w:val="Heading2"/>
      </w:pPr>
      <w:r>
        <w:rPr>
          <w:rFonts w:ascii="맑은 고딕" w:hAnsi="맑은 고딕" w:eastAsia="맑은 고딕"/>
        </w:rPr>
        <w:t>19장 체크리스트 (마지막 체크리스트)</w:t>
      </w:r>
    </w:p>
    <w:p>
      <w:pPr>
        <w:pStyle w:val="ListBullet"/>
      </w:pPr>
      <w:r>
        <w:rPr>
          <w:rFonts w:ascii="맑은 고딕" w:hAnsi="맑은 고딕" w:eastAsia="맑은 고딕"/>
        </w:rPr>
        <w:t>[ ] 혁신 확산 곡선에서 나의 현재 위치(혁신가 구간)를 안다</w:t>
      </w:r>
    </w:p>
    <w:p>
      <w:pPr>
        <w:pStyle w:val="ListBullet"/>
      </w:pPr>
      <w:r>
        <w:rPr>
          <w:rFonts w:ascii="맑은 고딕" w:hAnsi="맑은 고딕" w:eastAsia="맑은 고딕"/>
        </w:rPr>
        <w:t>[ ] 하드웨어 지식과 온톨로지 자산의 수명 차이를 설명할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내 지식그래프의 백업·이관 계획이 있다</w:t>
      </w:r>
    </w:p>
    <w:p>
      <w:pPr>
        <w:pStyle w:val="ListBullet"/>
      </w:pPr>
      <w:r>
        <w:rPr>
          <w:rFonts w:ascii="맑은 고딕" w:hAnsi="맑은 고딕" w:eastAsia="맑은 고딕"/>
        </w:rPr>
        <w:t>[ ] 노동·작업·행위의 구분으로 이 프로젝트의 의미를 말할 수 있다</w:t>
      </w:r>
    </w:p>
    <w:p>
      <w:pPr>
        <w:pStyle w:val="ListBullet"/>
      </w:pPr>
      <w:r>
        <w:rPr>
          <w:rFonts w:ascii="맑은 고딕" w:hAnsi="맑은 고딕" w:eastAsia="맑은 고딕"/>
        </w:rPr>
        <w:t>[ ] 네 항 중 지금 나의 가장 약한 항을 알고, 다음 30일의 보강 계획이 있다</w:t>
      </w:r>
    </w:p>
    <w:p>
      <w:pPr>
        <w:pStyle w:val="Heading2"/>
      </w:pPr>
      <w:r>
        <w:rPr>
          <w:rFonts w:ascii="맑은 고딕" w:hAnsi="맑은 고딕" w:eastAsia="맑은 고딕"/>
        </w:rPr>
        <w:t>◆ 19장 미주</w:t>
      </w:r>
    </w:p>
    <w:p>
      <w:r>
        <w:rPr>
          <w:rFonts w:ascii="맑은 고딕" w:hAnsi="맑은 고딕" w:eastAsia="맑은 고딕"/>
        </w:rPr>
        <w:t>[1] Rogers, E. M. (2003). *Diffusion of Innovations* (5th ed.). Free Press.</w:t>
      </w:r>
    </w:p>
    <w:p>
      <w:r>
        <w:rPr>
          <w:rFonts w:ascii="맑은 고딕" w:hAnsi="맑은 고딕" w:eastAsia="맑은 고딕"/>
        </w:rPr>
        <w:t>[2] Arendt, H. (1958). *The Human Condition*. University of Chicago Press. (국역: 『인간의 조건』)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에필로그 — 대체되지 않는 사람</w:t>
      </w:r>
    </w:p>
    <w:p>
      <w:r>
        <w:rPr>
          <w:rFonts w:ascii="맑은 고딕" w:hAnsi="맑은 고딕" w:eastAsia="맑은 고딕"/>
        </w:rPr>
        <w:t>고백으로 끝내려 한다.</w:t>
      </w:r>
    </w:p>
    <w:p>
      <w:r>
        <w:rPr>
          <w:rFonts w:ascii="맑은 고딕" w:hAnsi="맑은 고딕" w:eastAsia="맑은 고딕"/>
        </w:rPr>
        <w:t>이 책의 기획은 로봇 책이었다. 그런데 원고를 마친 지금 돌아보면, 로봇을 만드는 열 달 동안 가장 크게 바뀐 것은 로봇이 아니라 나였다.</w:t>
      </w:r>
    </w:p>
    <w:p>
      <w:r>
        <w:rPr>
          <w:rFonts w:ascii="맑은 고딕" w:hAnsi="맑은 고딕" w:eastAsia="맑은 고딕"/>
        </w:rPr>
        <w:t>혈압을 재는 사람이 되었다. 매일 아침, 로봇이 지켜보는 앞에서. 약속을 지키는 사람이 되었다 — 스스로와 한 약속 말이다. 30일 운영기의 준수율 그래프가 오르는 것을 보며, 나는 그것이 로봇의 성적표가 아니라 내 것임을 알았다. 그리고 아버지와 통화할 거리가 생겼다. "아버지, 이번 주 걷기 1등이시던데요." 데이터가 효도를 대신하지는 못하지만, 효도의 말문은 자주 틔워 주었다.</w:t>
      </w:r>
    </w:p>
    <w:p>
      <w:r>
        <w:rPr>
          <w:rFonts w:ascii="맑은 고딕" w:hAnsi="맑은 고딕" w:eastAsia="맑은 고딕"/>
        </w:rPr>
        <w:t>『서드브레인』을 낸 뒤 가장 많이 받은 질문은 이것이었다. "AI가 다 해 주면, 결국 인간은 뭘 하죠?"</w:t>
      </w:r>
    </w:p>
    <w:p>
      <w:r>
        <w:rPr>
          <w:rFonts w:ascii="맑은 고딕" w:hAnsi="맑은 고딕" w:eastAsia="맑은 고딕"/>
        </w:rPr>
        <w:t xml:space="preserve">로봇에게 열 달 동안 나를 가르치고 난 지금, 나의 답은 더 분명해졌다. AI가 글을 쓰고 로봇이 약을 건네는 시대에도 끝내 남는 일이 있다. </w:t>
      </w:r>
      <w:r>
        <w:rPr>
          <w:rFonts w:ascii="맑은 고딕" w:hAnsi="맑은 고딕" w:eastAsia="맑은 고딕"/>
          <w:b/>
        </w:rPr>
        <w:t>살아내는 일이다.</w:t>
      </w:r>
      <w:r>
        <w:rPr>
          <w:rFonts w:ascii="맑은 고딕" w:hAnsi="맑은 고딕" w:eastAsia="맑은 고딕"/>
        </w:rPr>
        <w:t xml:space="preserve"> 몸으로 아침을 맞고, 무언가를 배워 기록하고, 사랑하는 사람의 이름을 그래프의 첫 노드로 적는 일. 아렌트의 언어로는, 노동을 기계에 넘긴 자리에서 비로소 시작되는 '행위'의 삶이다. 그 일을 하는 사람은 대체되지 않는다. 확장될 뿐이다.</w:t>
      </w:r>
    </w:p>
    <w:p>
      <w:r>
        <w:rPr>
          <w:rFonts w:ascii="맑은 고딕" w:hAnsi="맑은 고딕" w:eastAsia="맑은 고딕"/>
        </w:rPr>
        <w:t>당신의 차례다. 거창하게 시작할 것 없다. 오늘 밤, 실습 0의 목록 — 로봇에게 시키고 싶은 일 10가지 — 을 적는 것으로 충분하다. 그 종이 한 장이, 언젠가 아침 7시의 부엌에서 당신에게 약을 건네는 손이 된다.</w:t>
      </w:r>
    </w:p>
    <w:p>
      <w:r>
        <w:rPr>
          <w:rFonts w:ascii="맑은 고딕" w:hAnsi="맑은 고딕" w:eastAsia="맑은 고딕"/>
        </w:rPr>
        <w:t>그 아침에서 다시 만나자.</w:t>
      </w:r>
    </w:p>
    <w:p>
      <w:r>
        <w:rPr>
          <w:rFonts w:ascii="맑은 고딕" w:hAnsi="맑은 고딕" w:eastAsia="맑은 고딕"/>
        </w:rPr>
        <w:t>[메모: 에필로그 뒤 — 감사의 말, 커뮤니티·저장소·뉴스레터 QR]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부록</w:t>
      </w:r>
    </w:p>
    <w:p>
      <w:pPr>
        <w:pStyle w:val="Heading2"/>
      </w:pPr>
      <w:r>
        <w:rPr>
          <w:rFonts w:ascii="맑은 고딕" w:hAnsi="맑은 고딕" w:eastAsia="맑은 고딕"/>
        </w:rPr>
        <w:t>부록 A — 부품·기기 리스트 (전체 BOM)</w:t>
      </w:r>
    </w:p>
    <w:p>
      <w:r>
        <w:rPr>
          <w:rFonts w:ascii="맑은 고딕" w:hAnsi="맑은 고딕" w:eastAsia="맑은 고딕"/>
          <w:b/>
        </w:rPr>
        <w:t>구성 원칙</w:t>
      </w:r>
      <w:r>
        <w:rPr>
          <w:rFonts w:ascii="맑은 고딕" w:hAnsi="맑은 고딕" w:eastAsia="맑은 고딕"/>
        </w:rPr>
        <w:t>: 본문의 모든 가격·모델명이 이 표로 모인다. 개정판마다 이 부록만 갱신한다. [메모: 아래는 표의 뼈대 — 출간 직전 실구매 검증 후 확정]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A-1. 2부 데이터 장비</w:t>
      </w:r>
      <w:r>
        <w:rPr>
          <w:rFonts w:ascii="맑은 고딕" w:hAnsi="맑은 고딕" w:eastAsia="맑은 고딕"/>
        </w:rPr>
        <w:t>: 블루투스 혈압계(상완형) / CGM(국내 구매 경로·처방 여부 명기) / EEG 밴드(뮤즈급, 선택) / 홈서버(라즈베리파이5 · 미니PC 16GB 두 경로) / NFC 태그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A-2. 3부 DIY 로봇</w:t>
      </w:r>
      <w:r>
        <w:rPr>
          <w:rFonts w:ascii="맑은 고딕" w:hAnsi="맑은 고딕" w:eastAsia="맑은 고딕"/>
        </w:rPr>
        <w:t>: 젯슨 오린 나노 키트 / SO-101 리더·팔로워 부품표(서보 규격·수량) / 3D프린팅 파일 목록과 출력 대행 팁 / 웹캠·마이크·스피커 권장 사양 / 로봇 친화 약 트레이 도면 번호 / 공구 목록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A-3. 4부 휴머노이드</w:t>
      </w:r>
      <w:r>
        <w:rPr>
          <w:rFonts w:ascii="맑은 고딕" w:hAnsi="맑은 고딕" w:eastAsia="맑은 고딕"/>
        </w:rPr>
        <w:t>: 체급별 기종 비교표(가격·자유도·페이로드·SDK·국내 AS — 출간 시점 기준) / 시뮬레이션용 PC 권장 사양(GPU) / 클라우드 GPU 대안 요금 감각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A-4. 검색어·링크 모음</w:t>
      </w:r>
      <w:r>
        <w:rPr>
          <w:rFonts w:ascii="맑은 고딕" w:hAnsi="맑은 고딕" w:eastAsia="맑은 고딕"/>
        </w:rPr>
        <w:t>: 실습 0의 데모 영상 검색어, 공식 문서 진입점, 커뮤니티 주소 (전부 저장소 고정 URL 경유 — 링크 부패 방지)</w:t>
      </w:r>
    </w:p>
    <w:p>
      <w:pPr>
        <w:pStyle w:val="Heading2"/>
      </w:pPr>
      <w:r>
        <w:rPr>
          <w:rFonts w:ascii="맑은 고딕" w:hAnsi="맑은 고딕" w:eastAsia="맑은 고딕"/>
        </w:rPr>
        <w:t>부록 B — 코드와 스키마</w:t>
      </w:r>
    </w:p>
    <w:p>
      <w:r>
        <w:rPr>
          <w:rFonts w:ascii="맑은 고딕" w:hAnsi="맑은 고딕" w:eastAsia="맑은 고딕"/>
          <w:b/>
        </w:rPr>
        <w:t>구성 원칙</w:t>
      </w:r>
      <w:r>
        <w:rPr>
          <w:rFonts w:ascii="맑은 고딕" w:hAnsi="맑은 고딕" w:eastAsia="맑은 고딕"/>
        </w:rPr>
        <w:t>: 책에는 '무엇이 있는지'만, 코드 전문은 저장소에. 종이의 코드는 낡지만 저장소는 자란다.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B-1. 저장소 구조 안내</w:t>
      </w:r>
      <w:r>
        <w:rPr>
          <w:rFonts w:ascii="맑은 고딕" w:hAnsi="맑은 고딕" w:eastAsia="맑은 고딕"/>
        </w:rPr>
        <w:t>: 장별 폴더 구성, 원클릭 셋업 스크립트 사용법, 버전 태그 정책(책 인쇄 시점 태그 고정)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B-2. 서드브레인 표준 개인 온톨로지 v1</w:t>
      </w:r>
      <w:r>
        <w:rPr>
          <w:rFonts w:ascii="맑은 고딕" w:hAnsi="맑은 고딕" w:eastAsia="맑은 고딕"/>
        </w:rPr>
        <w:t>: 노드 6종·관계 6종 정의 전문(JSON 스키마 + Neo4j Cypher 생성문), 프런트매터 규약, 장소 노드 확장(16.3) 포함 v1.1 명세, 표준 의료 온톨로지(SNOMED CT·의약품표준코드) 매핑 로드맵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B-3. 핵심 설정 원문</w:t>
      </w:r>
      <w:r>
        <w:rPr>
          <w:rFonts w:ascii="맑은 고딕" w:hAnsi="맑은 고딕" w:eastAsia="맑은 고딕"/>
        </w:rPr>
        <w:t>: AI 사서 시스템 프롬프트 전문(8.6의 금지 4조 + 상관/인과 구분 규칙 + 공감 연기 금지 규칙 포함) / 이중 안전망 임계값 기본표(성인 기준 + '주치의와 조정' 각주) / 오케스트레이터 규칙 문법과 예제 12개 / 점감 프로토콜 기본값(18.4)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B-4. 진료용 요약 출력 레시피</w:t>
      </w:r>
      <w:r>
        <w:rPr>
          <w:rFonts w:ascii="맑은 고딕" w:hAnsi="맑은 고딕" w:eastAsia="맑은 고딕"/>
        </w:rPr>
        <w:t>: 가정혈압 표준 양식, 복약 준수 리포트, 의사에게 보여 주는 법</w:t>
      </w:r>
    </w:p>
    <w:p>
      <w:pPr>
        <w:pStyle w:val="Heading2"/>
      </w:pPr>
      <w:r>
        <w:rPr>
          <w:rFonts w:ascii="맑은 고딕" w:hAnsi="맑은 고딕" w:eastAsia="맑은 고딕"/>
        </w:rPr>
        <w:t>부록 C — 용어집 (60항목)</w:t>
      </w:r>
    </w:p>
    <w:p>
      <w:r>
        <w:rPr>
          <w:rFonts w:ascii="맑은 고딕" w:hAnsi="맑은 고딕" w:eastAsia="맑은 고딕"/>
          <w:b/>
        </w:rPr>
        <w:t>구성 원칙</w:t>
      </w:r>
      <w:r>
        <w:rPr>
          <w:rFonts w:ascii="맑은 고딕" w:hAnsi="맑은 고딕" w:eastAsia="맑은 고딕"/>
        </w:rPr>
        <w:t>: 가나다순, 각 항목 2줄 이내 + 본문 참조 장 표기. [메모: 최종 원고 확정 후 일괄 추출 — 아래는 표본 10개]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그래프 RAG</w:t>
      </w:r>
      <w:r>
        <w:rPr>
          <w:rFonts w:ascii="맑은 고딕" w:hAnsi="맑은 고딕" w:eastAsia="맑은 고딕"/>
        </w:rPr>
        <w:t>: 지식그래프에서 관계를 검색해 근거로 삼는 AI 응답 방식. (8장)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도메인 랜덤화</w:t>
      </w:r>
      <w:r>
        <w:rPr>
          <w:rFonts w:ascii="맑은 고딕" w:hAnsi="맑은 고딕" w:eastAsia="맑은 고딕"/>
        </w:rPr>
        <w:t>: 시뮬레이션 조건을 무작위로 다양화해 현실 전이를 돕는 기법. (15장)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모방학습</w:t>
      </w:r>
      <w:r>
        <w:rPr>
          <w:rFonts w:ascii="맑은 고딕" w:hAnsi="맑은 고딕" w:eastAsia="맑은 고딕"/>
        </w:rPr>
        <w:t>: 사람의 시연 데이터로 동작을 익히는 방법. 코드 대신 손짓으로 가르친다. (11장)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불쾌한 골짜기</w:t>
      </w:r>
      <w:r>
        <w:rPr>
          <w:rFonts w:ascii="맑은 고딕" w:hAnsi="맑은 고딕" w:eastAsia="맑은 고딕"/>
        </w:rPr>
        <w:t>: 로봇이 인간을 거의 닮은 지점에서 호감이 급락하는 현상 가설. (14장)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스캐폴딩</w:t>
      </w:r>
      <w:r>
        <w:rPr>
          <w:rFonts w:ascii="맑은 고딕" w:hAnsi="맑은 고딕" w:eastAsia="맑은 고딕"/>
        </w:rPr>
        <w:t>: 능력이 자라는 만큼 철거되는 학습 지지대. 점감 프로토콜의 교육학적 원리. (18장)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어포던스</w:t>
      </w:r>
      <w:r>
        <w:rPr>
          <w:rFonts w:ascii="맑은 고딕" w:hAnsi="맑은 고딕" w:eastAsia="맑은 고딕"/>
        </w:rPr>
        <w:t>: 환경이 행위자에게 제공하는 행위 가능성. (4·9장)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온톨로지</w:t>
      </w:r>
      <w:r>
        <w:rPr>
          <w:rFonts w:ascii="맑은 고딕" w:hAnsi="맑은 고딕" w:eastAsia="맑은 고딕"/>
        </w:rPr>
        <w:t>: 개념화의 명시적 명세 — 어떤 것들이 있고 어떻게 관계 맺는지의 기계가독 약속. (7장)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체화된 인지</w:t>
      </w:r>
      <w:r>
        <w:rPr>
          <w:rFonts w:ascii="맑은 고딕" w:hAnsi="맑은 고딕" w:eastAsia="맑은 고딕"/>
        </w:rPr>
        <w:t>: 지능은 몸-세계 상호작용에서 구성된다는 인지과학 관점. (3장)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행동 간극</w:t>
      </w:r>
      <w:r>
        <w:rPr>
          <w:rFonts w:ascii="맑은 고딕" w:hAnsi="맑은 고딕" w:eastAsia="맑은 고딕"/>
        </w:rPr>
        <w:t>: 지식이 저장만 되고 행동으로 이어지지 못하는 두 번째 뇌의 한계. (2장)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Sim2Real</w:t>
      </w:r>
      <w:r>
        <w:rPr>
          <w:rFonts w:ascii="맑은 고딕" w:hAnsi="맑은 고딕" w:eastAsia="맑은 고딕"/>
        </w:rPr>
        <w:t>: 시뮬레이션에서 훈련한 능력을 현실 로봇으로 옮기는 과정과 기법. (15장)</w:t>
      </w:r>
    </w:p>
    <w:p>
      <w:pPr>
        <w:pStyle w:val="Heading2"/>
      </w:pPr>
      <w:r>
        <w:rPr>
          <w:rFonts w:ascii="맑은 고딕" w:hAnsi="맑은 고딕" w:eastAsia="맑은 고딕"/>
        </w:rPr>
        <w:t>부록 D — 30일 실행 체크리스트</w:t>
      </w:r>
    </w:p>
    <w:p>
      <w:r>
        <w:rPr>
          <w:rFonts w:ascii="맑은 고딕" w:hAnsi="맑은 고딕" w:eastAsia="맑은 고딕"/>
          <w:b/>
        </w:rPr>
        <w:t>구성 원칙</w:t>
      </w:r>
      <w:r>
        <w:rPr>
          <w:rFonts w:ascii="맑은 고딕" w:hAnsi="맑은 고딕" w:eastAsia="맑은 고딕"/>
        </w:rPr>
        <w:t>: 실습 0~14를 '주말 중심 30일'로 재배열한 한 장짜리 로드맵. 책의 마지막 페이지이자, 복사해서 냉장고에 붙이는 페이지.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D-1. 준비 주간(1~7일)</w:t>
      </w:r>
      <w:r>
        <w:rPr>
          <w:rFonts w:ascii="맑은 고딕" w:hAnsi="맑은 고딕" w:eastAsia="맑은 고딕"/>
        </w:rPr>
        <w:t>: 실습 0(목록) → 0.5(자가진단) → 0.7(태깅) → 1(캔버스) → 2 시작(수동 기록 7일) + 부품 주문(실습 6 병행)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D-2. 데이터 주간(8~14일)</w:t>
      </w:r>
      <w:r>
        <w:rPr>
          <w:rFonts w:ascii="맑은 고딕" w:hAnsi="맑은 고딕" w:eastAsia="맑은 고딕"/>
        </w:rPr>
        <w:t>: 실습 3(파이프라인 개통) → 4(복약 온톨로지) → 5(아침 브리핑)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D-3. 로봇 주말 ×2(15~28일)</w:t>
      </w:r>
      <w:r>
        <w:rPr>
          <w:rFonts w:ascii="맑은 고딕" w:hAnsi="맑은 고딕" w:eastAsia="맑은 고딕"/>
        </w:rPr>
        <w:t>: 실습 7(음성 비서) → 8(로봇팔 8/10) → 9(시나리오 A 무인 완주)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D-4. 정착(29~30일 그리고 계속)</w:t>
      </w:r>
      <w:r>
        <w:rPr>
          <w:rFonts w:ascii="맑은 고딕" w:hAnsi="맑은 고딕" w:eastAsia="맑은 고딕"/>
        </w:rPr>
        <w:t>: 13장 30일 운영 개시 → 실습 10(회고) → 4부 진행 여부 결정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D-5. 가족 합의서 양식</w:t>
      </w:r>
      <w:r>
        <w:rPr>
          <w:rFonts w:ascii="맑은 고딕" w:hAnsi="맑은 고딕" w:eastAsia="맑은 고딕"/>
        </w:rPr>
        <w:t>: 수집 항목 / 보관 위치 / 열람 권한 / 비상정지 위치 확인 서명란 (18.3)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</w:rPr>
        <w:t>참고문헌 (통합)</w:t>
      </w:r>
    </w:p>
    <w:p>
      <w:r>
        <w:rPr>
          <w:rFonts w:ascii="맑은 고딕" w:hAnsi="맑은 고딕" w:eastAsia="맑은 고딕"/>
          <w:b/>
        </w:rPr>
        <w:t>일러두기</w:t>
      </w:r>
      <w:r>
        <w:rPr>
          <w:rFonts w:ascii="맑은 고딕" w:hAnsi="맑은 고딕" w:eastAsia="맑은 고딕"/>
        </w:rPr>
        <w:t>: 장말 미주에 인용된 전체 문헌을 저자명 알파벳순(국문 문헌은 가나다순 후치)으로 통합 정리했다. 표기는 APA 7판 양식을 따르되 국역본이 있는 단행본은 국역 서지를 병기한다. [메모: 최종 조판 시 국역본 출판사·역자 확정 병기]</w:t>
      </w:r>
    </w:p>
    <w:p>
      <w:r>
        <w:rPr>
          <w:rFonts w:ascii="맑은 고딕" w:hAnsi="맑은 고딕" w:eastAsia="맑은 고딕"/>
        </w:rPr>
        <w:t>Arendt, H. (1958). *The Human Condition*. University of Chicago Press. (국역: 『인간의 조건』)</w:t>
      </w:r>
    </w:p>
    <w:p>
      <w:r>
        <w:rPr>
          <w:rFonts w:ascii="맑은 고딕" w:hAnsi="맑은 고딕" w:eastAsia="맑은 고딕"/>
        </w:rPr>
        <w:t>Autor, D. H. (2015). Why are there still so many jobs? The history and future of workplace automation. *Journal of Economic Perspectives*, 29(3), 3–30.</w:t>
      </w:r>
    </w:p>
    <w:p>
      <w:r>
        <w:rPr>
          <w:rFonts w:ascii="맑은 고딕" w:hAnsi="맑은 고딕" w:eastAsia="맑은 고딕"/>
        </w:rPr>
        <w:t>Bainbridge, L. (1983). Ironies of automation. *Automatica*, 19(6), 775–779.</w:t>
      </w:r>
    </w:p>
    <w:p>
      <w:r>
        <w:rPr>
          <w:rFonts w:ascii="맑은 고딕" w:hAnsi="맑은 고딕" w:eastAsia="맑은 고딕"/>
        </w:rPr>
        <w:t>Battelino, T., Danne, T., Bergenstal, R. M., et al. (2019). Clinical targets for continuous glucose monitoring data interpretation: Recommendations from the international consensus on time in range. *Diabetes Care*, 42(8), 1593–1603.</w:t>
      </w:r>
    </w:p>
    <w:p>
      <w:r>
        <w:rPr>
          <w:rFonts w:ascii="맑은 고딕" w:hAnsi="맑은 고딕" w:eastAsia="맑은 고딕"/>
        </w:rPr>
        <w:t>Berners-Lee, T., Hendler, J., &amp; Lassila, O. (2001). The Semantic Web. *Scientific American*, 284(5), 34–43.</w:t>
      </w:r>
    </w:p>
    <w:p>
      <w:r>
        <w:rPr>
          <w:rFonts w:ascii="맑은 고딕" w:hAnsi="맑은 고딕" w:eastAsia="맑은 고딕"/>
        </w:rPr>
        <w:t>Borges, J. L. (1942). El idioma analítico de John Wilkins. (국역: 「존 윌킨스의 분석적 언어」)</w:t>
      </w:r>
    </w:p>
    <w:p>
      <w:r>
        <w:rPr>
          <w:rFonts w:ascii="맑은 고딕" w:hAnsi="맑은 고딕" w:eastAsia="맑은 고딕"/>
        </w:rPr>
        <w:t>Bowker, G. C., &amp; Star, S. L. (1999). *Sorting Things Out: Classification and Its Consequences*. MIT Press.</w:t>
      </w:r>
    </w:p>
    <w:p>
      <w:r>
        <w:rPr>
          <w:rFonts w:ascii="맑은 고딕" w:hAnsi="맑은 고딕" w:eastAsia="맑은 고딕"/>
        </w:rPr>
        <w:t>Box, G. E. P. (1976). Science and statistics. *Journal of the American Statistical Association*, 71(356), 791–799.</w:t>
      </w:r>
    </w:p>
    <w:p>
      <w:r>
        <w:rPr>
          <w:rFonts w:ascii="맑은 고딕" w:hAnsi="맑은 고딕" w:eastAsia="맑은 고딕"/>
        </w:rPr>
        <w:t>Brohan, A., et al. (2023). RT-2: Vision-language-action models transfer web knowledge to robotic control. *arXiv:2307.15818*.</w:t>
      </w:r>
    </w:p>
    <w:p>
      <w:r>
        <w:rPr>
          <w:rFonts w:ascii="맑은 고딕" w:hAnsi="맑은 고딕" w:eastAsia="맑은 고딕"/>
        </w:rPr>
        <w:t>Brooks, R. A. (1991). Intelligence without representation. *Artificial Intelligence*, 47(1–3), 139–159.</w:t>
      </w:r>
    </w:p>
    <w:p>
      <w:r>
        <w:rPr>
          <w:rFonts w:ascii="맑은 고딕" w:hAnsi="맑은 고딕" w:eastAsia="맑은 고딕"/>
        </w:rPr>
        <w:t>Bush, V. (1945). As we may think. *The Atlantic Monthly*, 176(1), 101–108.</w:t>
      </w:r>
    </w:p>
    <w:p>
      <w:r>
        <w:rPr>
          <w:rFonts w:ascii="맑은 고딕" w:hAnsi="맑은 고딕" w:eastAsia="맑은 고딕"/>
        </w:rPr>
        <w:t>Cadene, R., et al. (2024). LeRobot: State-of-the-art machine learning for real-world robotics. Hugging Face.</w:t>
      </w:r>
    </w:p>
    <w:p>
      <w:r>
        <w:rPr>
          <w:rFonts w:ascii="맑은 고딕" w:hAnsi="맑은 고딕" w:eastAsia="맑은 고딕"/>
        </w:rPr>
        <w:t>Chi, C., Feng, S., Du, Y., et al. (2023). Diffusion policy: Visuomotor policy learning via action diffusion. *Robotics: Science and Systems (RSS)*.</w:t>
      </w:r>
    </w:p>
    <w:p>
      <w:r>
        <w:rPr>
          <w:rFonts w:ascii="맑은 고딕" w:hAnsi="맑은 고딕" w:eastAsia="맑은 고딕"/>
        </w:rPr>
        <w:t>Cialdini, R. B. (1984). *Influence: The Psychology of Persuasion*. HarperCollins. (국역: 『설득의 심리학』)</w:t>
      </w:r>
    </w:p>
    <w:p>
      <w:r>
        <w:rPr>
          <w:rFonts w:ascii="맑은 고딕" w:hAnsi="맑은 고딕" w:eastAsia="맑은 고딕"/>
        </w:rPr>
        <w:t>Clark, A., &amp; Chalmers, D. (1998). The extended mind. *Analysis*, 58(1), 7–19.</w:t>
      </w:r>
    </w:p>
    <w:p>
      <w:r>
        <w:rPr>
          <w:rFonts w:ascii="맑은 고딕" w:hAnsi="맑은 고딕" w:eastAsia="맑은 고딕"/>
        </w:rPr>
        <w:t>Deci, E. L., &amp; Ryan, R. M. (2000). The "what" and "why" of goal pursuits: Human needs and the self-determination of behavior. *Psychological Inquiry*, 11(4), 227–268.</w:t>
      </w:r>
    </w:p>
    <w:p>
      <w:r>
        <w:rPr>
          <w:rFonts w:ascii="맑은 고딕" w:hAnsi="맑은 고딕" w:eastAsia="맑은 고딕"/>
        </w:rPr>
        <w:t>DiMatteo, M. R. (2004). Social support and patient adherence to medical treatment: A meta-analysis. *Health Psychology*, 23(2), 207–218.</w:t>
      </w:r>
    </w:p>
    <w:p>
      <w:r>
        <w:rPr>
          <w:rFonts w:ascii="맑은 고딕" w:hAnsi="맑은 고딕" w:eastAsia="맑은 고딕"/>
        </w:rPr>
        <w:t>Draganski, B., Gaser, C., Busch, V., Schuierer, G., Bogdahn, U., &amp; May, A. (2004). Changes in grey matter induced by training. *Nature*, 427, 311–312.</w:t>
      </w:r>
    </w:p>
    <w:p>
      <w:r>
        <w:rPr>
          <w:rFonts w:ascii="맑은 고딕" w:hAnsi="맑은 고딕" w:eastAsia="맑은 고딕"/>
        </w:rPr>
        <w:t>Duffy, B. R. (2003). Anthropomorphism and the social robot. *Robotics and Autonomous Systems*, 42(3–4), 177–190.</w:t>
      </w:r>
    </w:p>
    <w:p>
      <w:r>
        <w:rPr>
          <w:rFonts w:ascii="맑은 고딕" w:hAnsi="맑은 고딕" w:eastAsia="맑은 고딕"/>
        </w:rPr>
        <w:t>Duhigg, C. (2012). *The Power of Habit*. Random House. (국역: 『습관의 힘』)</w:t>
      </w:r>
    </w:p>
    <w:p>
      <w:r>
        <w:rPr>
          <w:rFonts w:ascii="맑은 고딕" w:hAnsi="맑은 고딕" w:eastAsia="맑은 고딕"/>
        </w:rPr>
        <w:t>Edge, D., Trinh, H., Cheng, N., et al. (2024). From local to global: A graph RAG approach to query-focused summarization. *arXiv:2404.16130*.</w:t>
      </w:r>
    </w:p>
    <w:p>
      <w:r>
        <w:rPr>
          <w:rFonts w:ascii="맑은 고딕" w:hAnsi="맑은 고딕" w:eastAsia="맑은 고딕"/>
        </w:rPr>
        <w:t>Engelbart, D. C. (1962). *Augmenting Human Intellect: A Conceptual Framework*. SRI Summary Report AFOSR-3223.</w:t>
      </w:r>
    </w:p>
    <w:p>
      <w:r>
        <w:rPr>
          <w:rFonts w:ascii="맑은 고딕" w:hAnsi="맑은 고딕" w:eastAsia="맑은 고딕"/>
        </w:rPr>
        <w:t>Epley, N., Waytz, A., &amp; Cacioppo, J. T. (2007). On seeing human: A three-factor theory of anthropomorphism. *Psychological Review*, 114(4), 864–886.</w:t>
      </w:r>
    </w:p>
    <w:p>
      <w:r>
        <w:rPr>
          <w:rFonts w:ascii="맑은 고딕" w:hAnsi="맑은 고딕" w:eastAsia="맑은 고딕"/>
        </w:rPr>
        <w:t>European Union. (2016). General Data Protection Regulation (GDPR), Article 20.</w:t>
      </w:r>
    </w:p>
    <w:p>
      <w:r>
        <w:rPr>
          <w:rFonts w:ascii="맑은 고딕" w:hAnsi="맑은 고딕" w:eastAsia="맑은 고딕"/>
        </w:rPr>
        <w:t>Fogg, B. J. (2009). A behavior model for persuasive design. *Proceedings of Persuasive '09*. ACM.</w:t>
      </w:r>
    </w:p>
    <w:p>
      <w:r>
        <w:rPr>
          <w:rFonts w:ascii="맑은 고딕" w:hAnsi="맑은 고딕" w:eastAsia="맑은 고딕"/>
        </w:rPr>
        <w:t>Gibson, J. J. (1979). *The Ecological Approach to Visual Perception*. Houghton Mifflin.</w:t>
      </w:r>
    </w:p>
    <w:p>
      <w:r>
        <w:rPr>
          <w:rFonts w:ascii="맑은 고딕" w:hAnsi="맑은 고딕" w:eastAsia="맑은 고딕"/>
        </w:rPr>
        <w:t>Gollwitzer, P. M. (1999). Implementation intentions: Strong effects of simple plans. *American Psychologist*, 54(7), 493–503.</w:t>
      </w:r>
    </w:p>
    <w:p>
      <w:r>
        <w:rPr>
          <w:rFonts w:ascii="맑은 고딕" w:hAnsi="맑은 고딕" w:eastAsia="맑은 고딕"/>
        </w:rPr>
        <w:t>Graybiel, A. M. (2008). Habits, rituals, and the evaluative brain. *Annual Review of Neuroscience*, 31, 359–387.</w:t>
      </w:r>
    </w:p>
    <w:p>
      <w:r>
        <w:rPr>
          <w:rFonts w:ascii="맑은 고딕" w:hAnsi="맑은 고딕" w:eastAsia="맑은 고딕"/>
        </w:rPr>
        <w:t>Grieves, M., &amp; Vickers, J. (2017). Digital twin: Mitigating unpredictable, undesirable emergent behavior in complex systems. In *Transdisciplinary Perspectives on Complex Systems* (pp. 85–113). Springer.</w:t>
      </w:r>
    </w:p>
    <w:p>
      <w:r>
        <w:rPr>
          <w:rFonts w:ascii="맑은 고딕" w:hAnsi="맑은 고딕" w:eastAsia="맑은 고딕"/>
        </w:rPr>
        <w:t>Gruber, T. R. (1993). A translation approach to portable ontology specifications. *Knowledge Acquisition*, 5(2), 199–220.</w:t>
      </w:r>
    </w:p>
    <w:p>
      <w:r>
        <w:rPr>
          <w:rFonts w:ascii="맑은 고딕" w:hAnsi="맑은 고딕" w:eastAsia="맑은 고딕"/>
        </w:rPr>
        <w:t>Grüninger, M., &amp; Fox, M. S. (1995). Methodology for the design and evaluation of ontologies. *IJCAI Workshop on Basic Ontological Issues in Knowledge Sharing*.</w:t>
      </w:r>
    </w:p>
    <w:p>
      <w:r>
        <w:rPr>
          <w:rFonts w:ascii="맑은 고딕" w:hAnsi="맑은 고딕" w:eastAsia="맑은 고딕"/>
        </w:rPr>
        <w:t>Heidegger, M. (1927). *Sein und Zeit*. Max Niemeyer. (국역: 『존재와 시간』)</w:t>
      </w:r>
    </w:p>
    <w:p>
      <w:r>
        <w:rPr>
          <w:rFonts w:ascii="맑은 고딕" w:hAnsi="맑은 고딕" w:eastAsia="맑은 고딕"/>
        </w:rPr>
        <w:t>Hogan, A., Blomqvist, E., Cochez, M., et al. (2021). Knowledge graphs. *ACM Computing Surveys*, 54(4), Article 71.</w:t>
      </w:r>
    </w:p>
    <w:p>
      <w:r>
        <w:rPr>
          <w:rFonts w:ascii="맑은 고딕" w:hAnsi="맑은 고딕" w:eastAsia="맑은 고딕"/>
        </w:rPr>
        <w:t>Ihde, D. (1990). *Technology and the Lifeworld: From Garden to Earth*. Indiana University Press.</w:t>
      </w:r>
    </w:p>
    <w:p>
      <w:r>
        <w:rPr>
          <w:rFonts w:ascii="맑은 고딕" w:hAnsi="맑은 고딕" w:eastAsia="맑은 고딕"/>
        </w:rPr>
        <w:t>Insel, T. R. (2017). Digital phenotyping: Technology for a new science of behavior. *JAMA*, 318(13), 1215–1216.</w:t>
      </w:r>
    </w:p>
    <w:p>
      <w:r>
        <w:rPr>
          <w:rFonts w:ascii="맑은 고딕" w:hAnsi="맑은 고딕" w:eastAsia="맑은 고딕"/>
        </w:rPr>
        <w:t>ISO. (2014). *ISO 13482: Robots and robotic devices — Safety requirements for personal care robots*. ISO.</w:t>
      </w:r>
    </w:p>
    <w:p>
      <w:r>
        <w:rPr>
          <w:rFonts w:ascii="맑은 고딕" w:hAnsi="맑은 고딕" w:eastAsia="맑은 고딕"/>
        </w:rPr>
        <w:t>Ji, Z., Lee, N., Frieske, R., et al. (2023). Survey of hallucination in natural language generation. *ACM Computing Surveys*, 55(12), Article 248.</w:t>
      </w:r>
    </w:p>
    <w:p>
      <w:r>
        <w:rPr>
          <w:rFonts w:ascii="맑은 고딕" w:hAnsi="맑은 고딕" w:eastAsia="맑은 고딕"/>
        </w:rPr>
        <w:t>Kleppmann, M., Wiggins, A., van Hardenberg, P., &amp; McGranaghan, M. (2019). Local-first software: You own your data, in spite of the cloud. *Onward! 2019*, 154–178. ACM.</w:t>
      </w:r>
    </w:p>
    <w:p>
      <w:r>
        <w:rPr>
          <w:rFonts w:ascii="맑은 고딕" w:hAnsi="맑은 고딕" w:eastAsia="맑은 고딕"/>
        </w:rPr>
        <w:t>Krigolson, O. E., Williams, C. C., Norton, A., Hassall, C. D., &amp; Colino, F. L. (2017). Choosing MUSE: Validation of a low-cost, portable EEG system for ERP research. *Frontiers in Neuroscience*, 11, 109.</w:t>
      </w:r>
    </w:p>
    <w:p>
      <w:r>
        <w:rPr>
          <w:rFonts w:ascii="맑은 고딕" w:hAnsi="맑은 고딕" w:eastAsia="맑은 고딕"/>
        </w:rPr>
        <w:t>Lakoff, G., &amp; Johnson, M. (1999). *Philosophy in the Flesh*. Basic Books.</w:t>
      </w:r>
    </w:p>
    <w:p>
      <w:r>
        <w:rPr>
          <w:rFonts w:ascii="맑은 고딕" w:hAnsi="맑은 고딕" w:eastAsia="맑은 고딕"/>
        </w:rPr>
        <w:t>Lally, P., van Jaarsveld, C. H. M., Potts, H. W. W., &amp; Wardle, J. (2010). How are habits formed: Modelling habit formation in the real world. *European Journal of Social Psychology*, 40(6), 998–1009.</w:t>
      </w:r>
    </w:p>
    <w:p>
      <w:r>
        <w:rPr>
          <w:rFonts w:ascii="맑은 고딕" w:hAnsi="맑은 고딕" w:eastAsia="맑은 고딕"/>
        </w:rPr>
        <w:t>Lee, J. D., &amp; See, K. A. (2004). Trust in automation: Designing for appropriate reliance. *Human Factors*, 46(1), 50–80.</w:t>
      </w:r>
    </w:p>
    <w:p>
      <w:r>
        <w:rPr>
          <w:rFonts w:ascii="맑은 고딕" w:hAnsi="맑은 고딕" w:eastAsia="맑은 고딕"/>
        </w:rPr>
        <w:t>Lewis, P., Perez, E., Piktus, A., et al. (2020). Retrieval-augmented generation for knowledge-intensive NLP tasks. *NeurIPS*, 33, 9459–9474.</w:t>
      </w:r>
    </w:p>
    <w:p>
      <w:r>
        <w:rPr>
          <w:rFonts w:ascii="맑은 고딕" w:hAnsi="맑은 고딕" w:eastAsia="맑은 고딕"/>
        </w:rPr>
        <w:t>Licklider, J. C. R. (1960). Man-computer symbiosis. *IRE Transactions on Human Factors in Electronics*, HFE-1, 4–11.</w:t>
      </w:r>
    </w:p>
    <w:p>
      <w:r>
        <w:rPr>
          <w:rFonts w:ascii="맑은 고딕" w:hAnsi="맑은 고딕" w:eastAsia="맑은 고딕"/>
        </w:rPr>
        <w:t>Lillie, E. O., Patay, B., Diamant, J., Issell, B., Topol, E. J., &amp; Schork, N. J. (2011). The n-of-1 clinical trial: The ultimate strategy for individualizing medicine? *Personalized Medicine*, 8(2), 161–173.</w:t>
      </w:r>
    </w:p>
    <w:p>
      <w:r>
        <w:rPr>
          <w:rFonts w:ascii="맑은 고딕" w:hAnsi="맑은 고딕" w:eastAsia="맑은 고딕"/>
        </w:rPr>
        <w:t>Locke, E. A., &amp; Latham, G. P. (2002). Building a practically useful theory of goal setting and task motivation. *American Psychologist*, 57(9), 705–717.</w:t>
      </w:r>
    </w:p>
    <w:p>
      <w:r>
        <w:rPr>
          <w:rFonts w:ascii="맑은 고딕" w:hAnsi="맑은 고딕" w:eastAsia="맑은 고딕"/>
        </w:rPr>
        <w:t>Lupton, D. (2016). *The Quantified Self: A Sociology of Self-Tracking*. Polity Press.</w:t>
      </w:r>
    </w:p>
    <w:p>
      <w:r>
        <w:rPr>
          <w:rFonts w:ascii="맑은 고딕" w:hAnsi="맑은 고딕" w:eastAsia="맑은 고딕"/>
        </w:rPr>
        <w:t>Macenski, S., Foote, T., Gerkey, B., Lalancette, C., &amp; Woodall, W. (2022). Robot Operating System 2: Design, architecture, and uses in the wild. *Science Robotics*, 7(66), eabm6074.</w:t>
      </w:r>
    </w:p>
    <w:p>
      <w:r>
        <w:rPr>
          <w:rFonts w:ascii="맑은 고딕" w:hAnsi="맑은 고딕" w:eastAsia="맑은 고딕"/>
        </w:rPr>
        <w:t>Maguire, E. A., Gadian, D. G., Johnsrude, I. S., et al. (2000). Navigation-related structural change in the hippocampi of taxi drivers. *PNAS*, 97(8), 4398–4403.</w:t>
      </w:r>
    </w:p>
    <w:p>
      <w:r>
        <w:rPr>
          <w:rFonts w:ascii="맑은 고딕" w:hAnsi="맑은 고딕" w:eastAsia="맑은 고딕"/>
        </w:rPr>
        <w:t>Merleau-Ponty, M. (1945). *Phénoménologie de la perception*. Gallimard. (국역: 『지각의 현상학』)</w:t>
      </w:r>
    </w:p>
    <w:p>
      <w:r>
        <w:rPr>
          <w:rFonts w:ascii="맑은 고딕" w:hAnsi="맑은 고딕" w:eastAsia="맑은 고딕"/>
        </w:rPr>
        <w:t>Moravec, H. (1988). *Mind Children: The Future of Robot and Human Intelligence*. Harvard University Press.</w:t>
      </w:r>
    </w:p>
    <w:p>
      <w:r>
        <w:rPr>
          <w:rFonts w:ascii="맑은 고딕" w:hAnsi="맑은 고딕" w:eastAsia="맑은 고딕"/>
        </w:rPr>
        <w:t>Mori, M. (1970). Bukimi no tani [The uncanny valley]. *Energy*, 7(4), 33–35. (영역: *IEEE Robotics &amp; Automation Magazine*, 19(2), 2012)</w:t>
      </w:r>
    </w:p>
    <w:p>
      <w:r>
        <w:rPr>
          <w:rFonts w:ascii="맑은 고딕" w:hAnsi="맑은 고딕" w:eastAsia="맑은 고딕"/>
        </w:rPr>
        <w:t>Norman, D. A. (1988). *The Design of Everyday Things*. Basic Books. (국역: 『디자인과 인간 심리』)</w:t>
      </w:r>
    </w:p>
    <w:p>
      <w:r>
        <w:rPr>
          <w:rFonts w:ascii="맑은 고딕" w:hAnsi="맑은 고딕" w:eastAsia="맑은 고딕"/>
        </w:rPr>
        <w:t>Noy, N. F., &amp; McGuinness, D. L. (2001). *Ontology Development 101*. Stanford KSL Technical Report KSL-01-05.</w:t>
      </w:r>
    </w:p>
    <w:p>
      <w:r>
        <w:rPr>
          <w:rFonts w:ascii="맑은 고딕" w:hAnsi="맑은 고딕" w:eastAsia="맑은 고딕"/>
        </w:rPr>
        <w:t>NVIDIA. (2025). GR00T N1: An open foundation model for generalist humanoid robots. *arXiv:2503.14734*.</w:t>
      </w:r>
    </w:p>
    <w:p>
      <w:r>
        <w:rPr>
          <w:rFonts w:ascii="맑은 고딕" w:hAnsi="맑은 고딕" w:eastAsia="맑은 고딕"/>
        </w:rPr>
        <w:t>O'Keefe, J., &amp; Dostrovsky, J. (1971). The hippocampus as a spatial map. *Brain Research*, 34(1), 171–175.</w:t>
      </w:r>
    </w:p>
    <w:p>
      <w:r>
        <w:rPr>
          <w:rFonts w:ascii="맑은 고딕" w:hAnsi="맑은 고딕" w:eastAsia="맑은 고딕"/>
        </w:rPr>
        <w:t>O'Keefe, J., &amp; Nadel, L. (1978). *The Hippocampus as a Cognitive Map*. Oxford University Press.</w:t>
      </w:r>
    </w:p>
    <w:p>
      <w:r>
        <w:rPr>
          <w:rFonts w:ascii="맑은 고딕" w:hAnsi="맑은 고딕" w:eastAsia="맑은 고딕"/>
        </w:rPr>
        <w:t>Ohkubo, T., Imai, Y., Tsuji, I., et al. (1998). Home blood pressure measurement has a stronger predictive power for mortality than does screening blood pressure measurement. *Journal of Hypertension*, 16(7), 971–975.</w:t>
      </w:r>
    </w:p>
    <w:p>
      <w:r>
        <w:rPr>
          <w:rFonts w:ascii="맑은 고딕" w:hAnsi="맑은 고딕" w:eastAsia="맑은 고딕"/>
        </w:rPr>
        <w:t>Osterberg, L., &amp; Blaschke, T. (2005). Adherence to medication. *New England Journal of Medicine*, 353(5), 487–497.</w:t>
      </w:r>
    </w:p>
    <w:p>
      <w:r>
        <w:rPr>
          <w:rFonts w:ascii="맑은 고딕" w:hAnsi="맑은 고딕" w:eastAsia="맑은 고딕"/>
        </w:rPr>
        <w:t>Papert, S. (1980). *Mindstorms: Children, Computers, and Powerful Ideas*. Basic Books.</w:t>
      </w:r>
    </w:p>
    <w:p>
      <w:r>
        <w:rPr>
          <w:rFonts w:ascii="맑은 고딕" w:hAnsi="맑은 고딕" w:eastAsia="맑은 고딕"/>
        </w:rPr>
        <w:t>Parasuraman, R., &amp; Riley, V. (1997). Humans and automation: Use, misuse, disuse, abuse. *Human Factors*, 39(2), 230–253.</w:t>
      </w:r>
    </w:p>
    <w:p>
      <w:r>
        <w:rPr>
          <w:rFonts w:ascii="맑은 고딕" w:hAnsi="맑은 고딕" w:eastAsia="맑은 고딕"/>
        </w:rPr>
        <w:t>Pomerleau, D. A. (1989). ALVINN: An autonomous land vehicle in a neural network. *NeurIPS*, 1, 305–313.</w:t>
      </w:r>
    </w:p>
    <w:p>
      <w:r>
        <w:rPr>
          <w:rFonts w:ascii="맑은 고딕" w:hAnsi="맑은 고딕" w:eastAsia="맑은 고딕"/>
        </w:rPr>
        <w:t>Quigley, M., Conley, K., Gerkey, B., et al. (2009). ROS: An open-source Robot Operating System. *ICRA Workshop on Open Source Software*.</w:t>
      </w:r>
    </w:p>
    <w:p>
      <w:r>
        <w:rPr>
          <w:rFonts w:ascii="맑은 고딕" w:hAnsi="맑은 고딕" w:eastAsia="맑은 고딕"/>
        </w:rPr>
        <w:t>Radford, A., Kim, J. W., Xu, T., et al. (2023). Robust speech recognition via large-scale weak supervision. *ICML 2023*.</w:t>
      </w:r>
    </w:p>
    <w:p>
      <w:r>
        <w:rPr>
          <w:rFonts w:ascii="맑은 고딕" w:hAnsi="맑은 고딕" w:eastAsia="맑은 고딕"/>
        </w:rPr>
        <w:t>Reason, J. (2000). Human error: Models and management. *BMJ*, 320(7237), 768–770.</w:t>
      </w:r>
    </w:p>
    <w:p>
      <w:r>
        <w:rPr>
          <w:rFonts w:ascii="맑은 고딕" w:hAnsi="맑은 고딕" w:eastAsia="맑은 고딕"/>
        </w:rPr>
        <w:t>Rogers, E. M. (2003). *Diffusion of Innovations* (5th ed.). Free Press.</w:t>
      </w:r>
    </w:p>
    <w:p>
      <w:r>
        <w:rPr>
          <w:rFonts w:ascii="맑은 고딕" w:hAnsi="맑은 고딕" w:eastAsia="맑은 고딕"/>
        </w:rPr>
        <w:t>Ross, S., Gordon, G., &amp; Bagnell, D. (2011). A reduction of imitation learning and structured prediction to no-regret online learning (DAgger). *AISTATS 2011*.</w:t>
      </w:r>
    </w:p>
    <w:p>
      <w:r>
        <w:rPr>
          <w:rFonts w:ascii="맑은 고딕" w:hAnsi="맑은 고딕" w:eastAsia="맑은 고딕"/>
        </w:rPr>
        <w:t>Shaffer, F., &amp; Ginsberg, J. P. (2017). An overview of heart rate variability metrics and norms. *Frontiers in Public Health*, 5, 258.</w:t>
      </w:r>
    </w:p>
    <w:p>
      <w:r>
        <w:rPr>
          <w:rFonts w:ascii="맑은 고딕" w:hAnsi="맑은 고딕" w:eastAsia="맑은 고딕"/>
        </w:rPr>
        <w:t>Sharkey, A., &amp; Sharkey, N. (2012). Granny and the robots: Ethical issues in robot care for the elderly. *Ethics and Information Technology*, 14(1), 27–40.</w:t>
      </w:r>
    </w:p>
    <w:p>
      <w:r>
        <w:rPr>
          <w:rFonts w:ascii="맑은 고딕" w:hAnsi="맑은 고딕" w:eastAsia="맑은 고딕"/>
        </w:rPr>
        <w:t>Sheeran, P., &amp; Webb, T. L. (2016). The intention–behavior gap. *Social and Personality Psychology Compass*, 10(9), 503–518.</w:t>
      </w:r>
    </w:p>
    <w:p>
      <w:r>
        <w:rPr>
          <w:rFonts w:ascii="맑은 고딕" w:hAnsi="맑은 고딕" w:eastAsia="맑은 고딕"/>
        </w:rPr>
        <w:t>Singhal, A. (2012). Introducing the Knowledge Graph: Things, not strings. *Google Official Blog*.</w:t>
      </w:r>
    </w:p>
    <w:p>
      <w:r>
        <w:rPr>
          <w:rFonts w:ascii="맑은 고딕" w:hAnsi="맑은 고딕" w:eastAsia="맑은 고딕"/>
        </w:rPr>
        <w:t>Sparrow, B., Liu, J., &amp; Wegner, D. M. (2011). Google effects on memory. *Science*, 333(6043), 776–778.</w:t>
      </w:r>
    </w:p>
    <w:p>
      <w:r>
        <w:rPr>
          <w:rFonts w:ascii="맑은 고딕" w:hAnsi="맑은 고딕" w:eastAsia="맑은 고딕"/>
        </w:rPr>
        <w:t>Sparrow, R., &amp; Sparrow, L. (2006). In the hands of machines? The future of aged care. *Minds and Machines*, 16(2), 141–161.</w:t>
      </w:r>
    </w:p>
    <w:p>
      <w:r>
        <w:rPr>
          <w:rFonts w:ascii="맑은 고딕" w:hAnsi="맑은 고딕" w:eastAsia="맑은 고딕"/>
        </w:rPr>
        <w:t>Stergiou, G. S., et al. (2021). 2021 ESH practice guidelines for office and out-of-office blood pressure measurement. *Journal of Hypertension*, 39(7), 1293–1302.</w:t>
      </w:r>
    </w:p>
    <w:p>
      <w:r>
        <w:rPr>
          <w:rFonts w:ascii="맑은 고딕" w:hAnsi="맑은 고딕" w:eastAsia="맑은 고딕"/>
        </w:rPr>
        <w:t>Swan, M. (2013). The quantified self: Fundamental disruption in big data science and biological discovery. *Big Data*, 1(2), 85–99.</w:t>
      </w:r>
    </w:p>
    <w:p>
      <w:r>
        <w:rPr>
          <w:rFonts w:ascii="맑은 고딕" w:hAnsi="맑은 고딕" w:eastAsia="맑은 고딕"/>
        </w:rPr>
        <w:t>Thaler, R. H., &amp; Sunstein, C. R. (2008). *Nudge*. Yale University Press. (국역: 『넛지』)</w:t>
      </w:r>
    </w:p>
    <w:p>
      <w:r>
        <w:rPr>
          <w:rFonts w:ascii="맑은 고딕" w:hAnsi="맑은 고딕" w:eastAsia="맑은 고딕"/>
        </w:rPr>
        <w:t>Thayer, J. F., &amp; Lane, R. D. (2000). A model of neurovisceral integration in emotion regulation and dysregulation. *Journal of Affective Disorders*, 61(3), 201–216.</w:t>
      </w:r>
    </w:p>
    <w:p>
      <w:r>
        <w:rPr>
          <w:rFonts w:ascii="맑은 고딕" w:hAnsi="맑은 고딕" w:eastAsia="맑은 고딕"/>
        </w:rPr>
        <w:t>Tobin, J., Fong, R., Ray, A., Schneider, J., Zaremba, W., &amp; Abbeel, P. (2017). Domain randomization for transferring deep neural networks from simulation to the real world. *IROS 2017*, 23–30.</w:t>
      </w:r>
    </w:p>
    <w:p>
      <w:r>
        <w:rPr>
          <w:rFonts w:ascii="맑은 고딕" w:hAnsi="맑은 고딕" w:eastAsia="맑은 고딕"/>
        </w:rPr>
        <w:t>Topol, E. (2019). *Deep Medicine*. Basic Books. (국역: 『딥메디슨』)</w:t>
      </w:r>
    </w:p>
    <w:p>
      <w:r>
        <w:rPr>
          <w:rFonts w:ascii="맑은 고딕" w:hAnsi="맑은 고딕" w:eastAsia="맑은 고딕"/>
        </w:rPr>
        <w:t>Turkle, S. (2011). *Alone Together*. Basic Books. (국역: 『외로워지는 사람들』)</w:t>
      </w:r>
    </w:p>
    <w:p>
      <w:r>
        <w:rPr>
          <w:rFonts w:ascii="맑은 고딕" w:hAnsi="맑은 고딕" w:eastAsia="맑은 고딕"/>
        </w:rPr>
        <w:t>Varela, F. J., Thompson, E., &amp; Rosch, E. (1991). *The Embodied Mind*. MIT Press. (국역: 『몸의 인지과학』)</w:t>
      </w:r>
    </w:p>
    <w:p>
      <w:r>
        <w:rPr>
          <w:rFonts w:ascii="맑은 고딕" w:hAnsi="맑은 고딕" w:eastAsia="맑은 고딕"/>
        </w:rPr>
        <w:t>WHO. (2003). *Adherence to Long-term Therapies: Evidence for Action*. World Health Organization.</w:t>
      </w:r>
    </w:p>
    <w:p>
      <w:r>
        <w:rPr>
          <w:rFonts w:ascii="맑은 고딕" w:hAnsi="맑은 고딕" w:eastAsia="맑은 고딕"/>
        </w:rPr>
        <w:t>WHO. (2020). *WHO Guidelines on Physical Activity and Sedentary Behaviour*. World Health Organization.</w:t>
      </w:r>
    </w:p>
    <w:p>
      <w:r>
        <w:rPr>
          <w:rFonts w:ascii="맑은 고딕" w:hAnsi="맑은 고딕" w:eastAsia="맑은 고딕"/>
        </w:rPr>
        <w:t>Wiener, N. (1948). *Cybernetics: Or Control and Communication in the Animal and the Machine*. MIT Press.</w:t>
      </w:r>
    </w:p>
    <w:p>
      <w:r>
        <w:rPr>
          <w:rFonts w:ascii="맑은 고딕" w:hAnsi="맑은 고딕" w:eastAsia="맑은 고딕"/>
        </w:rPr>
        <w:t>Windred, D. P., Burns, A. C., Lane, J. M., et al. (2024). Sleep regularity is a stronger predictor of mortality risk than sleep duration. *Sleep*, 47(1), zsad253.</w:t>
      </w:r>
    </w:p>
    <w:p>
      <w:r>
        <w:rPr>
          <w:rFonts w:ascii="맑은 고딕" w:hAnsi="맑은 고딕" w:eastAsia="맑은 고딕"/>
        </w:rPr>
        <w:t>Witte, K., &amp; Allen, M. (2000). A meta-analysis of fear appeals. *Health Education &amp; Behavior*, 27(5), 591–615.</w:t>
      </w:r>
    </w:p>
    <w:p>
      <w:r>
        <w:rPr>
          <w:rFonts w:ascii="맑은 고딕" w:hAnsi="맑은 고딕" w:eastAsia="맑은 고딕"/>
        </w:rPr>
        <w:t>Wolpert, D. M., Miall, R. C., &amp; Kawato, M. (1998). Internal models in the cerebellum. *Trends in Cognitive Sciences*, 2(9), 338–347.</w:t>
      </w:r>
    </w:p>
    <w:p>
      <w:r>
        <w:rPr>
          <w:rFonts w:ascii="맑은 고딕" w:hAnsi="맑은 고딕" w:eastAsia="맑은 고딕"/>
        </w:rPr>
        <w:t>Wood, D., Bruner, J. S., &amp; Ross, G. (1976). The role of tutoring in problem solving. *Journal of Child Psychology and Psychiatry*, 17(2), 89–100.</w:t>
      </w:r>
    </w:p>
    <w:p>
      <w:r>
        <w:rPr>
          <w:rFonts w:ascii="맑은 고딕" w:hAnsi="맑은 고딕" w:eastAsia="맑은 고딕"/>
        </w:rPr>
        <w:t>Wood, W., &amp; Rünger, D. (2016). Psychology of habit. *Annual Review of Psychology*, 67, 289–314.</w:t>
      </w:r>
    </w:p>
    <w:p>
      <w:r>
        <w:rPr>
          <w:rFonts w:ascii="맑은 고딕" w:hAnsi="맑은 고딕" w:eastAsia="맑은 고딕"/>
        </w:rPr>
        <w:t>Zeevi, D., Korem, T., Zmora, N., et al. (2015). Personalized nutrition by prediction of glycemic responses. *Cell*, 163(5), 1079–1094.</w:t>
      </w:r>
    </w:p>
    <w:p>
      <w:r>
        <w:rPr>
          <w:rFonts w:ascii="맑은 고딕" w:hAnsi="맑은 고딕" w:eastAsia="맑은 고딕"/>
        </w:rPr>
        <w:t>Zhao, T. Z., Kumar, V., Levine, S., &amp; Finn, C. (2023). Learning fine-grained bimanual manipulation with low-cost hardware. *RSS 2023*.</w:t>
      </w:r>
    </w:p>
    <w:p>
      <w:r>
        <w:rPr>
          <w:rFonts w:ascii="맑은 고딕" w:hAnsi="맑은 고딕" w:eastAsia="맑은 고딕"/>
        </w:rPr>
        <w:t>Zuboff, S. (2019). *The Age of Surveillance Capitalism*. PublicAffairs. (국역: 『감시 자본주의 시대』)</w:t>
      </w:r>
    </w:p>
    <w:p>
      <w:r>
        <w:rPr>
          <w:rFonts w:ascii="맑은 고딕" w:hAnsi="맑은 고딕" w:eastAsia="맑은 고딕"/>
        </w:rPr>
        <w:t>플라톤. 『파이드로스』. (문자 비판: 274c–275b)</w:t>
      </w:r>
    </w:p>
    <w:p>
      <w:pPr>
        <w:pStyle w:val="Heading2"/>
      </w:pPr>
      <w:r>
        <w:rPr>
          <w:rFonts w:ascii="맑은 고딕" w:hAnsi="맑은 고딕" w:eastAsia="맑은 고딕"/>
        </w:rPr>
        <w:t>[학술 보강판 v0.2 완결 메모]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구성</w:t>
      </w:r>
      <w:r>
        <w:rPr>
          <w:rFonts w:ascii="맑은 고딕" w:hAnsi="맑은 고딕" w:eastAsia="맑은 고딕"/>
        </w:rPr>
        <w:t>: 프롤로그 + 1~5부(19개 장) + 에필로그 + 부록 A~D + 통합 참고문헌(약 90건). 모든 장에 장면-본문-실습-체크리스트-미주의 5단 구조 적용.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v0.1 대비 보강</w:t>
      </w:r>
      <w:r>
        <w:rPr>
          <w:rFonts w:ascii="맑은 고딕" w:hAnsi="맑은 고딕" w:eastAsia="맑은 고딕"/>
        </w:rPr>
        <w:t>: ① 각 장 도입·본문에 철학적 층위(위너, 부시, 클라크·차머스, 메를로-퐁티, 하이데거, 아렌트, 보르헤스, 플라톤 등) ② 주요 주장마다 1차 문헌 인용(장말 미주, 총 90여 건) ③ 각 부에 '심화' 절 신설(대체 담론 비판, 외부 기억의 불안, 쿼턴티파이드 셀프 비판, 분류의 권력, 의인화의 양날, 모델의 겸손, 자동화의 아이러니 등) ④ 통합 참고문헌.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분량 설계</w:t>
      </w:r>
      <w:r>
        <w:rPr>
          <w:rFonts w:ascii="맑은 고딕" w:hAnsi="맑은 고딕" w:eastAsia="맑은 고딕"/>
        </w:rPr>
        <w:t>: 본문 문자량 기준 v0.1의 약 2배. 삽화 40여 컷 + 표 + 미주 + 참고문헌 + 여백 포함 조판 시 280~320페이지 예상. 저자가 '심화' 절과 미주 일부를 삭제하며 조정하는 것을 전제로 여유 있게 집필함.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삭제 가이드</w:t>
      </w:r>
      <w:r>
        <w:rPr>
          <w:rFonts w:ascii="맑은 고딕" w:hAnsi="맑은 고딕" w:eastAsia="맑은 고딕"/>
        </w:rPr>
        <w:t>: ① 분량 압박 시 1순위 삭제 후보 — 각 장의 '심화' 절(독립적으로 쓰여 삭제해도 본문 흐름 무손상) ② 2순위 — 미주의 부연 설명(서지만 남기기) ③ 3순위 — 실습의 심화 항목. 반대로 본문 장면·실습·체크리스트는 골격이므로 유지 권장.</w:t>
      </w:r>
    </w:p>
    <w:p>
      <w:pPr>
        <w:pStyle w:val="ListBullet"/>
      </w:pPr>
      <w:r>
        <w:rPr>
          <w:rFonts w:ascii="맑은 고딕" w:hAnsi="맑은 고딕" w:eastAsia="맑은 고딕"/>
          <w:b/>
        </w:rPr>
        <w:t>감수 필요</w:t>
      </w:r>
      <w:r>
        <w:rPr>
          <w:rFonts w:ascii="맑은 고딕" w:hAnsi="맑은 고딕" w:eastAsia="맑은 고딕"/>
        </w:rPr>
        <w:t>: 의료 표현(3·5·8·18장), 법률(6.5, 14.4, 18.3), 인용 페이지 번호·국역본 서지 확정, [메모] 항목 일괄 해소.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6213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F346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53358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1A1A2E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맑은 고딕" w:hAnsi="맑은 고딕" w:eastAsia="맑은 고딕"/>
      <w:i/>
      <w:iCs/>
      <w:color w:val="000000" w:themeColor="text1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피지컬 AI — 서드브레인, 몸을 얻다 (집필 뼈대)</dc:title>
  <dc:subject/>
  <dc:creator>서드브레인</dc:creator>
  <cp:keywords/>
  <dc:description>200페이지 목표 집필 뼈대 초안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