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 · 송무준</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 송무준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p>
      <w:r>
        <w:br w:type="page"/>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온톨로지-지식그래프 변환기와 성공사례」</w:t>
      </w:r>
      <w:r>
        <w:t xml:space="preserve"> </w:t>
      </w:r>
      <w:r>
        <w:t xml:space="preserve">는 제2저자 정인호(i7/온톨로지-지식그래프 대표 컨설턴트)가 설계·구축한 온톨로지 기반 AX 방법론을 축으로 하며, 개정판에서 그림과 비유 중심의 네 개 장(18~21장)으로 새로 썼다. 인용된 JEDAIX의 개념·화면·사례는 『온톨로지-지식그래프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p>
      <w:r>
        <w:br w:type="page"/>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 생산관리 컨설턴트가 공장 현황판 앞에서 내게 해 준 말</w:t>
      </w:r>
    </w:p>
    <w:bookmarkStart w:id="26" w:name="현장의-기억-현황판-앞에-서-있던-시간"/>
    <w:p>
      <w:pPr>
        <w:pStyle w:val="Heading2"/>
      </w:pPr>
      <w:r>
        <w:t xml:space="preserve">1. 현장의 기억: 현황판 앞에 서 있던 시간</w:t>
      </w:r>
    </w:p>
    <w:p>
      <w:pPr>
        <w:pStyle w:val="FirstParagraph"/>
      </w:pPr>
      <w:r>
        <w:t xml:space="preserve">30년 전, 처음 배운 경영컨설팅은 컴퓨터 화면이 아니라 공장 현장에 걸린 현황판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 경영컨설턴트는 그것을 3정5S라 불렀다. 정해진 물건이(정품), 정해진 자리에(정위치), 정해진 양만큼(정량) 있게 하라는 3정. 그리고 정리(整理)·정돈(整頓)·청소(淸掃)·청결(淸潔)·습관화(躾)의 5S. 당시 생산관리는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현황판이 정확한 공장에서는 납기가 지켜졌다. 5S가 무너진 곳에서는 어떤 관리 기법도 모래 위의 성이었다.</w:t>
      </w:r>
    </w:p>
    <w:p>
      <w:pPr>
        <w:pStyle w:val="BodyText"/>
      </w:pPr>
      <w:r>
        <w:t xml:space="preserve">저희 스승인 후쿠시마 선생의 『동기ERP』는 이 현장의 규율과 전사 시스템을 잇는 다리를 놓았다 — ERP가 큰 계획을 세우고 현장의 풀(pull)방식이 그것을 실시간으로 동기화한다는 역할 분담의 사상이다. 저는 그 책으로 표준의 시대를 배웠고, 이 책은 그 계보 위에서 같은 질문을 AI의 시대에 다시 묻는 시도다. 당시의 저는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현황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현황판에서 예측 플랫폼으로</w:t>
      </w:r>
    </w:p>
    <w:p>
      <w:pPr>
        <w:pStyle w:val="BodyText"/>
      </w:pPr>
      <w:r>
        <w:t xml:space="preserve">그 후 30년, 저는 ERP·MES·SCM 컨설턴트로 수많은 공장의 전산화를 도왔다. 종이 전표는 데이터베이스 레코드가 되었고, 현황판은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현황판만 걸면 현황판이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AI가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현황판,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현황판이 모니터가 된 단계다. Odoo의 칸반 보드는 디지털 현황판이고,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현황판은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현황판을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현황판과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현황판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p>
      <w:r>
        <w:br w:type="page"/>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Odoo(오두)가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움직이며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현황판을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현황판,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현황판(공정현황판)이다.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현황판은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현황판이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현황판작업표pop"/>
    <w:p>
      <w:pPr>
        <w:pStyle w:val="Heading2"/>
      </w:pPr>
      <w:r>
        <w:t xml:space="preserve">3.5 디지털 대응물: Odoo 위의 현황판·작업표·POP</w:t>
      </w:r>
    </w:p>
    <w:p>
      <w:pPr>
        <w:pStyle w:val="CaptionedFigure"/>
      </w:pPr>
      <w:r>
        <w:drawing>
          <wp:inline>
            <wp:extent cx="3429000" cy="2214562"/>
            <wp:effectExtent b="0" l="0" r="0" t="0"/>
            <wp:docPr descr="그림 3-1. 현황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현황판에서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현황판·마그넷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현황판이다.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현황판 카드 항목은 작업 오더 레코드와 같고, 현황판·발송판은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p>
      <w:r>
        <w:br w:type="page"/>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Odoo(오두)의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현황판이다"/>
    <w:p>
      <w:pPr>
        <w:pStyle w:val="Heading2"/>
      </w:pPr>
      <w:r>
        <w:t xml:space="preserve">10.4 눈으로 보는 관리의 적용: 파이프라인은 영업의 현황판이다</w:t>
      </w:r>
    </w:p>
    <w:p>
      <w:pPr>
        <w:pStyle w:val="CaptionedFigure"/>
      </w:pPr>
      <w:r>
        <w:drawing>
          <wp:inline>
            <wp:extent cx="3429000" cy="2143125"/>
            <wp:effectExtent b="0" l="0" r="0" t="0"/>
            <wp:docPr descr="그림 10-1. 영업 파이프라인 칸반 — 단계 열·기회 카드·AI 점수가 보이는 디지털 현황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현황판</w:t>
      </w:r>
    </w:p>
    <w:p>
      <w:pPr>
        <w:pStyle w:val="BodyText"/>
      </w:pPr>
      <w:r>
        <w:rPr>
          <w:bCs/>
          <w:b/>
        </w:rPr>
        <w:t xml:space="preserve">보이는 단계.</w:t>
      </w:r>
      <w:r>
        <w:t xml:space="preserve"> </w:t>
      </w:r>
      <w:r>
        <w:t xml:space="preserve">칸반은 1부 3장 공정현황판의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현황판이다.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온톨로지-지식그래프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현황판,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CRM·판매(파이프라인=현황판)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p>
      <w:r>
        <w:br w:type="page"/>
      </w:r>
    </w:p>
    <w:bookmarkEnd w:id="369"/>
    <w:bookmarkEnd w:id="370"/>
    <w:bookmarkStart w:id="371" w:name="Xf25007d3ce25c61c8a0f10b9839bb3d1c65b18c"/>
    <w:p>
      <w:pPr>
        <w:pStyle w:val="Heading1"/>
      </w:pPr>
      <w:r>
        <w:t xml:space="preserve">제3부. 온톨로지 메커니즘으로 완성하는 AX — 온톨로지-지식그래프 변환기와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온톨로지-지식그래프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없었다(온톨로지-지식그래프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원이었다(온톨로지-지식그래프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온톨로지-지식그래프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온톨로지-지식그래프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가지다(온톨로지-지식그래프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방법(온톨로지-지식그래프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『온톨로지-지식그래프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온톨로지-지식그래프-온톨로지-말이-시스템이-되는-길"/>
    <w:p>
      <w:pPr>
        <w:pStyle w:val="Heading1"/>
      </w:pPr>
      <w:r>
        <w:t xml:space="preserve">제19장. 온톨로지-지식그래프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온톨로지-지식그래프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온톨로지-지식그래프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『온톨로지-지식그래프 사용자 운영 매뉴얼 Base Camp 2 (v9)』. i7(아이세븐).</w:t>
      </w:r>
    </w:p>
    <w:p>
      <w:pPr>
        <w:numPr>
          <w:ilvl w:val="0"/>
          <w:numId w:val="1041"/>
        </w:numPr>
        <w:pStyle w:val="Compact"/>
      </w:pPr>
      <w:r>
        <w:t xml:space="preserve">정인호 (2026). 『Ontology 기반의 AI-Agent Workflow 구축 — 온톨로지-지식그래프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온톨로지-지식그래프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온톨로지-지식그래프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온톨로지-지식그래프-형식지의-원장과-암묵지의-판단-계층"/>
    <w:p>
      <w:pPr>
        <w:pStyle w:val="Heading2"/>
      </w:pPr>
      <w:r>
        <w:t xml:space="preserve">20.3 Odoo와 온톨로지-지식그래프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온톨로지-지식그래프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온톨로지-지식그래프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온톨로지-지식그래프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『온톨로지-지식그래프 사용자 운영 매뉴얼 Base Camp 2 (v9)』. i7/JEDAIX.</w:t>
      </w:r>
    </w:p>
    <w:p>
      <w:pPr>
        <w:numPr>
          <w:ilvl w:val="0"/>
          <w:numId w:val="1044"/>
        </w:numPr>
        <w:pStyle w:val="Compact"/>
      </w:pPr>
      <w:r>
        <w:t xml:space="preserve">정인호 (2026). 『Ontology 기반의 AI-Agent Workflow 구축 — 온톨로지-지식그래프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온톨로지-지식그래프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온톨로지-지식그래프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온톨로지-지식그래프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(온톨로지-지식그래프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『온톨로지-지식그래프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p>
      <w:r>
        <w:br w:type="page"/>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저자들의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Xe9c57420e25639a57ea19165dd571dd7cdb3d7e"/>
    <w:p>
      <w:pPr>
        <w:pStyle w:val="Heading2"/>
      </w:pPr>
      <w:r>
        <w:t xml:space="preserve">세 번째 목소리: 기록하는 ERP에서 판단하는 ERP로 구축하는 사람 — 송무준</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 · 송무준</w:t>
      </w:r>
    </w:p>
    <w:p>
      <w:r>
        <w:br w:type="page"/>
      </w:r>
    </w:p>
    <w:p>
      <w:pPr>
        <w:pStyle w:val="BodyText"/>
      </w:pPr>
      <w:r>
        <w:t xml:space="preserve"> </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NanumMyeongjo" w:hAnsi="NanumMyeongjo" w:eastAsia="NanumMyeongjo" w:cs="NanumMyeongjo"/>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rPr>
      <w:rFonts w:ascii="NanumMyeongjo" w:hAnsi="NanumMyeongjo" w:eastAsia="NanumMyeongjo" w:cs="NanumMyeongjo"/>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NanumMyeongjo" w:hAnsi="NanumMyeongjo" w:eastAsia="NanumMyeongjo" w:cs="NanumMyeongjo"/>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anumGothic" w:hAnsi="NanumGothic" w:eastAsia="NanumGothic" w:cs="Nanum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NanumGothic" w:hAnsi="NanumGothic" w:eastAsia="NanumGothic" w:cs="NanumGothic"/>
      <w:sz w:val="30"/>
      <w:szCs w:val="30"/>
    </w:rPr>
  </w:style>
  <w:style w:customStyle="1" w:styleId="Author" w:type="paragraph">
    <w:name w:val="Author"/>
    <w:next w:val="BodyText"/>
    <w:qFormat/>
    <w:pPr>
      <w:keepNext/>
      <w:keepLines/>
      <w:jc w:val="center"/>
    </w:pPr>
    <w:rPr>
      <w:rFonts w:ascii="NanumGothic" w:hAnsi="NanumGothic" w:eastAsia="NanumGothic" w:cs="NanumGothic"/>
    </w:rPr>
  </w:style>
  <w:style w:styleId="Date" w:type="paragraph">
    <w:name w:val="Date"/>
    <w:next w:val="BodyText"/>
    <w:qFormat/>
    <w:pPr>
      <w:keepNext/>
      <w:keepLines/>
      <w:jc w:val="center"/>
    </w:pPr>
    <w:rPr>
      <w:rFonts w:ascii="NanumGothic" w:hAnsi="NanumGothic" w:eastAsia="NanumGothic" w:cs="NanumGothic"/>
    </w:rPr>
  </w:style>
  <w:style w:customStyle="1" w:styleId="AbstractTitle" w:type="paragraph">
    <w:name w:val="Abstract Title"/>
    <w:basedOn w:val="Normal"/>
    <w:next w:val="Abstract"/>
    <w:qFormat/>
    <w:pPr>
      <w:keepNext/>
      <w:keepLines/>
      <w:jc w:val="center"/>
      <w:spacing w:after="0" w:before="300"/>
    </w:pPr>
    <w:rPr>
      <w:rFonts w:ascii="NanumMyeongjo" w:hAnsi="NanumMyeongjo" w:eastAsia="NanumMyeongjo" w:cs="NanumMyeongjo"/>
      <w:sz w:val="20"/>
      <w:szCs w:val="20"/>
      <w:b/>
      <w:color w:val="345A8A"/>
      &gt;
    </w:rPr>
  </w:style>
  <w:style w:customStyle="1" w:styleId="Abstract" w:type="paragraph">
    <w:name w:val="Abstract"/>
    <w:basedOn w:val="Normal"/>
    <w:next w:val="BodyText"/>
    <w:qFormat/>
    <w:pPr>
      <w:keepNext/>
      <w:keepLines/>
      <w:spacing w:after="300" w:before="100"/>
    </w:pPr>
    <w:rPr>
      <w:rFonts w:ascii="NanumMyeongjo" w:hAnsi="NanumMyeongjo" w:eastAsia="NanumMyeongjo" w:cs="NanumMyeongjo"/>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NanumGothic" w:hAnsi="NanumGothic" w:eastAsia="NanumGothic" w:cs="Nanum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NanumGothic" w:hAnsi="NanumGothic" w:eastAsia="NanumGothic" w:cs="Nanum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NanumGothic" w:hAnsi="NanumGothic" w:eastAsia="NanumGothic" w:cs="Nanum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NanumGothic" w:hAnsi="NanumGothic" w:eastAsia="NanumGothic" w:cs="Nanum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anumGothic" w:hAnsi="NanumGothic" w:eastAsia="NanumGothic" w:cs="Nanum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anumGothic" w:hAnsi="NanumGothic" w:eastAsia="NanumGothic" w:cs="Nanum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anumGothic" w:hAnsi="NanumGothic" w:eastAsia="NanumGothic" w:cs="Nanum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anumGothic" w:hAnsi="NanumGothic" w:eastAsia="NanumGothic" w:cs="Nanum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anumGothic" w:hAnsi="NanumGothic" w:eastAsia="NanumGothic" w:cs="Nanum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NanumMyeongjo" w:hAnsi="NanumMyeongjo" w:eastAsia="NanumMyeongjo" w:cs="NanumMyeongjo"/>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anumMyeongjo" w:hAnsi="NanumMyeongjo" w:eastAsia="NanumMyeongjo" w:cs="NanumMyeongjo"/>
      <w:b/>
    </w:rPr>
  </w:style>
  <w:style w:customStyle="1" w:styleId="Definition" w:type="paragraph">
    <w:name w:val="Definition"/>
    <w:basedOn w:val="Normal"/>
  </w:style>
  <w:style w:styleId="Caption" w:type="paragraph">
    <w:name w:val="Caption"/>
    <w:basedOn w:val="Normal"/>
    <w:link w:val="BodyTextChar"/>
    <w:pPr>
      <w:spacing w:after="120" w:before="0"/>
    </w:pPr>
    <w:rPr>
      <w:rFonts w:ascii="NanumMyeongjo" w:hAnsi="NanumMyeongjo" w:eastAsia="NanumMyeongjo" w:cs="NanumMyeongjo"/>
      <w:i/>
    </w:rPr>
  </w:style>
  <w:style w:customStyle="1" w:styleId="TableCaption" w:type="paragraph">
    <w:name w:val="Table Caption"/>
    <w:basedOn w:val="Caption"/>
    <w:pPr>
      <w:keepNext/>
    </w:pPr>
    <w:rPr>
      <w:rFonts w:ascii="NanumMyeongjo" w:hAnsi="NanumMyeongjo" w:eastAsia="NanumMyeongjo" w:cs="NanumMyeongjo"/>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NanumMyeongjo" w:hAnsi="NanumMyeongjo" w:eastAsia="NanumMyeongjo" w:cs="NanumMyeongj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Myeongjo" w:hAnsi="NanumMyeongjo" w:eastAsia="NanumMyeongjo" w:cs="NanumMyeongjo"/>
      <w:sz w:val="22"/>
    </w:rPr>
  </w:style>
  <w:style w:customStyle="1" w:styleId="SectionNumber" w:type="character">
    <w:name w:val="Section Number"/>
    <w:basedOn w:val="BodyTextChar"/>
  </w:style>
  <w:style w:styleId="FootnoteReference" w:type="character">
    <w:name w:val="Footnote Reference"/>
    <w:basedOn w:val="BodyTextChar"/>
    <w:rPr>
      <w:rFonts w:ascii="NanumMyeongjo" w:hAnsi="NanumMyeongjo" w:eastAsia="NanumMyeongjo" w:cs="NanumMyeongjo"/>
      <w:vertAlign w:val="superscript"/>
    </w:rPr>
  </w:style>
  <w:style w:styleId="Hyperlink" w:type="character">
    <w:name w:val="Hyperlink"/>
    <w:basedOn w:val="BodyTextChar"/>
    <w:rPr>
      <w:rFonts w:ascii="NanumMyeongjo" w:hAnsi="NanumMyeongjo" w:eastAsia="NanumMyeongjo" w:cs="NanumMyeongjo"/>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anumGothic" w:hAnsi="NanumGothic" w:eastAsia="NanumGothic" w:cs="NanumGothic"/>
      <w:b w:val="0"/>
      <w:bCs w:val="0"/>
      <w:color w:themeColor="accent1" w:themeShade="BF" w:val="365F91"/>
    </w:rPr>
  </w:style>
  <w:style w:type="paragraph" w:customStyle="1" w:styleId="SourceCode">
    <w:name w:val="Source Code"/>
    <w:basedOn w:val="Normal"/>
    <w:link w:val="VerbatimChar"/>
    <w:pPr>
      <w:wordWrap w:val="off"/>
    </w:pPr>
    <w:rPr>
      <w:rFonts w:ascii="NanumMyeongjo" w:hAnsi="NanumMyeongjo" w:eastAsia="NanumMyeongjo" w:cs="NanumMyeongjo"/>
    </w:rPr>
  </w:style>
  <w:style w:type="character" w:customStyle="1" w:styleId="KeywordTok">
    <w:name w:val="KeywordTok"/>
    <w:basedOn w:val="VerbatimChar"/>
    <w:rPr>
      <w:rFonts w:ascii="NanumMyeongjo" w:hAnsi="NanumMyeongjo" w:eastAsia="NanumMyeongjo" w:cs="NanumMyeongjo"/>
      <w:color w:val="007020"/>
      <w:b/>
    </w:rPr>
  </w:style>
  <w:style w:type="character" w:customStyle="1" w:styleId="DataTypeTok">
    <w:name w:val="DataTypeTok"/>
    <w:basedOn w:val="VerbatimChar"/>
    <w:rPr>
      <w:rFonts w:ascii="NanumMyeongjo" w:hAnsi="NanumMyeongjo" w:eastAsia="NanumMyeongjo" w:cs="NanumMyeongjo"/>
      <w:color w:val="902000"/>
    </w:rPr>
  </w:style>
  <w:style w:type="character" w:customStyle="1" w:styleId="DecValTok">
    <w:name w:val="DecValTok"/>
    <w:basedOn w:val="VerbatimChar"/>
    <w:rPr>
      <w:rFonts w:ascii="NanumMyeongjo" w:hAnsi="NanumMyeongjo" w:eastAsia="NanumMyeongjo" w:cs="NanumMyeongjo"/>
      <w:color w:val="40a070"/>
    </w:rPr>
  </w:style>
  <w:style w:type="character" w:customStyle="1" w:styleId="BaseNTok">
    <w:name w:val="BaseNTok"/>
    <w:basedOn w:val="VerbatimChar"/>
    <w:rPr>
      <w:rFonts w:ascii="NanumMyeongjo" w:hAnsi="NanumMyeongjo" w:eastAsia="NanumMyeongjo" w:cs="NanumMyeongjo"/>
      <w:color w:val="40a070"/>
    </w:rPr>
  </w:style>
  <w:style w:type="character" w:customStyle="1" w:styleId="FloatTok">
    <w:name w:val="FloatTok"/>
    <w:basedOn w:val="VerbatimChar"/>
    <w:rPr>
      <w:rFonts w:ascii="NanumMyeongjo" w:hAnsi="NanumMyeongjo" w:eastAsia="NanumMyeongjo" w:cs="NanumMyeongjo"/>
      <w:color w:val="40a070"/>
    </w:rPr>
  </w:style>
  <w:style w:type="character" w:customStyle="1" w:styleId="ConstantTok">
    <w:name w:val="ConstantTok"/>
    <w:basedOn w:val="VerbatimChar"/>
    <w:rPr>
      <w:rFonts w:ascii="NanumMyeongjo" w:hAnsi="NanumMyeongjo" w:eastAsia="NanumMyeongjo" w:cs="NanumMyeongjo"/>
      <w:color w:val="880000"/>
    </w:rPr>
  </w:style>
  <w:style w:type="character" w:customStyle="1" w:styleId="CharTok">
    <w:name w:val="CharTok"/>
    <w:basedOn w:val="VerbatimChar"/>
    <w:rPr>
      <w:rFonts w:ascii="NanumMyeongjo" w:hAnsi="NanumMyeongjo" w:eastAsia="NanumMyeongjo" w:cs="NanumMyeongjo"/>
      <w:color w:val="4070a0"/>
    </w:rPr>
  </w:style>
  <w:style w:type="character" w:customStyle="1" w:styleId="SpecialCharTok">
    <w:name w:val="SpecialCharTok"/>
    <w:basedOn w:val="VerbatimChar"/>
    <w:rPr>
      <w:rFonts w:ascii="NanumMyeongjo" w:hAnsi="NanumMyeongjo" w:eastAsia="NanumMyeongjo" w:cs="NanumMyeongjo"/>
      <w:color w:val="4070a0"/>
    </w:rPr>
  </w:style>
  <w:style w:type="character" w:customStyle="1" w:styleId="StringTok">
    <w:name w:val="StringTok"/>
    <w:basedOn w:val="VerbatimChar"/>
    <w:rPr>
      <w:rFonts w:ascii="NanumMyeongjo" w:hAnsi="NanumMyeongjo" w:eastAsia="NanumMyeongjo" w:cs="NanumMyeongjo"/>
      <w:color w:val="4070a0"/>
    </w:rPr>
  </w:style>
  <w:style w:type="character" w:customStyle="1" w:styleId="VerbatimStringTok">
    <w:name w:val="VerbatimStringTok"/>
    <w:basedOn w:val="VerbatimChar"/>
    <w:rPr>
      <w:rFonts w:ascii="NanumMyeongjo" w:hAnsi="NanumMyeongjo" w:eastAsia="NanumMyeongjo" w:cs="NanumMyeongjo"/>
      <w:color w:val="4070a0"/>
    </w:rPr>
  </w:style>
  <w:style w:type="character" w:customStyle="1" w:styleId="SpecialStringTok">
    <w:name w:val="SpecialStringTok"/>
    <w:basedOn w:val="VerbatimChar"/>
    <w:rPr>
      <w:rFonts w:ascii="NanumMyeongjo" w:hAnsi="NanumMyeongjo" w:eastAsia="NanumMyeongjo" w:cs="NanumMyeongjo"/>
      <w:color w:val="bb6688"/>
    </w:rPr>
  </w:style>
  <w:style w:type="character" w:customStyle="1" w:styleId="ImportTok">
    <w:name w:val="ImportTok"/>
    <w:basedOn w:val="VerbatimChar"/>
    <w:rPr>
      <w:rFonts w:ascii="NanumMyeongjo" w:hAnsi="NanumMyeongjo" w:eastAsia="NanumMyeongjo" w:cs="NanumMyeongjo"/>
      <w:color w:val="008000"/>
      <w:b/>
    </w:rPr>
  </w:style>
  <w:style w:type="character" w:customStyle="1" w:styleId="CommentTok">
    <w:name w:val="CommentTok"/>
    <w:basedOn w:val="VerbatimChar"/>
    <w:rPr>
      <w:rFonts w:ascii="NanumMyeongjo" w:hAnsi="NanumMyeongjo" w:eastAsia="NanumMyeongjo" w:cs="NanumMyeongjo"/>
      <w:color w:val="60a0b0"/>
      <w:i/>
    </w:rPr>
  </w:style>
  <w:style w:type="character" w:customStyle="1" w:styleId="DocumentationTok">
    <w:name w:val="DocumentationTok"/>
    <w:basedOn w:val="VerbatimChar"/>
    <w:rPr>
      <w:rFonts w:ascii="NanumMyeongjo" w:hAnsi="NanumMyeongjo" w:eastAsia="NanumMyeongjo" w:cs="NanumMyeongjo"/>
      <w:color w:val="ba2121"/>
      <w:i/>
    </w:rPr>
  </w:style>
  <w:style w:type="character" w:customStyle="1" w:styleId="AnnotationTok">
    <w:name w:val="AnnotationTok"/>
    <w:basedOn w:val="VerbatimChar"/>
    <w:rPr>
      <w:rFonts w:ascii="NanumMyeongjo" w:hAnsi="NanumMyeongjo" w:eastAsia="NanumMyeongjo" w:cs="NanumMyeongjo"/>
      <w:color w:val="60a0b0"/>
      <w:b/>
      <w:i/>
    </w:rPr>
  </w:style>
  <w:style w:type="character" w:customStyle="1" w:styleId="CommentVarTok">
    <w:name w:val="CommentVarTok"/>
    <w:basedOn w:val="VerbatimChar"/>
    <w:rPr>
      <w:rFonts w:ascii="NanumMyeongjo" w:hAnsi="NanumMyeongjo" w:eastAsia="NanumMyeongjo" w:cs="NanumMyeongjo"/>
      <w:color w:val="60a0b0"/>
      <w:b/>
      <w:i/>
    </w:rPr>
  </w:style>
  <w:style w:type="character" w:customStyle="1" w:styleId="OtherTok">
    <w:name w:val="OtherTok"/>
    <w:basedOn w:val="VerbatimChar"/>
    <w:rPr>
      <w:rFonts w:ascii="NanumMyeongjo" w:hAnsi="NanumMyeongjo" w:eastAsia="NanumMyeongjo" w:cs="NanumMyeongjo"/>
      <w:color w:val="007020"/>
    </w:rPr>
  </w:style>
  <w:style w:type="character" w:customStyle="1" w:styleId="FunctionTok">
    <w:name w:val="FunctionTok"/>
    <w:basedOn w:val="VerbatimChar"/>
    <w:rPr>
      <w:rFonts w:ascii="NanumMyeongjo" w:hAnsi="NanumMyeongjo" w:eastAsia="NanumMyeongjo" w:cs="NanumMyeongjo"/>
      <w:color w:val="06287e"/>
    </w:rPr>
  </w:style>
  <w:style w:type="character" w:customStyle="1" w:styleId="VariableTok">
    <w:name w:val="VariableTok"/>
    <w:basedOn w:val="VerbatimChar"/>
    <w:rPr>
      <w:rFonts w:ascii="NanumMyeongjo" w:hAnsi="NanumMyeongjo" w:eastAsia="NanumMyeongjo" w:cs="NanumMyeongjo"/>
      <w:color w:val="19177c"/>
    </w:rPr>
  </w:style>
  <w:style w:type="character" w:customStyle="1" w:styleId="ControlFlowTok">
    <w:name w:val="ControlFlowTok"/>
    <w:basedOn w:val="VerbatimChar"/>
    <w:rPr>
      <w:rFonts w:ascii="NanumMyeongjo" w:hAnsi="NanumMyeongjo" w:eastAsia="NanumMyeongjo" w:cs="NanumMyeongjo"/>
      <w:color w:val="007020"/>
      <w:b/>
    </w:rPr>
  </w:style>
  <w:style w:type="character" w:customStyle="1" w:styleId="OperatorTok">
    <w:name w:val="OperatorTok"/>
    <w:basedOn w:val="VerbatimChar"/>
    <w:rPr>
      <w:rFonts w:ascii="NanumMyeongjo" w:hAnsi="NanumMyeongjo" w:eastAsia="NanumMyeongjo" w:cs="NanumMyeongjo"/>
      <w:color w:val="666666"/>
    </w:rPr>
  </w:style>
  <w:style w:type="character" w:customStyle="1" w:styleId="BuiltInTok">
    <w:name w:val="BuiltInTok"/>
    <w:basedOn w:val="VerbatimChar"/>
    <w:rPr>
      <w:rFonts w:ascii="NanumMyeongjo" w:hAnsi="NanumMyeongjo" w:eastAsia="NanumMyeongjo" w:cs="NanumMyeongjo"/>
      <w:color w:val="008000"/>
    </w:rPr>
  </w:style>
  <w:style w:type="character" w:customStyle="1" w:styleId="ExtensionTok">
    <w:name w:val="ExtensionTok"/>
    <w:basedOn w:val="VerbatimChar"/>
    <w:rPr/>
  </w:style>
  <w:style w:type="character" w:customStyle="1" w:styleId="PreprocessorTok">
    <w:name w:val="PreprocessorTok"/>
    <w:basedOn w:val="VerbatimChar"/>
    <w:rPr>
      <w:rFonts w:ascii="NanumMyeongjo" w:hAnsi="NanumMyeongjo" w:eastAsia="NanumMyeongjo" w:cs="NanumMyeongjo"/>
      <w:color w:val="bc7a00"/>
    </w:rPr>
  </w:style>
  <w:style w:type="character" w:customStyle="1" w:styleId="AttributeTok">
    <w:name w:val="AttributeTok"/>
    <w:basedOn w:val="VerbatimChar"/>
    <w:rPr>
      <w:rFonts w:ascii="NanumMyeongjo" w:hAnsi="NanumMyeongjo" w:eastAsia="NanumMyeongjo" w:cs="NanumMyeongjo"/>
      <w:color w:val="7d9029"/>
    </w:rPr>
  </w:style>
  <w:style w:type="character" w:customStyle="1" w:styleId="RegionMarkerTok">
    <w:name w:val="RegionMarkerTok"/>
    <w:basedOn w:val="VerbatimChar"/>
    <w:rPr/>
  </w:style>
  <w:style w:type="character" w:customStyle="1" w:styleId="InformationTok">
    <w:name w:val="InformationTok"/>
    <w:basedOn w:val="VerbatimChar"/>
    <w:rPr>
      <w:rFonts w:ascii="NanumMyeongjo" w:hAnsi="NanumMyeongjo" w:eastAsia="NanumMyeongjo" w:cs="NanumMyeongjo"/>
      <w:color w:val="60a0b0"/>
      <w:b/>
      <w:i/>
    </w:rPr>
  </w:style>
  <w:style w:type="character" w:customStyle="1" w:styleId="WarningTok">
    <w:name w:val="WarningTok"/>
    <w:basedOn w:val="VerbatimChar"/>
    <w:rPr>
      <w:rFonts w:ascii="NanumMyeongjo" w:hAnsi="NanumMyeongjo" w:eastAsia="NanumMyeongjo" w:cs="NanumMyeongjo"/>
      <w:color w:val="60a0b0"/>
      <w:b/>
      <w:i/>
    </w:rPr>
  </w:style>
  <w:style w:type="character" w:customStyle="1" w:styleId="AlertTok">
    <w:name w:val="AlertTok"/>
    <w:basedOn w:val="VerbatimChar"/>
    <w:rPr>
      <w:rFonts w:ascii="NanumMyeongjo" w:hAnsi="NanumMyeongjo" w:eastAsia="NanumMyeongjo" w:cs="NanumMyeongjo"/>
      <w:color w:val="ff0000"/>
      <w:b/>
    </w:rPr>
  </w:style>
  <w:style w:type="character" w:customStyle="1" w:styleId="ErrorTok">
    <w:name w:val="ErrorTok"/>
    <w:basedOn w:val="VerbatimChar"/>
    <w:rPr>
      <w:rFonts w:ascii="NanumMyeongjo" w:hAnsi="NanumMyeongjo" w:eastAsia="NanumMyeongjo" w:cs="NanumMyeongjo"/>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anumMyeongjo"/>
        <a:ea typeface="NanumMyeongjo"/>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anumMyeongjo"/>
        <a:ea typeface="NanumMyeongjo"/>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 · 송무준</dc:creator>
  <dc:language>ko-KR</dc:language>
  <cp:keywords/>
  <dcterms:created xsi:type="dcterms:W3CDTF">2026-08-28T13:57:06Z</dcterms:created>
  <dcterms:modified xsi:type="dcterms:W3CDTF">2026-08-28T13:57:06Z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