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 w:line="288"/>
      </w:pPr>
      <w:r>
        <w:rPr>
          <w:rFonts w:ascii="맑은 고딕" w:cs="맑은 고딕" w:eastAsia="맑은 고딕" w:hAnsi="맑은 고딕"/>
          <w:color w:val="222B36"/>
          <w:sz w:val="40"/>
          <w:szCs w:val="40"/>
        </w:rPr>
        <w:t xml:space="preserve"/>
      </w:r>
    </w:p>
    <w:p>
      <w:pPr>
        <w:spacing w:after="80" w:before="0" w:line="288"/>
        <w:jc w:val="center"/>
      </w:pPr>
      <w:r>
        <w:rPr>
          <w:rFonts w:ascii="맑은 고딕" w:cs="맑은 고딕" w:eastAsia="맑은 고딕" w:hAnsi="맑은 고딕"/>
          <w:b/>
          <w:bCs/>
          <w:color w:val="1F3A5F"/>
          <w:sz w:val="52"/>
          <w:szCs w:val="52"/>
        </w:rPr>
        <w:t xml:space="preserve">Odoo ERP 구축 1차 제안서</w:t>
      </w:r>
    </w:p>
    <w:p>
      <w:pPr>
        <w:pBdr>
          <w:bottom w:val="single" w:color="714B67" w:sz="16" w:space="8"/>
        </w:pBdr>
        <w:spacing w:after="160"/>
      </w:pPr>
      <w:r>
        <w:rPr>
          <w:rFonts w:ascii="맑은 고딕" w:cs="맑은 고딕" w:eastAsia="맑은 고딕" w:hAnsi="맑은 고딕"/>
          <w:color w:val="222B36"/>
          <w:sz w:val="2"/>
          <w:szCs w:val="2"/>
        </w:rPr>
        <w:t xml:space="preserve"/>
      </w:r>
    </w:p>
    <w:p>
      <w:pPr>
        <w:spacing w:after="60" w:before="0" w:line="288"/>
        <w:jc w:val="center"/>
      </w:pPr>
      <w:r>
        <w:rPr>
          <w:rFonts w:ascii="맑은 고딕" w:cs="맑은 고딕" w:eastAsia="맑은 고딕" w:hAnsi="맑은 고딕"/>
          <w:b/>
          <w:bCs/>
          <w:color w:val="714B67"/>
          <w:sz w:val="26"/>
          <w:szCs w:val="26"/>
        </w:rPr>
        <w:t xml:space="preserve">요구사항 정의서 포함</w:t>
      </w:r>
    </w:p>
    <w:p>
      <w:pPr>
        <w:spacing w:after="520" w:before="0" w:line="288"/>
        <w:jc w:val="center"/>
      </w:pPr>
      <w:r>
        <w:rPr>
          <w:rFonts w:ascii="맑은 고딕" w:cs="맑은 고딕" w:eastAsia="맑은 고딕" w:hAnsi="맑은 고딕"/>
          <w:color w:val="6B7480"/>
          <w:sz w:val="20"/>
          <w:szCs w:val="20"/>
        </w:rPr>
        <w:t xml:space="preserve">이카운트 ERP → Odoo 통합 전환 · 열관리·정밀장비 제조 맞춤</w:t>
      </w:r>
    </w:p>
    <w:tbl>
      <w:tblPr>
        <w:tblW w:type="dxa" w:w="8400"/>
        <w:tblBorders>
          <w:top w:val="single" w:color="C9D3DE" w:sz="6"/>
          <w:left w:val="single" w:color="C9D3DE" w:sz="6"/>
          <w:bottom w:val="single" w:color="C9D3DE" w:sz="6"/>
          <w:right w:val="single" w:color="C9D3DE" w:sz="6"/>
          <w:insideH w:val="single" w:color="C9D3DE" w:sz="6"/>
          <w:insideV w:val="single" w:color="C9D3DE" w:sz="6"/>
        </w:tblBorders>
      </w:tblPr>
      <w:tblGrid>
        <w:gridCol w:w="2400"/>
        <w:gridCol w:w="6000"/>
      </w:tblGrid>
      <w:tr>
        <w:trPr>
          <w:tblHeader/>
        </w:trPr>
        <w:tc>
          <w:tcPr>
            <w:tcW w:type="dxa" w:w="2400"/>
            <w:shd w:fill="1F3A5F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6000"/>
            <w:shd w:fill="1F3A5F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4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8"/>
                <w:szCs w:val="18"/>
              </w:rPr>
              <w:t xml:space="preserve">제안 대상</w:t>
            </w:r>
          </w:p>
        </w:tc>
        <w:tc>
          <w:tcPr>
            <w:tcW w:type="dxa" w:w="60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8"/>
                <w:szCs w:val="18"/>
              </w:rPr>
              <w:t xml:space="preserve">주식회사 코아콘 (COREcon) 귀중</w:t>
            </w:r>
          </w:p>
        </w:tc>
      </w:tr>
      <w:tr>
        <w:tc>
          <w:tcPr>
            <w:tcW w:type="dxa" w:w="24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8"/>
                <w:szCs w:val="18"/>
              </w:rPr>
              <w:t xml:space="preserve">사업 분야</w:t>
            </w:r>
          </w:p>
        </w:tc>
        <w:tc>
          <w:tcPr>
            <w:tcW w:type="dxa" w:w="60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8"/>
                <w:szCs w:val="18"/>
              </w:rPr>
              <w:t xml:space="preserve">열관리 솔루션·정밀장비 제조 및 연구개발 (오일쿨러·히트펌프·반도체 제조장비·산업용 에어컨·의료기기·센서 등)</w:t>
            </w:r>
          </w:p>
        </w:tc>
      </w:tr>
      <w:tr>
        <w:tc>
          <w:tcPr>
            <w:tcW w:type="dxa" w:w="24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8"/>
                <w:szCs w:val="18"/>
              </w:rPr>
              <w:t xml:space="preserve">현행 시스템</w:t>
            </w:r>
          </w:p>
        </w:tc>
        <w:tc>
          <w:tcPr>
            <w:tcW w:type="dxa" w:w="60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8"/>
                <w:szCs w:val="18"/>
              </w:rPr>
              <w:t xml:space="preserve">이카운트(ECOUNT) ERP</w:t>
            </w:r>
          </w:p>
        </w:tc>
      </w:tr>
      <w:tr>
        <w:tc>
          <w:tcPr>
            <w:tcW w:type="dxa" w:w="24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8"/>
                <w:szCs w:val="18"/>
              </w:rPr>
              <w:t xml:space="preserve">제안 범위</w:t>
            </w:r>
          </w:p>
        </w:tc>
        <w:tc>
          <w:tcPr>
            <w:tcW w:type="dxa" w:w="60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8"/>
                <w:szCs w:val="18"/>
              </w:rPr>
              <w:t xml:space="preserve">Odoo ERP 도입 — 영업·구매·수출입·생산·재고·프로젝트·회계·성과(KPI) 통합</w:t>
            </w:r>
          </w:p>
        </w:tc>
      </w:tr>
      <w:tr>
        <w:tc>
          <w:tcPr>
            <w:tcW w:type="dxa" w:w="24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8"/>
                <w:szCs w:val="18"/>
              </w:rPr>
              <w:t xml:space="preserve">제안 일자</w:t>
            </w:r>
          </w:p>
        </w:tc>
        <w:tc>
          <w:tcPr>
            <w:tcW w:type="dxa" w:w="60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8"/>
                <w:szCs w:val="18"/>
              </w:rPr>
              <w:t xml:space="preserve">2026년 9월</w:t>
            </w:r>
          </w:p>
        </w:tc>
      </w:tr>
      <w:tr>
        <w:tc>
          <w:tcPr>
            <w:tcW w:type="dxa" w:w="24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8"/>
                <w:szCs w:val="18"/>
              </w:rPr>
              <w:t xml:space="preserve">제 안 사</w:t>
            </w:r>
          </w:p>
        </w:tc>
        <w:tc>
          <w:tcPr>
            <w:tcW w:type="dxa" w:w="60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8"/>
                <w:szCs w:val="18"/>
              </w:rPr>
              <w:t xml:space="preserve">에이에스씨(ASC) · AX 플랫폼 사업팀 · odooaierp.com · asclhg@gmail.com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A5F" w:sz="12" w:space="5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1F3A5F"/>
          <w:sz w:val="28"/>
          <w:szCs w:val="28"/>
        </w:rPr>
        <w:t xml:space="preserve">1. 제안 개요</w:t>
      </w:r>
    </w:p>
    <w:p>
      <w:pPr>
        <w:spacing w:after="110" w:before="0" w:line="288"/>
      </w:pPr>
      <w:r>
        <w:rPr>
          <w:rFonts w:ascii="맑은 고딕" w:cs="맑은 고딕" w:eastAsia="맑은 고딕" w:hAnsi="맑은 고딕"/>
          <w:color w:val="222B36"/>
          <w:sz w:val="20"/>
          <w:szCs w:val="20"/>
        </w:rPr>
        <w:t xml:space="preserve">본 제안서는 </w:t>
      </w:r>
      <w:r>
        <w:rPr>
          <w:rFonts w:ascii="맑은 고딕" w:cs="맑은 고딕" w:eastAsia="맑은 고딕" w:hAnsi="맑은 고딕"/>
          <w:b/>
          <w:bCs/>
          <w:color w:val="222B36"/>
          <w:sz w:val="20"/>
          <w:szCs w:val="20"/>
        </w:rPr>
        <w:t xml:space="preserve">주식회사 코아콘</w:t>
      </w:r>
      <w:r>
        <w:rPr>
          <w:rFonts w:ascii="맑은 고딕" w:cs="맑은 고딕" w:eastAsia="맑은 고딕" w:hAnsi="맑은 고딕"/>
          <w:color w:val="222B36"/>
          <w:sz w:val="20"/>
          <w:szCs w:val="20"/>
        </w:rPr>
        <w:t xml:space="preserve">이 현재 사용 중인 이카운트(ECOUNT) ERP를 </w:t>
      </w:r>
      <w:r>
        <w:rPr>
          <w:rFonts w:ascii="맑은 고딕" w:cs="맑은 고딕" w:eastAsia="맑은 고딕" w:hAnsi="맑은 고딕"/>
          <w:b/>
          <w:bCs/>
          <w:color w:val="714B67"/>
          <w:sz w:val="20"/>
          <w:szCs w:val="20"/>
        </w:rPr>
        <w:t xml:space="preserve">Odoo 통합 ERP</w:t>
      </w:r>
      <w:r>
        <w:rPr>
          <w:rFonts w:ascii="맑은 고딕" w:cs="맑은 고딕" w:eastAsia="맑은 고딕" w:hAnsi="맑은 고딕"/>
          <w:color w:val="222B36"/>
          <w:sz w:val="20"/>
          <w:szCs w:val="20"/>
        </w:rPr>
        <w:t xml:space="preserve">로 전환하기 위한 </w:t>
      </w:r>
      <w:r>
        <w:rPr>
          <w:rFonts w:ascii="맑은 고딕" w:cs="맑은 고딕" w:eastAsia="맑은 고딕" w:hAnsi="맑은 고딕"/>
          <w:b/>
          <w:bCs/>
          <w:color w:val="222B36"/>
          <w:sz w:val="20"/>
          <w:szCs w:val="20"/>
        </w:rPr>
        <w:t xml:space="preserve">1차 제안 및 요구사항 정의</w:t>
      </w:r>
      <w:r>
        <w:rPr>
          <w:rFonts w:ascii="맑은 고딕" w:cs="맑은 고딕" w:eastAsia="맑은 고딕" w:hAnsi="맑은 고딕"/>
          <w:color w:val="222B36"/>
          <w:sz w:val="20"/>
          <w:szCs w:val="20"/>
        </w:rPr>
        <w:t xml:space="preserve">를 담고 있습니다. 코아콘의 사업 특성인 </w:t>
      </w:r>
      <w:r>
        <w:rPr>
          <w:rFonts w:ascii="맑은 고딕" w:cs="맑은 고딕" w:eastAsia="맑은 고딕" w:hAnsi="맑은 고딕"/>
          <w:b/>
          <w:bCs/>
          <w:color w:val="222B36"/>
          <w:sz w:val="20"/>
          <w:szCs w:val="20"/>
        </w:rPr>
        <w:t xml:space="preserve">‘표준제품 판매 + 프로젝트형 장비 제조’ 2트랙 구조</w:t>
      </w:r>
      <w:r>
        <w:rPr>
          <w:rFonts w:ascii="맑은 고딕" w:cs="맑은 고딕" w:eastAsia="맑은 고딕" w:hAnsi="맑은 고딕"/>
          <w:color w:val="222B36"/>
          <w:sz w:val="20"/>
          <w:szCs w:val="20"/>
        </w:rPr>
        <w:t xml:space="preserve">를 하나의 데이터 모델로 연결하여, 영업 기회부터 생산·프로젝트 손익·경영 성과(KPI)까지 단절 없이 관리하는 것을 목표로 합니다.</w:t>
      </w:r>
    </w:p>
    <w:p>
      <w:pPr>
        <w:pStyle w:val="Heading2"/>
        <w:spacing w:after="90" w:before="190"/>
      </w:pPr>
      <w:r>
        <w:rPr>
          <w:rFonts w:ascii="맑은 고딕" w:cs="맑은 고딕" w:eastAsia="맑은 고딕" w:hAnsi="맑은 고딕"/>
          <w:b/>
          <w:bCs/>
          <w:color w:val="714B67"/>
          <w:sz w:val="22"/>
          <w:szCs w:val="22"/>
        </w:rPr>
        <w:t xml:space="preserve">▎</w:t>
      </w:r>
      <w:r>
        <w:rPr>
          <w:rFonts w:ascii="맑은 고딕" w:cs="맑은 고딕" w:eastAsia="맑은 고딕" w:hAnsi="맑은 고딕"/>
          <w:b/>
          <w:bCs/>
          <w:color w:val="1F3A5F"/>
          <w:sz w:val="23"/>
          <w:szCs w:val="23"/>
        </w:rPr>
        <w:t xml:space="preserve">제안의 핵심</w:t>
      </w:r>
    </w:p>
    <w:p>
      <w:pPr>
        <w:spacing w:after="70" w:line="284"/>
        <w:ind w:left="360" w:hanging="210"/>
      </w:pPr>
      <w:r>
        <w:rPr>
          <w:rFonts w:ascii="맑은 고딕" w:cs="맑은 고딕" w:eastAsia="맑은 고딕" w:hAnsi="맑은 고딕"/>
          <w:b/>
          <w:bCs/>
          <w:color w:val="714B67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b/>
          <w:bCs/>
          <w:color w:val="222B36"/>
          <w:sz w:val="20"/>
          <w:szCs w:val="20"/>
        </w:rPr>
        <w:t xml:space="preserve">하나의 플랫폼 : </w:t>
      </w:r>
      <w:r>
        <w:rPr>
          <w:rFonts w:ascii="맑은 고딕" w:cs="맑은 고딕" w:eastAsia="맑은 고딕" w:hAnsi="맑은 고딕"/>
          <w:color w:val="222B36"/>
          <w:sz w:val="20"/>
          <w:szCs w:val="20"/>
        </w:rPr>
        <w:t xml:space="preserve">영업–구매–수출입–생산–재고–프로젝트–회계를 단일 데이터로 통합 (화면 분산·중복 입력 해소)</w:t>
      </w:r>
    </w:p>
    <w:p>
      <w:pPr>
        <w:spacing w:after="70" w:line="284"/>
        <w:ind w:left="360" w:hanging="210"/>
      </w:pPr>
      <w:r>
        <w:rPr>
          <w:rFonts w:ascii="맑은 고딕" w:cs="맑은 고딕" w:eastAsia="맑은 고딕" w:hAnsi="맑은 고딕"/>
          <w:b/>
          <w:bCs/>
          <w:color w:val="714B67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b/>
          <w:bCs/>
          <w:color w:val="222B36"/>
          <w:sz w:val="20"/>
          <w:szCs w:val="20"/>
        </w:rPr>
        <w:t xml:space="preserve">제조+프로젝트 동시 지원 : </w:t>
      </w:r>
      <w:r>
        <w:rPr>
          <w:rFonts w:ascii="맑은 고딕" w:cs="맑은 고딕" w:eastAsia="맑은 고딕" w:hAnsi="맑은 고딕"/>
          <w:color w:val="222B36"/>
          <w:sz w:val="20"/>
          <w:szCs w:val="20"/>
        </w:rPr>
        <w:t xml:space="preserve">오일쿨러·히트펌프 등 표준제품 판매와 반도체 제조장비·의료기기 등 프로젝트형 수주를 한 시스템에서</w:t>
      </w:r>
    </w:p>
    <w:p>
      <w:pPr>
        <w:spacing w:after="70" w:line="284"/>
        <w:ind w:left="360" w:hanging="210"/>
      </w:pPr>
      <w:r>
        <w:rPr>
          <w:rFonts w:ascii="맑은 고딕" w:cs="맑은 고딕" w:eastAsia="맑은 고딕" w:hAnsi="맑은 고딕"/>
          <w:b/>
          <w:bCs/>
          <w:color w:val="714B67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b/>
          <w:bCs/>
          <w:color w:val="222B36"/>
          <w:sz w:val="20"/>
          <w:szCs w:val="20"/>
        </w:rPr>
        <w:t xml:space="preserve">승인 기반 통제 : </w:t>
      </w:r>
      <w:r>
        <w:rPr>
          <w:rFonts w:ascii="맑은 고딕" w:cs="맑은 고딕" w:eastAsia="맑은 고딕" w:hAnsi="맑은 고딕"/>
          <w:color w:val="222B36"/>
          <w:sz w:val="20"/>
          <w:szCs w:val="20"/>
        </w:rPr>
        <w:t xml:space="preserve">구매·전표·수주에 Odoo 승인 Workflow 적용 — ‘문서’가 아니라 ‘시스템’이 규칙을 지킴</w:t>
      </w:r>
    </w:p>
    <w:p>
      <w:pPr>
        <w:spacing w:after="70" w:line="284"/>
        <w:ind w:left="360" w:hanging="210"/>
      </w:pPr>
      <w:r>
        <w:rPr>
          <w:rFonts w:ascii="맑은 고딕" w:cs="맑은 고딕" w:eastAsia="맑은 고딕" w:hAnsi="맑은 고딕"/>
          <w:b/>
          <w:bCs/>
          <w:color w:val="714B67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b/>
          <w:bCs/>
          <w:color w:val="222B36"/>
          <w:sz w:val="20"/>
          <w:szCs w:val="20"/>
        </w:rPr>
        <w:t xml:space="preserve">성과 가시화 : </w:t>
      </w:r>
      <w:r>
        <w:rPr>
          <w:rFonts w:ascii="맑은 고딕" w:cs="맑은 고딕" w:eastAsia="맑은 고딕" w:hAnsi="맑은 고딕"/>
          <w:color w:val="222B36"/>
          <w:sz w:val="20"/>
          <w:szCs w:val="20"/>
        </w:rPr>
        <w:t xml:space="preserve">프로젝트별 예상 손익 vs 실적 손익, 목표 대비 KPI 달성도를 실시간 대시보드로 제공</w:t>
      </w:r>
    </w:p>
    <w:p>
      <w:pPr>
        <w:spacing w:after="70" w:line="284"/>
        <w:ind w:left="360" w:hanging="210"/>
      </w:pPr>
      <w:r>
        <w:rPr>
          <w:rFonts w:ascii="맑은 고딕" w:cs="맑은 고딕" w:eastAsia="맑은 고딕" w:hAnsi="맑은 고딕"/>
          <w:b/>
          <w:bCs/>
          <w:color w:val="714B67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b/>
          <w:bCs/>
          <w:color w:val="222B36"/>
          <w:sz w:val="20"/>
          <w:szCs w:val="20"/>
        </w:rPr>
        <w:t xml:space="preserve">단계적 전환 : </w:t>
      </w:r>
      <w:r>
        <w:rPr>
          <w:rFonts w:ascii="맑은 고딕" w:cs="맑은 고딕" w:eastAsia="맑은 고딕" w:hAnsi="맑은 고딕"/>
          <w:color w:val="222B36"/>
          <w:sz w:val="20"/>
          <w:szCs w:val="20"/>
        </w:rPr>
        <w:t xml:space="preserve">Agile 스프린트 방식으로 핵심부터 빠르게 가동하고, 확장(WMS/MES·품질·AI 성과관리)은 다음 단계로</w:t>
      </w:r>
    </w:p>
    <w:p>
      <w:pPr>
        <w:pStyle w:val="Heading1"/>
        <w:pBdr>
          <w:bottom w:val="single" w:color="1F3A5F" w:sz="12" w:space="5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1F3A5F"/>
          <w:sz w:val="28"/>
          <w:szCs w:val="28"/>
        </w:rPr>
        <w:t xml:space="preserve">2. 제안 배경 — 현황과 전환 필요성</w:t>
      </w:r>
    </w:p>
    <w:p>
      <w:pPr>
        <w:spacing w:after="110" w:before="0" w:line="288"/>
      </w:pPr>
      <w:r>
        <w:rPr>
          <w:rFonts w:ascii="맑은 고딕" w:cs="맑은 고딕" w:eastAsia="맑은 고딕" w:hAnsi="맑은 고딕"/>
          <w:color w:val="222B36"/>
          <w:sz w:val="20"/>
          <w:szCs w:val="20"/>
        </w:rPr>
        <w:t xml:space="preserve">코아콘은 </w:t>
      </w:r>
      <w:r>
        <w:rPr>
          <w:rFonts w:ascii="맑은 고딕" w:cs="맑은 고딕" w:eastAsia="맑은 고딕" w:hAnsi="맑은 고딕"/>
          <w:b/>
          <w:bCs/>
          <w:color w:val="222B36"/>
          <w:sz w:val="20"/>
          <w:szCs w:val="20"/>
        </w:rPr>
        <w:t xml:space="preserve">열관리·정밀장비 제조와 연구개발</w:t>
      </w:r>
      <w:r>
        <w:rPr>
          <w:rFonts w:ascii="맑은 고딕" w:cs="맑은 고딕" w:eastAsia="맑은 고딕" w:hAnsi="맑은 고딕"/>
          <w:color w:val="222B36"/>
          <w:sz w:val="20"/>
          <w:szCs w:val="20"/>
        </w:rPr>
        <w:t xml:space="preserve">을 함께 수행하는 첨단 기술기업으로, 표준제품의 반복 판매와 고객 맞춤형 장비 프로젝트가 혼합된 사업 구조를 가지고 있습니다. 현행 이카운트 ERP는 도입 이후 기본적인 회계·재고 관리에는 활용되고 있으나, 아래와 같은 구조적 한계가 확인됩니다.</w:t>
      </w:r>
    </w:p>
    <w:p>
      <w:pPr>
        <w:pStyle w:val="Heading2"/>
        <w:spacing w:after="90" w:before="190"/>
      </w:pPr>
      <w:r>
        <w:rPr>
          <w:rFonts w:ascii="맑은 고딕" w:cs="맑은 고딕" w:eastAsia="맑은 고딕" w:hAnsi="맑은 고딕"/>
          <w:b/>
          <w:bCs/>
          <w:color w:val="714B67"/>
          <w:sz w:val="22"/>
          <w:szCs w:val="22"/>
        </w:rPr>
        <w:t xml:space="preserve">▎</w:t>
      </w:r>
      <w:r>
        <w:rPr>
          <w:rFonts w:ascii="맑은 고딕" w:cs="맑은 고딕" w:eastAsia="맑은 고딕" w:hAnsi="맑은 고딕"/>
          <w:b/>
          <w:bCs/>
          <w:color w:val="1F3A5F"/>
          <w:sz w:val="23"/>
          <w:szCs w:val="23"/>
        </w:rPr>
        <w:t xml:space="preserve">현행(이카운트) 주요 한계 — 신청 내용 기반</w:t>
      </w:r>
    </w:p>
    <w:tbl>
      <w:tblPr>
        <w:tblW w:type="dxa" w:w="9400"/>
        <w:tblBorders>
          <w:top w:val="single" w:color="C9D3DE" w:sz="6"/>
          <w:left w:val="single" w:color="C9D3DE" w:sz="6"/>
          <w:bottom w:val="single" w:color="C9D3DE" w:sz="6"/>
          <w:right w:val="single" w:color="C9D3DE" w:sz="6"/>
          <w:insideH w:val="single" w:color="C9D3DE" w:sz="6"/>
          <w:insideV w:val="single" w:color="C9D3DE" w:sz="6"/>
        </w:tblBorders>
      </w:tblPr>
      <w:tblGrid>
        <w:gridCol w:w="3000"/>
        <w:gridCol w:w="3300"/>
        <w:gridCol w:w="3100"/>
      </w:tblGrid>
      <w:tr>
        <w:trPr>
          <w:tblHeader/>
        </w:trPr>
        <w:tc>
          <w:tcPr>
            <w:tcW w:type="dxa" w:w="3000"/>
            <w:shd w:fill="714B67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300"/>
            <w:shd w:fill="714B67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현행 이카운트의 한계</w:t>
            </w:r>
          </w:p>
        </w:tc>
        <w:tc>
          <w:tcPr>
            <w:tcW w:type="dxa" w:w="3100"/>
            <w:shd w:fill="714B67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Odoo 전환 시 개선</w:t>
            </w:r>
          </w:p>
        </w:tc>
      </w:tr>
      <w:tr>
        <w:tc>
          <w:tcPr>
            <w:tcW w:type="dxa" w:w="30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6"/>
                <w:szCs w:val="16"/>
              </w:rPr>
              <w:t xml:space="preserve">화면·업무 분절</w:t>
            </w:r>
          </w:p>
        </w:tc>
        <w:tc>
          <w:tcPr>
            <w:tcW w:type="dxa" w:w="33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6"/>
                <w:szCs w:val="16"/>
              </w:rPr>
              <w:t xml:space="preserve">기능별 화면이 각각 분리되어 있어 업무 이동·중복 입력이 많음</w:t>
            </w:r>
          </w:p>
        </w:tc>
        <w:tc>
          <w:tcPr>
            <w:tcW w:type="dxa" w:w="31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6"/>
                <w:szCs w:val="16"/>
              </w:rPr>
              <w:t xml:space="preserve">영업기회 한 화면에서 견적·수주·배송·청구까지 연결</w:t>
            </w:r>
          </w:p>
        </w:tc>
      </w:tr>
      <w:tr>
        <w:tc>
          <w:tcPr>
            <w:tcW w:type="dxa" w:w="30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6"/>
                <w:szCs w:val="16"/>
              </w:rPr>
              <w:t xml:space="preserve">불필요 기능</w:t>
            </w:r>
          </w:p>
        </w:tc>
        <w:tc>
          <w:tcPr>
            <w:tcW w:type="dxa" w:w="33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6"/>
                <w:szCs w:val="16"/>
              </w:rPr>
              <w:t xml:space="preserve">실제로 쓰지 않는 기능이 많아 복잡하고 사용성이 떨어짐</w:t>
            </w:r>
          </w:p>
        </w:tc>
        <w:tc>
          <w:tcPr>
            <w:tcW w:type="dxa" w:w="31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6"/>
                <w:szCs w:val="16"/>
              </w:rPr>
              <w:t xml:space="preserve">필요한 모듈만 선택 구성 — 단순·직관 UI</w:t>
            </w:r>
          </w:p>
        </w:tc>
      </w:tr>
      <w:tr>
        <w:tc>
          <w:tcPr>
            <w:tcW w:type="dxa" w:w="30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6"/>
                <w:szCs w:val="16"/>
              </w:rPr>
              <w:t xml:space="preserve">프로젝트 손익</w:t>
            </w:r>
          </w:p>
        </w:tc>
        <w:tc>
          <w:tcPr>
            <w:tcW w:type="dxa" w:w="33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6"/>
                <w:szCs w:val="16"/>
              </w:rPr>
              <w:t xml:space="preserve">프로젝트형 장비 사업의 예상/실적 손익 관리가 취약</w:t>
            </w:r>
          </w:p>
        </w:tc>
        <w:tc>
          <w:tcPr>
            <w:tcW w:type="dxa" w:w="31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6"/>
                <w:szCs w:val="16"/>
              </w:rPr>
              <w:t xml:space="preserve">프로젝트 단위 매입·생산·외주·인건비 연결 손익(P&amp;L)</w:t>
            </w:r>
          </w:p>
        </w:tc>
      </w:tr>
      <w:tr>
        <w:tc>
          <w:tcPr>
            <w:tcW w:type="dxa" w:w="30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6"/>
                <w:szCs w:val="16"/>
              </w:rPr>
              <w:t xml:space="preserve">생산·BOM</w:t>
            </w:r>
          </w:p>
        </w:tc>
        <w:tc>
          <w:tcPr>
            <w:tcW w:type="dxa" w:w="33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6"/>
                <w:szCs w:val="16"/>
              </w:rPr>
              <w:t xml:space="preserve">BOM 기반 생산계획·작업지시·시리얼 추적 관리 한계</w:t>
            </w:r>
          </w:p>
        </w:tc>
        <w:tc>
          <w:tcPr>
            <w:tcW w:type="dxa" w:w="31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6"/>
                <w:szCs w:val="16"/>
              </w:rPr>
              <w:t xml:space="preserve">MPS→작업지시→실행, 시리얼/Lot 추적 표준 지원</w:t>
            </w:r>
          </w:p>
        </w:tc>
      </w:tr>
      <w:tr>
        <w:tc>
          <w:tcPr>
            <w:tcW w:type="dxa" w:w="30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6"/>
                <w:szCs w:val="16"/>
              </w:rPr>
              <w:t xml:space="preserve">성과·KPI</w:t>
            </w:r>
          </w:p>
        </w:tc>
        <w:tc>
          <w:tcPr>
            <w:tcW w:type="dxa" w:w="33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6"/>
                <w:szCs w:val="16"/>
              </w:rPr>
              <w:t xml:space="preserve">목표 대비 성과를 자동으로 집계·가시화하기 어려움</w:t>
            </w:r>
          </w:p>
        </w:tc>
        <w:tc>
          <w:tcPr>
            <w:tcW w:type="dxa" w:w="31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6"/>
                <w:szCs w:val="16"/>
              </w:rPr>
              <w:t xml:space="preserve">KPI 대시보드·프로젝트 진척·수익률 실시간 추적</w:t>
            </w:r>
          </w:p>
        </w:tc>
      </w:tr>
    </w:tbl>
    <w:p>
      <w:pPr>
        <w:spacing w:after="40" w:before="0" w:line="288"/>
      </w:pPr>
      <w:r>
        <w:rPr>
          <w:rFonts w:ascii="맑은 고딕" w:cs="맑은 고딕" w:eastAsia="맑은 고딕" w:hAnsi="맑은 고딕"/>
          <w:color w:val="222B36"/>
          <w:sz w:val="8"/>
          <w:szCs w:val="8"/>
        </w:rPr>
        <w:t xml:space="preserve"/>
      </w:r>
    </w:p>
    <w:p>
      <w:pPr>
        <w:pStyle w:val="Heading2"/>
        <w:spacing w:after="90" w:before="190"/>
      </w:pPr>
      <w:r>
        <w:rPr>
          <w:rFonts w:ascii="맑은 고딕" w:cs="맑은 고딕" w:eastAsia="맑은 고딕" w:hAnsi="맑은 고딕"/>
          <w:b/>
          <w:bCs/>
          <w:color w:val="714B67"/>
          <w:sz w:val="22"/>
          <w:szCs w:val="22"/>
        </w:rPr>
        <w:t xml:space="preserve">▎</w:t>
      </w:r>
      <w:r>
        <w:rPr>
          <w:rFonts w:ascii="맑은 고딕" w:cs="맑은 고딕" w:eastAsia="맑은 고딕" w:hAnsi="맑은 고딕"/>
          <w:b/>
          <w:bCs/>
          <w:color w:val="1F3A5F"/>
          <w:sz w:val="23"/>
          <w:szCs w:val="23"/>
        </w:rPr>
        <w:t xml:space="preserve">전환 목표</w:t>
      </w:r>
    </w:p>
    <w:p>
      <w:pPr>
        <w:spacing w:after="70" w:line="284"/>
        <w:ind w:left="360" w:hanging="210"/>
      </w:pPr>
      <w:r>
        <w:rPr>
          <w:rFonts w:ascii="맑은 고딕" w:cs="맑은 고딕" w:eastAsia="맑은 고딕" w:hAnsi="맑은 고딕"/>
          <w:b/>
          <w:bCs/>
          <w:color w:val="714B67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B36"/>
          <w:sz w:val="20"/>
          <w:szCs w:val="20"/>
        </w:rPr>
        <w:t xml:space="preserve">영업–구매–생산–재고–프로젝트–회계를 하나의 데이터 모델로 제공</w:t>
      </w:r>
    </w:p>
    <w:p>
      <w:pPr>
        <w:spacing w:after="70" w:line="284"/>
        <w:ind w:left="360" w:hanging="210"/>
      </w:pPr>
      <w:r>
        <w:rPr>
          <w:rFonts w:ascii="맑은 고딕" w:cs="맑은 고딕" w:eastAsia="맑은 고딕" w:hAnsi="맑은 고딕"/>
          <w:b/>
          <w:bCs/>
          <w:color w:val="714B67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B36"/>
          <w:sz w:val="20"/>
          <w:szCs w:val="20"/>
        </w:rPr>
        <w:t xml:space="preserve">표준제품 판매와 프로젝트형 제조·설치 비즈니스를 동시 수용</w:t>
      </w:r>
    </w:p>
    <w:p>
      <w:pPr>
        <w:spacing w:after="70" w:line="284"/>
        <w:ind w:left="360" w:hanging="210"/>
      </w:pPr>
      <w:r>
        <w:rPr>
          <w:rFonts w:ascii="맑은 고딕" w:cs="맑은 고딕" w:eastAsia="맑은 고딕" w:hAnsi="맑은 고딕"/>
          <w:b/>
          <w:bCs/>
          <w:color w:val="714B67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B36"/>
          <w:sz w:val="20"/>
          <w:szCs w:val="20"/>
        </w:rPr>
        <w:t xml:space="preserve">향후 사업 확장(생산 고도화, 품질/서비스, WMS/MES 연계, AI 성과관리)을 고려한 장기 IT 기반 마련</w:t>
      </w:r>
    </w:p>
    <w:p>
      <w:pPr>
        <w:pStyle w:val="Heading1"/>
        <w:pageBreakBefore/>
        <w:pBdr>
          <w:bottom w:val="single" w:color="1F3A5F" w:sz="12" w:space="5"/>
        </w:pBdr>
        <w:spacing w:after="140" w:before="60"/>
      </w:pPr>
      <w:r>
        <w:rPr>
          <w:rFonts w:ascii="맑은 고딕" w:cs="맑은 고딕" w:eastAsia="맑은 고딕" w:hAnsi="맑은 고딕"/>
          <w:b/>
          <w:bCs/>
          <w:color w:val="1F3A5F"/>
          <w:sz w:val="28"/>
          <w:szCs w:val="28"/>
        </w:rPr>
        <w:t xml:space="preserve">3. Odoo 솔루션 개요</w:t>
      </w:r>
    </w:p>
    <w:p>
      <w:pPr>
        <w:spacing w:after="110" w:before="0" w:line="288"/>
      </w:pPr>
      <w:r>
        <w:rPr>
          <w:rFonts w:ascii="맑은 고딕" w:cs="맑은 고딕" w:eastAsia="맑은 고딕" w:hAnsi="맑은 고딕"/>
          <w:color w:val="222B36"/>
          <w:sz w:val="20"/>
          <w:szCs w:val="20"/>
        </w:rPr>
        <w:t xml:space="preserve">Odoo는 </w:t>
      </w:r>
      <w:r>
        <w:rPr>
          <w:rFonts w:ascii="맑은 고딕" w:cs="맑은 고딕" w:eastAsia="맑은 고딕" w:hAnsi="맑은 고딕"/>
          <w:b/>
          <w:bCs/>
          <w:color w:val="222B36"/>
          <w:sz w:val="20"/>
          <w:szCs w:val="20"/>
        </w:rPr>
        <w:t xml:space="preserve">영업(기회) → 구매·수출입 → 생산·재고 → 프로젝트·설치 → 재무·경영</w:t>
      </w:r>
      <w:r>
        <w:rPr>
          <w:rFonts w:ascii="맑은 고딕" w:cs="맑은 고딕" w:eastAsia="맑은 고딕" w:hAnsi="맑은 고딕"/>
          <w:color w:val="222B36"/>
          <w:sz w:val="20"/>
          <w:szCs w:val="20"/>
        </w:rPr>
        <w:t xml:space="preserve">까지 전 업무 흐름을 단일 플랫폼으로 통합 관리하는 End-to-End ERP입니다. 각 단계 관여자(영업·구매·생산·물류·프로젝트·재무·경영)는 역할 기반으로 참여하며, 데이터는 분절 없이 연계·누적됩니다.</w:t>
      </w:r>
    </w:p>
    <w:p>
      <w:pPr>
        <w:pStyle w:val="Heading2"/>
        <w:spacing w:after="90" w:before="190"/>
      </w:pPr>
      <w:r>
        <w:rPr>
          <w:rFonts w:ascii="맑은 고딕" w:cs="맑은 고딕" w:eastAsia="맑은 고딕" w:hAnsi="맑은 고딕"/>
          <w:b/>
          <w:bCs/>
          <w:color w:val="714B67"/>
          <w:sz w:val="22"/>
          <w:szCs w:val="22"/>
        </w:rPr>
        <w:t xml:space="preserve">▎</w:t>
      </w:r>
      <w:r>
        <w:rPr>
          <w:rFonts w:ascii="맑은 고딕" w:cs="맑은 고딕" w:eastAsia="맑은 고딕" w:hAnsi="맑은 고딕"/>
          <w:b/>
          <w:bCs/>
          <w:color w:val="1F3A5F"/>
          <w:sz w:val="23"/>
          <w:szCs w:val="23"/>
        </w:rPr>
        <w:t xml:space="preserve">코아콘 적용 모듈 맵</w:t>
      </w:r>
    </w:p>
    <w:tbl>
      <w:tblPr>
        <w:tblW w:type="dxa" w:w="8400"/>
        <w:tblBorders>
          <w:top w:val="single" w:color="C9D3DE" w:sz="6"/>
          <w:left w:val="single" w:color="C9D3DE" w:sz="6"/>
          <w:bottom w:val="single" w:color="C9D3DE" w:sz="6"/>
          <w:right w:val="single" w:color="C9D3DE" w:sz="6"/>
          <w:insideH w:val="single" w:color="C9D3DE" w:sz="6"/>
          <w:insideV w:val="single" w:color="C9D3DE" w:sz="6"/>
        </w:tblBorders>
      </w:tblPr>
      <w:tblGrid>
        <w:gridCol w:w="2100"/>
        <w:gridCol w:w="6300"/>
      </w:tblGrid>
      <w:tr>
        <w:trPr>
          <w:tblHeader/>
        </w:trPr>
        <w:tc>
          <w:tcPr>
            <w:tcW w:type="dxa" w:w="2100"/>
            <w:shd w:fill="1F3A5F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6300"/>
            <w:shd w:fill="1F3A5F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핵심 기능</w:t>
            </w:r>
          </w:p>
        </w:tc>
      </w:tr>
      <w:tr>
        <w:tc>
          <w:tcPr>
            <w:tcW w:type="dxa" w:w="21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7"/>
                <w:szCs w:val="17"/>
              </w:rPr>
              <w:t xml:space="preserve">영업 관리(CRM/판매)</w:t>
            </w:r>
          </w:p>
        </w:tc>
        <w:tc>
          <w:tcPr>
            <w:tcW w:type="dxa" w:w="63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7"/>
                <w:szCs w:val="17"/>
              </w:rPr>
              <w:t xml:space="preserve">상품·영업기회·고객·수익률·견적·주문·목표관리 — 표준제품+프로젝트 2트랙</w:t>
            </w:r>
          </w:p>
        </w:tc>
      </w:tr>
      <w:tr>
        <w:tc>
          <w:tcPr>
            <w:tcW w:type="dxa" w:w="21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7"/>
                <w:szCs w:val="17"/>
              </w:rPr>
              <w:t xml:space="preserve">구매·수출입</w:t>
            </w:r>
          </w:p>
        </w:tc>
        <w:tc>
          <w:tcPr>
            <w:tcW w:type="dxa" w:w="63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7"/>
                <w:szCs w:val="17"/>
              </w:rPr>
              <w:t xml:space="preserve">매입주문·매입청구서·수입(전자부품/센서)·공급자 관리·수출 문서</w:t>
            </w:r>
          </w:p>
        </w:tc>
      </w:tr>
      <w:tr>
        <w:tc>
          <w:tcPr>
            <w:tcW w:type="dxa" w:w="21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7"/>
                <w:szCs w:val="17"/>
              </w:rPr>
              <w:t xml:space="preserve">생산 관리</w:t>
            </w:r>
          </w:p>
        </w:tc>
        <w:tc>
          <w:tcPr>
            <w:tcW w:type="dxa" w:w="63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7"/>
                <w:szCs w:val="17"/>
              </w:rPr>
              <w:t xml:space="preserve">BOM·생산계획(MPS)·작업장·작업지시·생산실행·자재명세</w:t>
            </w:r>
          </w:p>
        </w:tc>
      </w:tr>
      <w:tr>
        <w:tc>
          <w:tcPr>
            <w:tcW w:type="dxa" w:w="21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7"/>
                <w:szCs w:val="17"/>
              </w:rPr>
              <w:t xml:space="preserve">재고 관리</w:t>
            </w:r>
          </w:p>
        </w:tc>
        <w:tc>
          <w:tcPr>
            <w:tcW w:type="dxa" w:w="63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7"/>
                <w:szCs w:val="17"/>
              </w:rPr>
              <w:t xml:space="preserve">입·출고·재고조정·시리얼/Lot 추적·Location(WMS 기초)</w:t>
            </w:r>
          </w:p>
        </w:tc>
      </w:tr>
      <w:tr>
        <w:tc>
          <w:tcPr>
            <w:tcW w:type="dxa" w:w="21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7"/>
                <w:szCs w:val="17"/>
              </w:rPr>
              <w:t xml:space="preserve">프로젝트 관리</w:t>
            </w:r>
          </w:p>
        </w:tc>
        <w:tc>
          <w:tcPr>
            <w:tcW w:type="dxa" w:w="63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7"/>
                <w:szCs w:val="17"/>
              </w:rPr>
              <w:t xml:space="preserve">고객 프로젝트·R&amp;D 개발 프로젝트·태스크·진척·수익성(P&amp;L)</w:t>
            </w:r>
          </w:p>
        </w:tc>
      </w:tr>
      <w:tr>
        <w:tc>
          <w:tcPr>
            <w:tcW w:type="dxa" w:w="21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7"/>
                <w:szCs w:val="17"/>
              </w:rPr>
              <w:t xml:space="preserve">회계·재무</w:t>
            </w:r>
          </w:p>
        </w:tc>
        <w:tc>
          <w:tcPr>
            <w:tcW w:type="dxa" w:w="63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7"/>
                <w:szCs w:val="17"/>
              </w:rPr>
              <w:t xml:space="preserve">AP/AR 승인·전표·외화·장부·거래처 원장·프로젝트 연계</w:t>
            </w:r>
          </w:p>
        </w:tc>
      </w:tr>
      <w:tr>
        <w:tc>
          <w:tcPr>
            <w:tcW w:type="dxa" w:w="21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7"/>
                <w:szCs w:val="17"/>
              </w:rPr>
              <w:t xml:space="preserve">성과·경영(KPI)</w:t>
            </w:r>
          </w:p>
        </w:tc>
        <w:tc>
          <w:tcPr>
            <w:tcW w:type="dxa" w:w="63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7"/>
                <w:szCs w:val="17"/>
              </w:rPr>
              <w:t xml:space="preserve">목표 대비 달성도·프로젝트 손익·수익률 대시보드</w:t>
            </w:r>
          </w:p>
        </w:tc>
      </w:tr>
    </w:tbl>
    <w:p>
      <w:pPr>
        <w:spacing w:after="40" w:before="0" w:line="288"/>
      </w:pPr>
      <w:r>
        <w:rPr>
          <w:rFonts w:ascii="맑은 고딕" w:cs="맑은 고딕" w:eastAsia="맑은 고딕" w:hAnsi="맑은 고딕"/>
          <w:color w:val="222B36"/>
          <w:sz w:val="8"/>
          <w:szCs w:val="8"/>
        </w:rPr>
        <w:t xml:space="preserve"/>
      </w:r>
    </w:p>
    <w:p>
      <w:pPr>
        <w:spacing w:after="110" w:before="0" w:line="288"/>
      </w:pPr>
      <w:r>
        <w:rPr>
          <w:rFonts w:ascii="맑은 고딕" w:cs="맑은 고딕" w:eastAsia="맑은 고딕" w:hAnsi="맑은 고딕"/>
          <w:color w:val="222B36"/>
          <w:sz w:val="20"/>
          <w:szCs w:val="20"/>
        </w:rPr>
        <w:t xml:space="preserve">특히 코아콘이 관심 모듈로 지정한 </w:t>
      </w:r>
      <w:r>
        <w:rPr>
          <w:rFonts w:ascii="맑은 고딕" w:cs="맑은 고딕" w:eastAsia="맑은 고딕" w:hAnsi="맑은 고딕"/>
          <w:b/>
          <w:bCs/>
          <w:color w:val="714B67"/>
          <w:sz w:val="20"/>
          <w:szCs w:val="20"/>
        </w:rPr>
        <w:t xml:space="preserve">발주·회계 연동 · 생산계획 · 성과/KPI 관리</w:t>
      </w:r>
      <w:r>
        <w:rPr>
          <w:rFonts w:ascii="맑은 고딕" w:cs="맑은 고딕" w:eastAsia="맑은 고딕" w:hAnsi="맑은 고딕"/>
          <w:color w:val="222B36"/>
          <w:sz w:val="20"/>
          <w:szCs w:val="20"/>
        </w:rPr>
        <w:t xml:space="preserve">는 Odoo 기본 기능과 승인 Workflow로 우선 구현이 가능합니다.</w:t>
      </w:r>
    </w:p>
    <w:p>
      <w:pPr>
        <w:pStyle w:val="Heading1"/>
        <w:pageBreakBefore/>
        <w:pBdr>
          <w:bottom w:val="single" w:color="1F3A5F" w:sz="12" w:space="5"/>
        </w:pBdr>
        <w:spacing w:after="140" w:before="60"/>
      </w:pPr>
      <w:r>
        <w:rPr>
          <w:rFonts w:ascii="맑은 고딕" w:cs="맑은 고딕" w:eastAsia="맑은 고딕" w:hAnsi="맑은 고딕"/>
          <w:b/>
          <w:bCs/>
          <w:color w:val="1F3A5F"/>
          <w:sz w:val="28"/>
          <w:szCs w:val="28"/>
        </w:rPr>
        <w:t xml:space="preserve">4. 요구사항 정의서 (코아콘 맞춤 1차)</w:t>
      </w:r>
    </w:p>
    <w:p>
      <w:pPr>
        <w:spacing w:after="110" w:before="0" w:line="288"/>
      </w:pPr>
      <w:r>
        <w:rPr>
          <w:rFonts w:ascii="맑은 고딕" w:cs="맑은 고딕" w:eastAsia="맑은 고딕" w:hAnsi="맑은 고딕"/>
          <w:color w:val="222B36"/>
          <w:sz w:val="20"/>
          <w:szCs w:val="20"/>
        </w:rPr>
        <w:t xml:space="preserve">아래는 코아콘의 사업 구조(열관리·정밀장비 제조 + R&amp;D + 프로젝트형 수주)를 반영한 </w:t>
      </w:r>
      <w:r>
        <w:rPr>
          <w:rFonts w:ascii="맑은 고딕" w:cs="맑은 고딕" w:eastAsia="맑은 고딕" w:hAnsi="맑은 고딕"/>
          <w:b/>
          <w:bCs/>
          <w:color w:val="222B36"/>
          <w:sz w:val="20"/>
          <w:szCs w:val="20"/>
        </w:rPr>
        <w:t xml:space="preserve">1차 요구사항 정의</w:t>
      </w:r>
      <w:r>
        <w:rPr>
          <w:rFonts w:ascii="맑은 고딕" w:cs="맑은 고딕" w:eastAsia="맑은 고딕" w:hAnsi="맑은 고딕"/>
          <w:color w:val="222B36"/>
          <w:sz w:val="20"/>
          <w:szCs w:val="20"/>
        </w:rPr>
        <w:t xml:space="preserve">입니다. 세부 수치·프로세스는 착수 단계의 요구사항 분석(인터뷰·현행 문서 검토)에서 확정합니다. </w:t>
      </w:r>
      <w:r>
        <w:rPr>
          <w:rFonts w:ascii="맑은 고딕" w:cs="맑은 고딕" w:eastAsia="맑은 고딕" w:hAnsi="맑은 고딕"/>
          <w:b/>
          <w:bCs/>
          <w:color w:val="C07F1E"/>
          <w:sz w:val="20"/>
          <w:szCs w:val="20"/>
        </w:rPr>
        <w:t xml:space="preserve">‘협의’ 표시 항목</w:t>
      </w:r>
      <w:r>
        <w:rPr>
          <w:rFonts w:ascii="맑은 고딕" w:cs="맑은 고딕" w:eastAsia="맑은 고딕" w:hAnsi="맑은 고딕"/>
          <w:color w:val="222B36"/>
          <w:sz w:val="20"/>
          <w:szCs w:val="20"/>
        </w:rPr>
        <w:t xml:space="preserve">은 분석 단계 재확인 대상입니다.</w:t>
      </w:r>
    </w:p>
    <w:p>
      <w:pPr>
        <w:pStyle w:val="Heading2"/>
        <w:spacing w:after="90" w:before="190"/>
      </w:pPr>
      <w:r>
        <w:rPr>
          <w:rFonts w:ascii="맑은 고딕" w:cs="맑은 고딕" w:eastAsia="맑은 고딕" w:hAnsi="맑은 고딕"/>
          <w:b/>
          <w:bCs/>
          <w:color w:val="714B67"/>
          <w:sz w:val="22"/>
          <w:szCs w:val="22"/>
        </w:rPr>
        <w:t xml:space="preserve">▎</w:t>
      </w:r>
      <w:r>
        <w:rPr>
          <w:rFonts w:ascii="맑은 고딕" w:cs="맑은 고딕" w:eastAsia="맑은 고딕" w:hAnsi="맑은 고딕"/>
          <w:b/>
          <w:bCs/>
          <w:color w:val="1F3A5F"/>
          <w:sz w:val="23"/>
          <w:szCs w:val="23"/>
        </w:rPr>
        <w:t xml:space="preserve">4-1. 회사 개요 · IT 전략</w:t>
      </w:r>
    </w:p>
    <w:tbl>
      <w:tblPr>
        <w:tblW w:type="dxa" w:w="8400"/>
        <w:tblBorders>
          <w:top w:val="single" w:color="C9D3DE" w:sz="6"/>
          <w:left w:val="single" w:color="C9D3DE" w:sz="6"/>
          <w:bottom w:val="single" w:color="C9D3DE" w:sz="6"/>
          <w:right w:val="single" w:color="C9D3DE" w:sz="6"/>
          <w:insideH w:val="single" w:color="C9D3DE" w:sz="6"/>
          <w:insideV w:val="single" w:color="C9D3DE" w:sz="6"/>
        </w:tblBorders>
      </w:tblPr>
      <w:tblGrid>
        <w:gridCol w:w="560"/>
        <w:gridCol w:w="1500"/>
        <w:gridCol w:w="1500"/>
        <w:gridCol w:w="4200"/>
        <w:gridCol w:w="640"/>
      </w:tblGrid>
      <w:tr>
        <w:trPr>
          <w:tblHeader/>
        </w:trPr>
        <w:tc>
          <w:tcPr>
            <w:tcW w:type="dxa" w:w="560"/>
            <w:shd w:fill="1F3A5F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No</w:t>
            </w:r>
          </w:p>
        </w:tc>
        <w:tc>
          <w:tcPr>
            <w:tcW w:type="dxa" w:w="1500"/>
            <w:shd w:fill="1F3A5F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중분류</w:t>
            </w:r>
          </w:p>
        </w:tc>
        <w:tc>
          <w:tcPr>
            <w:tcW w:type="dxa" w:w="1500"/>
            <w:shd w:fill="1F3A5F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세부</w:t>
            </w:r>
          </w:p>
        </w:tc>
        <w:tc>
          <w:tcPr>
            <w:tcW w:type="dxa" w:w="4200"/>
            <w:shd w:fill="1F3A5F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요구사항</w:t>
            </w:r>
          </w:p>
        </w:tc>
        <w:tc>
          <w:tcPr>
            <w:tcW w:type="dxa" w:w="640"/>
            <w:shd w:fill="1F3A5F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협의</w:t>
            </w:r>
          </w:p>
        </w:tc>
      </w:tr>
      <w:tr>
        <w:tc>
          <w:tcPr>
            <w:tcW w:type="dxa" w:w="56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1</w:t>
            </w:r>
          </w:p>
        </w:tc>
        <w:tc>
          <w:tcPr>
            <w:tcW w:type="dxa" w:w="15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조직 규모</w:t>
            </w:r>
          </w:p>
        </w:tc>
        <w:tc>
          <w:tcPr>
            <w:tcW w:type="dxa" w:w="15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인원</w:t>
            </w:r>
          </w:p>
        </w:tc>
        <w:tc>
          <w:tcPr>
            <w:tcW w:type="dxa" w:w="42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약 30~80명 규모의 임직원이 사용하는 것을 전제로 설계한다.</w:t>
            </w:r>
          </w:p>
        </w:tc>
        <w:tc>
          <w:tcPr>
            <w:tcW w:type="dxa" w:w="64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6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2</w:t>
            </w:r>
          </w:p>
        </w:tc>
        <w:tc>
          <w:tcPr>
            <w:tcW w:type="dxa" w:w="15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사업 구조</w:t>
            </w:r>
          </w:p>
        </w:tc>
        <w:tc>
          <w:tcPr>
            <w:tcW w:type="dxa" w:w="15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매출 구조</w:t>
            </w:r>
          </w:p>
        </w:tc>
        <w:tc>
          <w:tcPr>
            <w:tcW w:type="dxa" w:w="42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표준제품 판매(오일쿨러·히트펌프·산업용 에어컨 등)와 프로젝트형 장비(반도체 제조장비·의료기기 등)가 혼합된 2트랙 구조를 지원한다.</w:t>
            </w:r>
          </w:p>
        </w:tc>
        <w:tc>
          <w:tcPr>
            <w:tcW w:type="dxa" w:w="64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3</w:t>
            </w:r>
          </w:p>
        </w:tc>
        <w:tc>
          <w:tcPr>
            <w:tcW w:type="dxa" w:w="15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제품/서비스</w:t>
            </w:r>
          </w:p>
        </w:tc>
        <w:tc>
          <w:tcPr>
            <w:tcW w:type="dxa" w:w="15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구성</w:t>
            </w:r>
          </w:p>
        </w:tc>
        <w:tc>
          <w:tcPr>
            <w:tcW w:type="dxa" w:w="42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하드웨어(HW), 제어 SW, 외주 매입 품목을 포함하는 사업 구조를 가진다.</w:t>
            </w:r>
          </w:p>
        </w:tc>
        <w:tc>
          <w:tcPr>
            <w:tcW w:type="dxa" w:w="64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6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4</w:t>
            </w:r>
          </w:p>
        </w:tc>
        <w:tc>
          <w:tcPr>
            <w:tcW w:type="dxa" w:w="15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제품/서비스</w:t>
            </w:r>
          </w:p>
        </w:tc>
        <w:tc>
          <w:tcPr>
            <w:tcW w:type="dxa" w:w="15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수입 구조</w:t>
            </w:r>
          </w:p>
        </w:tc>
        <w:tc>
          <w:tcPr>
            <w:tcW w:type="dxa" w:w="42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전자부품·센서 등 일부 품목은 해외 수입 중심으로 조달한다.</w:t>
            </w:r>
          </w:p>
        </w:tc>
        <w:tc>
          <w:tcPr>
            <w:tcW w:type="dxa" w:w="64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맑은 고딕" w:cs="맑은 고딕" w:eastAsia="맑은 고딕" w:hAnsi="맑은 고딕"/>
                <w:color w:val="C07F1E"/>
                <w:sz w:val="15"/>
                <w:szCs w:val="15"/>
              </w:rPr>
              <w:t xml:space="preserve">협의</w:t>
            </w:r>
          </w:p>
        </w:tc>
      </w:tr>
      <w:tr>
        <w:tc>
          <w:tcPr>
            <w:tcW w:type="dxa" w:w="56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5</w:t>
            </w:r>
          </w:p>
        </w:tc>
        <w:tc>
          <w:tcPr>
            <w:tcW w:type="dxa" w:w="15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IT 전략</w:t>
            </w:r>
          </w:p>
        </w:tc>
        <w:tc>
          <w:tcPr>
            <w:tcW w:type="dxa" w:w="15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ERP 중심</w:t>
            </w:r>
          </w:p>
        </w:tc>
        <w:tc>
          <w:tcPr>
            <w:tcW w:type="dxa" w:w="42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ERP는 Odoo를 중심 시스템으로 사용하며 이카운트를 대체한다.</w:t>
            </w:r>
          </w:p>
        </w:tc>
        <w:tc>
          <w:tcPr>
            <w:tcW w:type="dxa" w:w="64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6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6</w:t>
            </w:r>
          </w:p>
        </w:tc>
        <w:tc>
          <w:tcPr>
            <w:tcW w:type="dxa" w:w="15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IT 전략</w:t>
            </w:r>
          </w:p>
        </w:tc>
        <w:tc>
          <w:tcPr>
            <w:tcW w:type="dxa" w:w="15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협업툴</w:t>
            </w:r>
          </w:p>
        </w:tc>
        <w:tc>
          <w:tcPr>
            <w:tcW w:type="dxa" w:w="42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기존 협업툴(있을 경우)은 병행 사용하되 ERP 대체 가능 영역은 단계적으로 통합을 고려한다.</w:t>
            </w:r>
          </w:p>
        </w:tc>
        <w:tc>
          <w:tcPr>
            <w:tcW w:type="dxa" w:w="64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맑은 고딕" w:cs="맑은 고딕" w:eastAsia="맑은 고딕" w:hAnsi="맑은 고딕"/>
                <w:color w:val="C07F1E"/>
                <w:sz w:val="15"/>
                <w:szCs w:val="15"/>
              </w:rPr>
              <w:t xml:space="preserve">협의</w:t>
            </w:r>
          </w:p>
        </w:tc>
      </w:tr>
    </w:tbl>
    <w:p>
      <w:pPr>
        <w:spacing w:after="40" w:before="0" w:line="288"/>
      </w:pPr>
      <w:r>
        <w:rPr>
          <w:rFonts w:ascii="맑은 고딕" w:cs="맑은 고딕" w:eastAsia="맑은 고딕" w:hAnsi="맑은 고딕"/>
          <w:color w:val="222B36"/>
          <w:sz w:val="8"/>
          <w:szCs w:val="8"/>
        </w:rPr>
        <w:t xml:space="preserve"/>
      </w:r>
    </w:p>
    <w:p>
      <w:pPr>
        <w:pStyle w:val="Heading2"/>
        <w:spacing w:after="90" w:before="190"/>
      </w:pPr>
      <w:r>
        <w:rPr>
          <w:rFonts w:ascii="맑은 고딕" w:cs="맑은 고딕" w:eastAsia="맑은 고딕" w:hAnsi="맑은 고딕"/>
          <w:b/>
          <w:bCs/>
          <w:color w:val="714B67"/>
          <w:sz w:val="22"/>
          <w:szCs w:val="22"/>
        </w:rPr>
        <w:t xml:space="preserve">▎</w:t>
      </w:r>
      <w:r>
        <w:rPr>
          <w:rFonts w:ascii="맑은 고딕" w:cs="맑은 고딕" w:eastAsia="맑은 고딕" w:hAnsi="맑은 고딕"/>
          <w:b/>
          <w:bCs/>
          <w:color w:val="1F3A5F"/>
          <w:sz w:val="23"/>
          <w:szCs w:val="23"/>
        </w:rPr>
        <w:t xml:space="preserve">4-2. 영업 · CRM</w:t>
      </w:r>
    </w:p>
    <w:tbl>
      <w:tblPr>
        <w:tblW w:type="dxa" w:w="8400"/>
        <w:tblBorders>
          <w:top w:val="single" w:color="C9D3DE" w:sz="6"/>
          <w:left w:val="single" w:color="C9D3DE" w:sz="6"/>
          <w:bottom w:val="single" w:color="C9D3DE" w:sz="6"/>
          <w:right w:val="single" w:color="C9D3DE" w:sz="6"/>
          <w:insideH w:val="single" w:color="C9D3DE" w:sz="6"/>
          <w:insideV w:val="single" w:color="C9D3DE" w:sz="6"/>
        </w:tblBorders>
      </w:tblPr>
      <w:tblGrid>
        <w:gridCol w:w="560"/>
        <w:gridCol w:w="1500"/>
        <w:gridCol w:w="1500"/>
        <w:gridCol w:w="4200"/>
        <w:gridCol w:w="640"/>
      </w:tblGrid>
      <w:tr>
        <w:trPr>
          <w:tblHeader/>
        </w:trPr>
        <w:tc>
          <w:tcPr>
            <w:tcW w:type="dxa" w:w="560"/>
            <w:shd w:fill="1F3A5F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No</w:t>
            </w:r>
          </w:p>
        </w:tc>
        <w:tc>
          <w:tcPr>
            <w:tcW w:type="dxa" w:w="1500"/>
            <w:shd w:fill="1F3A5F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중분류</w:t>
            </w:r>
          </w:p>
        </w:tc>
        <w:tc>
          <w:tcPr>
            <w:tcW w:type="dxa" w:w="1500"/>
            <w:shd w:fill="1F3A5F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세부</w:t>
            </w:r>
          </w:p>
        </w:tc>
        <w:tc>
          <w:tcPr>
            <w:tcW w:type="dxa" w:w="4200"/>
            <w:shd w:fill="1F3A5F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요구사항</w:t>
            </w:r>
          </w:p>
        </w:tc>
        <w:tc>
          <w:tcPr>
            <w:tcW w:type="dxa" w:w="640"/>
            <w:shd w:fill="1F3A5F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협의</w:t>
            </w:r>
          </w:p>
        </w:tc>
      </w:tr>
      <w:tr>
        <w:tc>
          <w:tcPr>
            <w:tcW w:type="dxa" w:w="56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7</w:t>
            </w:r>
          </w:p>
        </w:tc>
        <w:tc>
          <w:tcPr>
            <w:tcW w:type="dxa" w:w="15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기본 구조</w:t>
            </w:r>
          </w:p>
        </w:tc>
        <w:tc>
          <w:tcPr>
            <w:tcW w:type="dxa" w:w="15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프로세스</w:t>
            </w:r>
          </w:p>
        </w:tc>
        <w:tc>
          <w:tcPr>
            <w:tcW w:type="dxa" w:w="42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영업 프로세스는 Lead → Opportunity → Quotation → Sales Order 단계로 관리되어야 한다.</w:t>
            </w:r>
          </w:p>
        </w:tc>
        <w:tc>
          <w:tcPr>
            <w:tcW w:type="dxa" w:w="64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6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8</w:t>
            </w:r>
          </w:p>
        </w:tc>
        <w:tc>
          <w:tcPr>
            <w:tcW w:type="dxa" w:w="15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영업 유형</w:t>
            </w:r>
          </w:p>
        </w:tc>
        <w:tc>
          <w:tcPr>
            <w:tcW w:type="dxa" w:w="15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2트랙</w:t>
            </w:r>
          </w:p>
        </w:tc>
        <w:tc>
          <w:tcPr>
            <w:tcW w:type="dxa" w:w="42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표준제품 판매와 프로젝트형 장비의 2트랙 구조로 관리하되, 세부 운영 방식은 협의한다.</w:t>
            </w:r>
          </w:p>
        </w:tc>
        <w:tc>
          <w:tcPr>
            <w:tcW w:type="dxa" w:w="64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맑은 고딕" w:cs="맑은 고딕" w:eastAsia="맑은 고딕" w:hAnsi="맑은 고딕"/>
                <w:color w:val="C07F1E"/>
                <w:sz w:val="15"/>
                <w:szCs w:val="15"/>
              </w:rPr>
              <w:t xml:space="preserve">협의</w:t>
            </w:r>
          </w:p>
        </w:tc>
      </w:tr>
      <w:tr>
        <w:tc>
          <w:tcPr>
            <w:tcW w:type="dxa" w:w="56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9</w:t>
            </w:r>
          </w:p>
        </w:tc>
        <w:tc>
          <w:tcPr>
            <w:tcW w:type="dxa" w:w="15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제품 구성</w:t>
            </w:r>
          </w:p>
        </w:tc>
        <w:tc>
          <w:tcPr>
            <w:tcW w:type="dxa" w:w="15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Mixed Sale</w:t>
            </w:r>
          </w:p>
        </w:tc>
        <w:tc>
          <w:tcPr>
            <w:tcW w:type="dxa" w:w="42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하나의 견적/주문 내에 장비·부품·외주·SW 라이선스를 혼합 구성할 수 있어야 한다.</w:t>
            </w:r>
          </w:p>
        </w:tc>
        <w:tc>
          <w:tcPr>
            <w:tcW w:type="dxa" w:w="64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6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10</w:t>
            </w:r>
          </w:p>
        </w:tc>
        <w:tc>
          <w:tcPr>
            <w:tcW w:type="dxa" w:w="15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제품 구성</w:t>
            </w:r>
          </w:p>
        </w:tc>
        <w:tc>
          <w:tcPr>
            <w:tcW w:type="dxa" w:w="15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옵션 구조</w:t>
            </w:r>
          </w:p>
        </w:tc>
        <w:tc>
          <w:tcPr>
            <w:tcW w:type="dxa" w:w="42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표준제품(오일쿨러·히트펌프 등)은 사양·용량 옵션 구조로 관리한다.</w:t>
            </w:r>
          </w:p>
        </w:tc>
        <w:tc>
          <w:tcPr>
            <w:tcW w:type="dxa" w:w="64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11</w:t>
            </w:r>
          </w:p>
        </w:tc>
        <w:tc>
          <w:tcPr>
            <w:tcW w:type="dxa" w:w="15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손익 관리</w:t>
            </w:r>
          </w:p>
        </w:tc>
        <w:tc>
          <w:tcPr>
            <w:tcW w:type="dxa" w:w="15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예상 손익</w:t>
            </w:r>
          </w:p>
        </w:tc>
        <w:tc>
          <w:tcPr>
            <w:tcW w:type="dxa" w:w="42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견적/영업기회 단계에서 예상 매출·원가·프로젝트 손익(P&amp;L)을 확인할 수 있어야 한다.</w:t>
            </w:r>
          </w:p>
        </w:tc>
        <w:tc>
          <w:tcPr>
            <w:tcW w:type="dxa" w:w="64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6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12</w:t>
            </w:r>
          </w:p>
        </w:tc>
        <w:tc>
          <w:tcPr>
            <w:tcW w:type="dxa" w:w="15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활동 관리</w:t>
            </w:r>
          </w:p>
        </w:tc>
        <w:tc>
          <w:tcPr>
            <w:tcW w:type="dxa" w:w="15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이력</w:t>
            </w:r>
          </w:p>
        </w:tc>
        <w:tc>
          <w:tcPr>
            <w:tcW w:type="dxa" w:w="42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각 영업기회의 미팅·통화·메모 등 Follow-up 이력이 기록·관리되어야 한다.</w:t>
            </w:r>
          </w:p>
        </w:tc>
        <w:tc>
          <w:tcPr>
            <w:tcW w:type="dxa" w:w="64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13</w:t>
            </w:r>
          </w:p>
        </w:tc>
        <w:tc>
          <w:tcPr>
            <w:tcW w:type="dxa" w:w="15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영업 예측</w:t>
            </w:r>
          </w:p>
        </w:tc>
        <w:tc>
          <w:tcPr>
            <w:tcW w:type="dxa" w:w="15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매출 예측</w:t>
            </w:r>
          </w:p>
        </w:tc>
        <w:tc>
          <w:tcPr>
            <w:tcW w:type="dxa" w:w="42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품목·수량·예상 납기 기준의 매출 예측으로 선발주·재고·생산 준비 판단에 활용한다.</w:t>
            </w:r>
          </w:p>
        </w:tc>
        <w:tc>
          <w:tcPr>
            <w:tcW w:type="dxa" w:w="64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/>
            </w:r>
          </w:p>
        </w:tc>
      </w:tr>
    </w:tbl>
    <w:p>
      <w:pPr>
        <w:spacing w:after="40" w:before="0" w:line="288"/>
      </w:pPr>
      <w:r>
        <w:rPr>
          <w:rFonts w:ascii="맑은 고딕" w:cs="맑은 고딕" w:eastAsia="맑은 고딕" w:hAnsi="맑은 고딕"/>
          <w:color w:val="222B36"/>
          <w:sz w:val="8"/>
          <w:szCs w:val="8"/>
        </w:rPr>
        <w:t xml:space="preserve"/>
      </w:r>
    </w:p>
    <w:p>
      <w:pPr>
        <w:pStyle w:val="Heading2"/>
        <w:spacing w:after="90" w:before="190"/>
      </w:pPr>
      <w:r>
        <w:rPr>
          <w:rFonts w:ascii="맑은 고딕" w:cs="맑은 고딕" w:eastAsia="맑은 고딕" w:hAnsi="맑은 고딕"/>
          <w:b/>
          <w:bCs/>
          <w:color w:val="714B67"/>
          <w:sz w:val="22"/>
          <w:szCs w:val="22"/>
        </w:rPr>
        <w:t xml:space="preserve">▎</w:t>
      </w:r>
      <w:r>
        <w:rPr>
          <w:rFonts w:ascii="맑은 고딕" w:cs="맑은 고딕" w:eastAsia="맑은 고딕" w:hAnsi="맑은 고딕"/>
          <w:b/>
          <w:bCs/>
          <w:color w:val="1F3A5F"/>
          <w:sz w:val="23"/>
          <w:szCs w:val="23"/>
        </w:rPr>
        <w:t xml:space="preserve">4-3. 구매 · 수출입</w:t>
      </w:r>
    </w:p>
    <w:tbl>
      <w:tblPr>
        <w:tblW w:type="dxa" w:w="8400"/>
        <w:tblBorders>
          <w:top w:val="single" w:color="C9D3DE" w:sz="6"/>
          <w:left w:val="single" w:color="C9D3DE" w:sz="6"/>
          <w:bottom w:val="single" w:color="C9D3DE" w:sz="6"/>
          <w:right w:val="single" w:color="C9D3DE" w:sz="6"/>
          <w:insideH w:val="single" w:color="C9D3DE" w:sz="6"/>
          <w:insideV w:val="single" w:color="C9D3DE" w:sz="6"/>
        </w:tblBorders>
      </w:tblPr>
      <w:tblGrid>
        <w:gridCol w:w="560"/>
        <w:gridCol w:w="1500"/>
        <w:gridCol w:w="1500"/>
        <w:gridCol w:w="4200"/>
        <w:gridCol w:w="640"/>
      </w:tblGrid>
      <w:tr>
        <w:trPr>
          <w:tblHeader/>
        </w:trPr>
        <w:tc>
          <w:tcPr>
            <w:tcW w:type="dxa" w:w="560"/>
            <w:shd w:fill="1F3A5F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No</w:t>
            </w:r>
          </w:p>
        </w:tc>
        <w:tc>
          <w:tcPr>
            <w:tcW w:type="dxa" w:w="1500"/>
            <w:shd w:fill="1F3A5F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중분류</w:t>
            </w:r>
          </w:p>
        </w:tc>
        <w:tc>
          <w:tcPr>
            <w:tcW w:type="dxa" w:w="1500"/>
            <w:shd w:fill="1F3A5F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세부</w:t>
            </w:r>
          </w:p>
        </w:tc>
        <w:tc>
          <w:tcPr>
            <w:tcW w:type="dxa" w:w="4200"/>
            <w:shd w:fill="1F3A5F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요구사항</w:t>
            </w:r>
          </w:p>
        </w:tc>
        <w:tc>
          <w:tcPr>
            <w:tcW w:type="dxa" w:w="640"/>
            <w:shd w:fill="1F3A5F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협의</w:t>
            </w:r>
          </w:p>
        </w:tc>
      </w:tr>
      <w:tr>
        <w:tc>
          <w:tcPr>
            <w:tcW w:type="dxa" w:w="56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14</w:t>
            </w:r>
          </w:p>
        </w:tc>
        <w:tc>
          <w:tcPr>
            <w:tcW w:type="dxa" w:w="15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매입 구조</w:t>
            </w:r>
          </w:p>
        </w:tc>
        <w:tc>
          <w:tcPr>
            <w:tcW w:type="dxa" w:w="15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구분</w:t>
            </w:r>
          </w:p>
        </w:tc>
        <w:tc>
          <w:tcPr>
            <w:tcW w:type="dxa" w:w="42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매입은 국내 매입과 해외 매입으로 구분 관리되어야 한다.</w:t>
            </w:r>
          </w:p>
        </w:tc>
        <w:tc>
          <w:tcPr>
            <w:tcW w:type="dxa" w:w="64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6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15</w:t>
            </w:r>
          </w:p>
        </w:tc>
        <w:tc>
          <w:tcPr>
            <w:tcW w:type="dxa" w:w="15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매입 구조</w:t>
            </w:r>
          </w:p>
        </w:tc>
        <w:tc>
          <w:tcPr>
            <w:tcW w:type="dxa" w:w="15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연계</w:t>
            </w:r>
          </w:p>
        </w:tc>
        <w:tc>
          <w:tcPr>
            <w:tcW w:type="dxa" w:w="42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매입은 생산계획·작업지시 또는 영업/수주 기반으로 연결 관리되어야 한다.</w:t>
            </w:r>
          </w:p>
        </w:tc>
        <w:tc>
          <w:tcPr>
            <w:tcW w:type="dxa" w:w="64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16</w:t>
            </w:r>
          </w:p>
        </w:tc>
        <w:tc>
          <w:tcPr>
            <w:tcW w:type="dxa" w:w="15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매입 유형</w:t>
            </w:r>
          </w:p>
        </w:tc>
        <w:tc>
          <w:tcPr>
            <w:tcW w:type="dxa" w:w="15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구분</w:t>
            </w:r>
          </w:p>
        </w:tc>
        <w:tc>
          <w:tcPr>
            <w:tcW w:type="dxa" w:w="42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매입 품목은 원자재·부품·소모품·외주·수리 등으로 구분 관리한다.</w:t>
            </w:r>
          </w:p>
        </w:tc>
        <w:tc>
          <w:tcPr>
            <w:tcW w:type="dxa" w:w="64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6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17</w:t>
            </w:r>
          </w:p>
        </w:tc>
        <w:tc>
          <w:tcPr>
            <w:tcW w:type="dxa" w:w="15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수입 관리</w:t>
            </w:r>
          </w:p>
        </w:tc>
        <w:tc>
          <w:tcPr>
            <w:tcW w:type="dxa" w:w="15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문서</w:t>
            </w:r>
          </w:p>
        </w:tc>
        <w:tc>
          <w:tcPr>
            <w:tcW w:type="dxa" w:w="42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수입 부품(전자부품·센서 등)은 Invoice·Packing List·B/L 등 수입 문서를 관리한다.</w:t>
            </w:r>
          </w:p>
        </w:tc>
        <w:tc>
          <w:tcPr>
            <w:tcW w:type="dxa" w:w="64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맑은 고딕" w:cs="맑은 고딕" w:eastAsia="맑은 고딕" w:hAnsi="맑은 고딕"/>
                <w:color w:val="C07F1E"/>
                <w:sz w:val="15"/>
                <w:szCs w:val="15"/>
              </w:rPr>
              <w:t xml:space="preserve">협의</w:t>
            </w:r>
          </w:p>
        </w:tc>
      </w:tr>
      <w:tr>
        <w:tc>
          <w:tcPr>
            <w:tcW w:type="dxa" w:w="56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18</w:t>
            </w:r>
          </w:p>
        </w:tc>
        <w:tc>
          <w:tcPr>
            <w:tcW w:type="dxa" w:w="15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승인</w:t>
            </w:r>
          </w:p>
        </w:tc>
        <w:tc>
          <w:tcPr>
            <w:tcW w:type="dxa" w:w="15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구매 승인</w:t>
            </w:r>
          </w:p>
        </w:tc>
        <w:tc>
          <w:tcPr>
            <w:tcW w:type="dxa" w:w="42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구매·발주·수주에 대해 Odoo 승인 Workflow가 적용되어야 한다.</w:t>
            </w:r>
          </w:p>
        </w:tc>
        <w:tc>
          <w:tcPr>
            <w:tcW w:type="dxa" w:w="64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/>
            </w:r>
          </w:p>
        </w:tc>
      </w:tr>
    </w:tbl>
    <w:p>
      <w:pPr>
        <w:spacing w:after="40" w:before="0" w:line="288"/>
      </w:pPr>
      <w:r>
        <w:rPr>
          <w:rFonts w:ascii="맑은 고딕" w:cs="맑은 고딕" w:eastAsia="맑은 고딕" w:hAnsi="맑은 고딕"/>
          <w:color w:val="222B36"/>
          <w:sz w:val="8"/>
          <w:szCs w:val="8"/>
        </w:rPr>
        <w:t xml:space="preserve"/>
      </w:r>
    </w:p>
    <w:p>
      <w:pPr>
        <w:pStyle w:val="Heading2"/>
        <w:spacing w:after="90" w:before="190"/>
      </w:pPr>
      <w:r>
        <w:rPr>
          <w:rFonts w:ascii="맑은 고딕" w:cs="맑은 고딕" w:eastAsia="맑은 고딕" w:hAnsi="맑은 고딕"/>
          <w:b/>
          <w:bCs/>
          <w:color w:val="714B67"/>
          <w:sz w:val="22"/>
          <w:szCs w:val="22"/>
        </w:rPr>
        <w:t xml:space="preserve">▎</w:t>
      </w:r>
      <w:r>
        <w:rPr>
          <w:rFonts w:ascii="맑은 고딕" w:cs="맑은 고딕" w:eastAsia="맑은 고딕" w:hAnsi="맑은 고딕"/>
          <w:b/>
          <w:bCs/>
          <w:color w:val="1F3A5F"/>
          <w:sz w:val="23"/>
          <w:szCs w:val="23"/>
        </w:rPr>
        <w:t xml:space="preserve">4-4. 제조 · 재고</w:t>
      </w:r>
    </w:p>
    <w:tbl>
      <w:tblPr>
        <w:tblW w:type="dxa" w:w="8400"/>
        <w:tblBorders>
          <w:top w:val="single" w:color="C9D3DE" w:sz="6"/>
          <w:left w:val="single" w:color="C9D3DE" w:sz="6"/>
          <w:bottom w:val="single" w:color="C9D3DE" w:sz="6"/>
          <w:right w:val="single" w:color="C9D3DE" w:sz="6"/>
          <w:insideH w:val="single" w:color="C9D3DE" w:sz="6"/>
          <w:insideV w:val="single" w:color="C9D3DE" w:sz="6"/>
        </w:tblBorders>
      </w:tblPr>
      <w:tblGrid>
        <w:gridCol w:w="560"/>
        <w:gridCol w:w="1500"/>
        <w:gridCol w:w="1500"/>
        <w:gridCol w:w="4200"/>
        <w:gridCol w:w="640"/>
      </w:tblGrid>
      <w:tr>
        <w:trPr>
          <w:tblHeader/>
        </w:trPr>
        <w:tc>
          <w:tcPr>
            <w:tcW w:type="dxa" w:w="560"/>
            <w:shd w:fill="1F3A5F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No</w:t>
            </w:r>
          </w:p>
        </w:tc>
        <w:tc>
          <w:tcPr>
            <w:tcW w:type="dxa" w:w="1500"/>
            <w:shd w:fill="1F3A5F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중분류</w:t>
            </w:r>
          </w:p>
        </w:tc>
        <w:tc>
          <w:tcPr>
            <w:tcW w:type="dxa" w:w="1500"/>
            <w:shd w:fill="1F3A5F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세부</w:t>
            </w:r>
          </w:p>
        </w:tc>
        <w:tc>
          <w:tcPr>
            <w:tcW w:type="dxa" w:w="4200"/>
            <w:shd w:fill="1F3A5F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요구사항</w:t>
            </w:r>
          </w:p>
        </w:tc>
        <w:tc>
          <w:tcPr>
            <w:tcW w:type="dxa" w:w="640"/>
            <w:shd w:fill="1F3A5F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협의</w:t>
            </w:r>
          </w:p>
        </w:tc>
      </w:tr>
      <w:tr>
        <w:tc>
          <w:tcPr>
            <w:tcW w:type="dxa" w:w="56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19</w:t>
            </w:r>
          </w:p>
        </w:tc>
        <w:tc>
          <w:tcPr>
            <w:tcW w:type="dxa" w:w="15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생산</w:t>
            </w:r>
          </w:p>
        </w:tc>
        <w:tc>
          <w:tcPr>
            <w:tcW w:type="dxa" w:w="15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BOM 기준</w:t>
            </w:r>
          </w:p>
        </w:tc>
        <w:tc>
          <w:tcPr>
            <w:tcW w:type="dxa" w:w="42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생산은 BOM 기준으로 관리되며, 단순 조립과 복합 장비 생산을 모두 지원해야 한다.</w:t>
            </w:r>
          </w:p>
        </w:tc>
        <w:tc>
          <w:tcPr>
            <w:tcW w:type="dxa" w:w="64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6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20</w:t>
            </w:r>
          </w:p>
        </w:tc>
        <w:tc>
          <w:tcPr>
            <w:tcW w:type="dxa" w:w="15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원가</w:t>
            </w:r>
          </w:p>
        </w:tc>
        <w:tc>
          <w:tcPr>
            <w:tcW w:type="dxa" w:w="15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생산품</w:t>
            </w:r>
          </w:p>
        </w:tc>
        <w:tc>
          <w:tcPr>
            <w:tcW w:type="dxa" w:w="42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생산품은 표준원가(Standard Cost = 직접비 + 표준비용) 기준으로 관리한다.</w:t>
            </w:r>
          </w:p>
        </w:tc>
        <w:tc>
          <w:tcPr>
            <w:tcW w:type="dxa" w:w="64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맑은 고딕" w:cs="맑은 고딕" w:eastAsia="맑은 고딕" w:hAnsi="맑은 고딕"/>
                <w:color w:val="C07F1E"/>
                <w:sz w:val="15"/>
                <w:szCs w:val="15"/>
              </w:rPr>
              <w:t xml:space="preserve">협의</w:t>
            </w:r>
          </w:p>
        </w:tc>
      </w:tr>
      <w:tr>
        <w:tc>
          <w:tcPr>
            <w:tcW w:type="dxa" w:w="56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21</w:t>
            </w:r>
          </w:p>
        </w:tc>
        <w:tc>
          <w:tcPr>
            <w:tcW w:type="dxa" w:w="15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계획</w:t>
            </w:r>
          </w:p>
        </w:tc>
        <w:tc>
          <w:tcPr>
            <w:tcW w:type="dxa" w:w="15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생산계획</w:t>
            </w:r>
          </w:p>
        </w:tc>
        <w:tc>
          <w:tcPr>
            <w:tcW w:type="dxa" w:w="42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수요예측·수주 기반으로 생산계획(MPS)→작업지시→작업실행을 관리한다. (관심 모듈)</w:t>
            </w:r>
          </w:p>
        </w:tc>
        <w:tc>
          <w:tcPr>
            <w:tcW w:type="dxa" w:w="64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6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22</w:t>
            </w:r>
          </w:p>
        </w:tc>
        <w:tc>
          <w:tcPr>
            <w:tcW w:type="dxa" w:w="15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추적성</w:t>
            </w:r>
          </w:p>
        </w:tc>
        <w:tc>
          <w:tcPr>
            <w:tcW w:type="dxa" w:w="15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시리얼</w:t>
            </w:r>
          </w:p>
        </w:tc>
        <w:tc>
          <w:tcPr>
            <w:tcW w:type="dxa" w:w="42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장비 단위 Serial 관리 및 납품 이력 관리가 가능해야 한다.</w:t>
            </w:r>
          </w:p>
        </w:tc>
        <w:tc>
          <w:tcPr>
            <w:tcW w:type="dxa" w:w="64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23</w:t>
            </w:r>
          </w:p>
        </w:tc>
        <w:tc>
          <w:tcPr>
            <w:tcW w:type="dxa" w:w="15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추적성</w:t>
            </w:r>
          </w:p>
        </w:tc>
        <w:tc>
          <w:tcPr>
            <w:tcW w:type="dxa" w:w="15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Lot</w:t>
            </w:r>
          </w:p>
        </w:tc>
        <w:tc>
          <w:tcPr>
            <w:tcW w:type="dxa" w:w="42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일부 부품·소모품에 대해 Lot 관리가 가능해야 한다.</w:t>
            </w:r>
          </w:p>
        </w:tc>
        <w:tc>
          <w:tcPr>
            <w:tcW w:type="dxa" w:w="64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6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24</w:t>
            </w:r>
          </w:p>
        </w:tc>
        <w:tc>
          <w:tcPr>
            <w:tcW w:type="dxa" w:w="15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재고</w:t>
            </w:r>
          </w:p>
        </w:tc>
        <w:tc>
          <w:tcPr>
            <w:tcW w:type="dxa" w:w="15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위치</w:t>
            </w:r>
          </w:p>
        </w:tc>
        <w:tc>
          <w:tcPr>
            <w:tcW w:type="dxa" w:w="42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초기에는 Location/Bin 수준의 기본 재고 관리를 수행한다. (WMS는 확장)</w:t>
            </w:r>
          </w:p>
        </w:tc>
        <w:tc>
          <w:tcPr>
            <w:tcW w:type="dxa" w:w="64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/>
            </w:r>
          </w:p>
        </w:tc>
      </w:tr>
    </w:tbl>
    <w:p>
      <w:pPr>
        <w:spacing w:after="40" w:before="0" w:line="288"/>
      </w:pPr>
      <w:r>
        <w:rPr>
          <w:rFonts w:ascii="맑은 고딕" w:cs="맑은 고딕" w:eastAsia="맑은 고딕" w:hAnsi="맑은 고딕"/>
          <w:color w:val="222B36"/>
          <w:sz w:val="8"/>
          <w:szCs w:val="8"/>
        </w:rPr>
        <w:t xml:space="preserve"/>
      </w:r>
    </w:p>
    <w:p>
      <w:pPr>
        <w:pStyle w:val="Heading2"/>
        <w:spacing w:after="90" w:before="190"/>
      </w:pPr>
      <w:r>
        <w:rPr>
          <w:rFonts w:ascii="맑은 고딕" w:cs="맑은 고딕" w:eastAsia="맑은 고딕" w:hAnsi="맑은 고딕"/>
          <w:b/>
          <w:bCs/>
          <w:color w:val="714B67"/>
          <w:sz w:val="22"/>
          <w:szCs w:val="22"/>
        </w:rPr>
        <w:t xml:space="preserve">▎</w:t>
      </w:r>
      <w:r>
        <w:rPr>
          <w:rFonts w:ascii="맑은 고딕" w:cs="맑은 고딕" w:eastAsia="맑은 고딕" w:hAnsi="맑은 고딕"/>
          <w:b/>
          <w:bCs/>
          <w:color w:val="1F3A5F"/>
          <w:sz w:val="23"/>
          <w:szCs w:val="23"/>
        </w:rPr>
        <w:t xml:space="preserve">4-5. 회계 · 재무</w:t>
      </w:r>
    </w:p>
    <w:tbl>
      <w:tblPr>
        <w:tblW w:type="dxa" w:w="8400"/>
        <w:tblBorders>
          <w:top w:val="single" w:color="C9D3DE" w:sz="6"/>
          <w:left w:val="single" w:color="C9D3DE" w:sz="6"/>
          <w:bottom w:val="single" w:color="C9D3DE" w:sz="6"/>
          <w:right w:val="single" w:color="C9D3DE" w:sz="6"/>
          <w:insideH w:val="single" w:color="C9D3DE" w:sz="6"/>
          <w:insideV w:val="single" w:color="C9D3DE" w:sz="6"/>
        </w:tblBorders>
      </w:tblPr>
      <w:tblGrid>
        <w:gridCol w:w="560"/>
        <w:gridCol w:w="1500"/>
        <w:gridCol w:w="1500"/>
        <w:gridCol w:w="4200"/>
        <w:gridCol w:w="640"/>
      </w:tblGrid>
      <w:tr>
        <w:trPr>
          <w:tblHeader/>
        </w:trPr>
        <w:tc>
          <w:tcPr>
            <w:tcW w:type="dxa" w:w="560"/>
            <w:shd w:fill="1F3A5F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No</w:t>
            </w:r>
          </w:p>
        </w:tc>
        <w:tc>
          <w:tcPr>
            <w:tcW w:type="dxa" w:w="1500"/>
            <w:shd w:fill="1F3A5F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중분류</w:t>
            </w:r>
          </w:p>
        </w:tc>
        <w:tc>
          <w:tcPr>
            <w:tcW w:type="dxa" w:w="1500"/>
            <w:shd w:fill="1F3A5F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세부</w:t>
            </w:r>
          </w:p>
        </w:tc>
        <w:tc>
          <w:tcPr>
            <w:tcW w:type="dxa" w:w="4200"/>
            <w:shd w:fill="1F3A5F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요구사항</w:t>
            </w:r>
          </w:p>
        </w:tc>
        <w:tc>
          <w:tcPr>
            <w:tcW w:type="dxa" w:w="640"/>
            <w:shd w:fill="1F3A5F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협의</w:t>
            </w:r>
          </w:p>
        </w:tc>
      </w:tr>
      <w:tr>
        <w:tc>
          <w:tcPr>
            <w:tcW w:type="dxa" w:w="56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25</w:t>
            </w:r>
          </w:p>
        </w:tc>
        <w:tc>
          <w:tcPr>
            <w:tcW w:type="dxa" w:w="15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기본 회계</w:t>
            </w:r>
          </w:p>
        </w:tc>
        <w:tc>
          <w:tcPr>
            <w:tcW w:type="dxa" w:w="15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AP/AR</w:t>
            </w:r>
          </w:p>
        </w:tc>
        <w:tc>
          <w:tcPr>
            <w:tcW w:type="dxa" w:w="42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매입채무(AP)·매출채권(AR)은 Odoo 내에서 관리되며, 전표 입력 시 승인 단계가 적용된다.</w:t>
            </w:r>
          </w:p>
        </w:tc>
        <w:tc>
          <w:tcPr>
            <w:tcW w:type="dxa" w:w="64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6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26</w:t>
            </w:r>
          </w:p>
        </w:tc>
        <w:tc>
          <w:tcPr>
            <w:tcW w:type="dxa" w:w="15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외화</w:t>
            </w:r>
          </w:p>
        </w:tc>
        <w:tc>
          <w:tcPr>
            <w:tcW w:type="dxa" w:w="15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수입 거래</w:t>
            </w:r>
          </w:p>
        </w:tc>
        <w:tc>
          <w:tcPr>
            <w:tcW w:type="dxa" w:w="42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해외 수입 중심의 외화 거래를 관리하고, 환차손익을 계산·분개할 수 있어야 한다.</w:t>
            </w:r>
          </w:p>
        </w:tc>
        <w:tc>
          <w:tcPr>
            <w:tcW w:type="dxa" w:w="64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맑은 고딕" w:cs="맑은 고딕" w:eastAsia="맑은 고딕" w:hAnsi="맑은 고딕"/>
                <w:color w:val="C07F1E"/>
                <w:sz w:val="15"/>
                <w:szCs w:val="15"/>
              </w:rPr>
              <w:t xml:space="preserve">협의</w:t>
            </w:r>
          </w:p>
        </w:tc>
      </w:tr>
      <w:tr>
        <w:tc>
          <w:tcPr>
            <w:tcW w:type="dxa" w:w="56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27</w:t>
            </w:r>
          </w:p>
        </w:tc>
        <w:tc>
          <w:tcPr>
            <w:tcW w:type="dxa" w:w="15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장부</w:t>
            </w:r>
          </w:p>
        </w:tc>
        <w:tc>
          <w:tcPr>
            <w:tcW w:type="dxa" w:w="15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원장</w:t>
            </w:r>
          </w:p>
        </w:tc>
        <w:tc>
          <w:tcPr>
            <w:tcW w:type="dxa" w:w="42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계정별·거래처별 원장, 합계잔액시산표, Aging Report를 제공해야 한다.</w:t>
            </w:r>
          </w:p>
        </w:tc>
        <w:tc>
          <w:tcPr>
            <w:tcW w:type="dxa" w:w="64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6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28</w:t>
            </w:r>
          </w:p>
        </w:tc>
        <w:tc>
          <w:tcPr>
            <w:tcW w:type="dxa" w:w="15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관리 보고</w:t>
            </w:r>
          </w:p>
        </w:tc>
        <w:tc>
          <w:tcPr>
            <w:tcW w:type="dxa" w:w="15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프로젝트 손익</w:t>
            </w:r>
          </w:p>
        </w:tc>
        <w:tc>
          <w:tcPr>
            <w:tcW w:type="dxa" w:w="42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프로젝트별 손익 현황을 제공하며, AR/AP 입력 단계에서 프로젝트를 선택할 수 있어야 한다.</w:t>
            </w:r>
          </w:p>
        </w:tc>
        <w:tc>
          <w:tcPr>
            <w:tcW w:type="dxa" w:w="64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29</w:t>
            </w:r>
          </w:p>
        </w:tc>
        <w:tc>
          <w:tcPr>
            <w:tcW w:type="dxa" w:w="15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마감</w:t>
            </w:r>
          </w:p>
        </w:tc>
        <w:tc>
          <w:tcPr>
            <w:tcW w:type="dxa" w:w="15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월 Closing</w:t>
            </w:r>
          </w:p>
        </w:tc>
        <w:tc>
          <w:tcPr>
            <w:tcW w:type="dxa" w:w="42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월 마감 이후 수정이 필요한 경우 Closing을 Open하고 수정할 수 있어야 한다.</w:t>
            </w:r>
          </w:p>
        </w:tc>
        <w:tc>
          <w:tcPr>
            <w:tcW w:type="dxa" w:w="64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/>
            </w:r>
          </w:p>
        </w:tc>
      </w:tr>
    </w:tbl>
    <w:p>
      <w:pPr>
        <w:spacing w:after="40" w:before="0" w:line="288"/>
      </w:pPr>
      <w:r>
        <w:rPr>
          <w:rFonts w:ascii="맑은 고딕" w:cs="맑은 고딕" w:eastAsia="맑은 고딕" w:hAnsi="맑은 고딕"/>
          <w:color w:val="222B36"/>
          <w:sz w:val="8"/>
          <w:szCs w:val="8"/>
        </w:rPr>
        <w:t xml:space="preserve"/>
      </w:r>
    </w:p>
    <w:p>
      <w:pPr>
        <w:pStyle w:val="Heading2"/>
        <w:spacing w:after="90" w:before="190"/>
      </w:pPr>
      <w:r>
        <w:rPr>
          <w:rFonts w:ascii="맑은 고딕" w:cs="맑은 고딕" w:eastAsia="맑은 고딕" w:hAnsi="맑은 고딕"/>
          <w:b/>
          <w:bCs/>
          <w:color w:val="714B67"/>
          <w:sz w:val="22"/>
          <w:szCs w:val="22"/>
        </w:rPr>
        <w:t xml:space="preserve">▎</w:t>
      </w:r>
      <w:r>
        <w:rPr>
          <w:rFonts w:ascii="맑은 고딕" w:cs="맑은 고딕" w:eastAsia="맑은 고딕" w:hAnsi="맑은 고딕"/>
          <w:b/>
          <w:bCs/>
          <w:color w:val="1F3A5F"/>
          <w:sz w:val="23"/>
          <w:szCs w:val="23"/>
        </w:rPr>
        <w:t xml:space="preserve">4-6. 프로젝트 · 성과(KPI)</w:t>
      </w:r>
    </w:p>
    <w:tbl>
      <w:tblPr>
        <w:tblW w:type="dxa" w:w="8400"/>
        <w:tblBorders>
          <w:top w:val="single" w:color="C9D3DE" w:sz="6"/>
          <w:left w:val="single" w:color="C9D3DE" w:sz="6"/>
          <w:bottom w:val="single" w:color="C9D3DE" w:sz="6"/>
          <w:right w:val="single" w:color="C9D3DE" w:sz="6"/>
          <w:insideH w:val="single" w:color="C9D3DE" w:sz="6"/>
          <w:insideV w:val="single" w:color="C9D3DE" w:sz="6"/>
        </w:tblBorders>
      </w:tblPr>
      <w:tblGrid>
        <w:gridCol w:w="560"/>
        <w:gridCol w:w="1500"/>
        <w:gridCol w:w="1500"/>
        <w:gridCol w:w="4200"/>
        <w:gridCol w:w="640"/>
      </w:tblGrid>
      <w:tr>
        <w:trPr>
          <w:tblHeader/>
        </w:trPr>
        <w:tc>
          <w:tcPr>
            <w:tcW w:type="dxa" w:w="560"/>
            <w:shd w:fill="1F3A5F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No</w:t>
            </w:r>
          </w:p>
        </w:tc>
        <w:tc>
          <w:tcPr>
            <w:tcW w:type="dxa" w:w="1500"/>
            <w:shd w:fill="1F3A5F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중분류</w:t>
            </w:r>
          </w:p>
        </w:tc>
        <w:tc>
          <w:tcPr>
            <w:tcW w:type="dxa" w:w="1500"/>
            <w:shd w:fill="1F3A5F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세부</w:t>
            </w:r>
          </w:p>
        </w:tc>
        <w:tc>
          <w:tcPr>
            <w:tcW w:type="dxa" w:w="4200"/>
            <w:shd w:fill="1F3A5F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요구사항</w:t>
            </w:r>
          </w:p>
        </w:tc>
        <w:tc>
          <w:tcPr>
            <w:tcW w:type="dxa" w:w="640"/>
            <w:shd w:fill="1F3A5F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협의</w:t>
            </w:r>
          </w:p>
        </w:tc>
      </w:tr>
      <w:tr>
        <w:tc>
          <w:tcPr>
            <w:tcW w:type="dxa" w:w="56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30</w:t>
            </w:r>
          </w:p>
        </w:tc>
        <w:tc>
          <w:tcPr>
            <w:tcW w:type="dxa" w:w="15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프로젝트</w:t>
            </w:r>
          </w:p>
        </w:tc>
        <w:tc>
          <w:tcPr>
            <w:tcW w:type="dxa" w:w="15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전환</w:t>
            </w:r>
          </w:p>
        </w:tc>
        <w:tc>
          <w:tcPr>
            <w:tcW w:type="dxa" w:w="42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Opportunity를 Project로 전환하여 관리할 수 있어야 한다.</w:t>
            </w:r>
          </w:p>
        </w:tc>
        <w:tc>
          <w:tcPr>
            <w:tcW w:type="dxa" w:w="64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6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31</w:t>
            </w:r>
          </w:p>
        </w:tc>
        <w:tc>
          <w:tcPr>
            <w:tcW w:type="dxa" w:w="15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프로젝트</w:t>
            </w:r>
          </w:p>
        </w:tc>
        <w:tc>
          <w:tcPr>
            <w:tcW w:type="dxa" w:w="15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유형</w:t>
            </w:r>
          </w:p>
        </w:tc>
        <w:tc>
          <w:tcPr>
            <w:tcW w:type="dxa" w:w="42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프로젝트는 고객(장비 납품) 프로젝트와 내부 R&amp;D·개선 프로젝트로 구분 관리한다.</w:t>
            </w:r>
          </w:p>
        </w:tc>
        <w:tc>
          <w:tcPr>
            <w:tcW w:type="dxa" w:w="64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32</w:t>
            </w:r>
          </w:p>
        </w:tc>
        <w:tc>
          <w:tcPr>
            <w:tcW w:type="dxa" w:w="15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비용/수익</w:t>
            </w:r>
          </w:p>
        </w:tc>
        <w:tc>
          <w:tcPr>
            <w:tcW w:type="dxa" w:w="15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연계</w:t>
            </w:r>
          </w:p>
        </w:tc>
        <w:tc>
          <w:tcPr>
            <w:tcW w:type="dxa" w:w="42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프로젝트 기준으로 매입·생산·외주·인건비·출고/설치 비용을 연결 관리한다.</w:t>
            </w:r>
          </w:p>
        </w:tc>
        <w:tc>
          <w:tcPr>
            <w:tcW w:type="dxa" w:w="64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6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33</w:t>
            </w:r>
          </w:p>
        </w:tc>
        <w:tc>
          <w:tcPr>
            <w:tcW w:type="dxa" w:w="15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손익 분석</w:t>
            </w:r>
          </w:p>
        </w:tc>
        <w:tc>
          <w:tcPr>
            <w:tcW w:type="dxa" w:w="15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비교</w:t>
            </w:r>
          </w:p>
        </w:tc>
        <w:tc>
          <w:tcPr>
            <w:tcW w:type="dxa" w:w="42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프로젝트별 예상 손익과 실적 손익을 비교 분석할 수 있어야 한다.</w:t>
            </w:r>
          </w:p>
        </w:tc>
        <w:tc>
          <w:tcPr>
            <w:tcW w:type="dxa" w:w="64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34</w:t>
            </w:r>
          </w:p>
        </w:tc>
        <w:tc>
          <w:tcPr>
            <w:tcW w:type="dxa" w:w="15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납품 이후</w:t>
            </w:r>
          </w:p>
        </w:tc>
        <w:tc>
          <w:tcPr>
            <w:tcW w:type="dxa" w:w="15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설치 이력</w:t>
            </w:r>
          </w:p>
        </w:tc>
        <w:tc>
          <w:tcPr>
            <w:tcW w:type="dxa" w:w="42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시리얼 기준으로 설치 이력 및 향후 유지보수/AS 관리로 확장 가능한 구조를 고려한다.</w:t>
            </w:r>
          </w:p>
        </w:tc>
        <w:tc>
          <w:tcPr>
            <w:tcW w:type="dxa" w:w="64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맑은 고딕" w:cs="맑은 고딕" w:eastAsia="맑은 고딕" w:hAnsi="맑은 고딕"/>
                <w:color w:val="C07F1E"/>
                <w:sz w:val="15"/>
                <w:szCs w:val="15"/>
              </w:rPr>
              <w:t xml:space="preserve">협의</w:t>
            </w:r>
          </w:p>
        </w:tc>
      </w:tr>
      <w:tr>
        <w:tc>
          <w:tcPr>
            <w:tcW w:type="dxa" w:w="56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35</w:t>
            </w:r>
          </w:p>
        </w:tc>
        <w:tc>
          <w:tcPr>
            <w:tcW w:type="dxa" w:w="15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성과</w:t>
            </w:r>
          </w:p>
        </w:tc>
        <w:tc>
          <w:tcPr>
            <w:tcW w:type="dxa" w:w="15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KPI 대시보드</w:t>
            </w:r>
          </w:p>
        </w:tc>
        <w:tc>
          <w:tcPr>
            <w:tcW w:type="dxa" w:w="42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>목표(원가·납기·품질·수익률 등) 대비 실적 달성도를 대시보드로 제공한다. (관심 모듈)</w:t>
            </w:r>
          </w:p>
        </w:tc>
        <w:tc>
          <w:tcPr>
            <w:tcW w:type="dxa" w:w="64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5"/>
                <w:szCs w:val="15"/>
              </w:rPr>
              <w:t xml:space="preserve"/>
            </w:r>
          </w:p>
        </w:tc>
      </w:tr>
    </w:tbl>
    <w:p>
      <w:pPr>
        <w:spacing w:after="40" w:before="0" w:line="288"/>
      </w:pPr>
      <w:r>
        <w:rPr>
          <w:rFonts w:ascii="맑은 고딕" w:cs="맑은 고딕" w:eastAsia="맑은 고딕" w:hAnsi="맑은 고딕"/>
          <w:color w:val="222B36"/>
          <w:sz w:val="8"/>
          <w:szCs w:val="8"/>
        </w:rPr>
        <w:t xml:space="preserve"/>
      </w:r>
    </w:p>
    <w:p>
      <w:pPr>
        <w:pStyle w:val="Heading2"/>
        <w:spacing w:after="90" w:before="190"/>
      </w:pPr>
      <w:r>
        <w:rPr>
          <w:rFonts w:ascii="맑은 고딕" w:cs="맑은 고딕" w:eastAsia="맑은 고딕" w:hAnsi="맑은 고딕"/>
          <w:b/>
          <w:bCs/>
          <w:color w:val="714B67"/>
          <w:sz w:val="22"/>
          <w:szCs w:val="22"/>
        </w:rPr>
        <w:t xml:space="preserve">▎</w:t>
      </w:r>
      <w:r>
        <w:rPr>
          <w:rFonts w:ascii="맑은 고딕" w:cs="맑은 고딕" w:eastAsia="맑은 고딕" w:hAnsi="맑은 고딕"/>
          <w:b/>
          <w:bCs/>
          <w:color w:val="1F3A5F"/>
          <w:sz w:val="23"/>
          <w:szCs w:val="23"/>
        </w:rPr>
        <w:t xml:space="preserve">4-7. 통합(연동) 요구사항</w:t>
      </w:r>
    </w:p>
    <w:tbl>
      <w:tblPr>
        <w:tblW w:type="dxa" w:w="8400"/>
        <w:tblBorders>
          <w:top w:val="single" w:color="C9D3DE" w:sz="6"/>
          <w:left w:val="single" w:color="C9D3DE" w:sz="6"/>
          <w:bottom w:val="single" w:color="C9D3DE" w:sz="6"/>
          <w:right w:val="single" w:color="C9D3DE" w:sz="6"/>
          <w:insideH w:val="single" w:color="C9D3DE" w:sz="6"/>
          <w:insideV w:val="single" w:color="C9D3DE" w:sz="6"/>
        </w:tblBorders>
      </w:tblPr>
      <w:tblGrid>
        <w:gridCol w:w="2100"/>
        <w:gridCol w:w="3400"/>
        <w:gridCol w:w="2900"/>
      </w:tblGrid>
      <w:tr>
        <w:trPr>
          <w:tblHeader/>
        </w:trPr>
        <w:tc>
          <w:tcPr>
            <w:tcW w:type="dxa" w:w="2100"/>
            <w:shd w:fill="714B67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연동 대상</w:t>
            </w:r>
          </w:p>
        </w:tc>
        <w:tc>
          <w:tcPr>
            <w:tcW w:type="dxa" w:w="3400"/>
            <w:shd w:fill="714B67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2900"/>
            <w:shd w:fill="714B67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1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6"/>
                <w:szCs w:val="16"/>
              </w:rPr>
              <w:t xml:space="preserve">이카운트 데이터 이관</w:t>
            </w:r>
          </w:p>
        </w:tc>
        <w:tc>
          <w:tcPr>
            <w:tcW w:type="dxa" w:w="34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6"/>
                <w:szCs w:val="16"/>
              </w:rPr>
              <w:t xml:space="preserve">거래처·품목·BOM·재고·미결 채권채무 등 기초 데이터 이관</w:t>
            </w:r>
          </w:p>
        </w:tc>
        <w:tc>
          <w:tcPr>
            <w:tcW w:type="dxa" w:w="29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6"/>
                <w:szCs w:val="16"/>
              </w:rPr>
              <w:t xml:space="preserve">Phase 1 필수</w:t>
            </w:r>
          </w:p>
        </w:tc>
      </w:tr>
      <w:tr>
        <w:tc>
          <w:tcPr>
            <w:tcW w:type="dxa" w:w="21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6"/>
                <w:szCs w:val="16"/>
              </w:rPr>
              <w:t xml:space="preserve">국세청 홈택스</w:t>
            </w:r>
          </w:p>
        </w:tc>
        <w:tc>
          <w:tcPr>
            <w:tcW w:type="dxa" w:w="34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6"/>
                <w:szCs w:val="16"/>
              </w:rPr>
              <w:t xml:space="preserve">매출·매입 세금계산서 연동</w:t>
            </w:r>
          </w:p>
        </w:tc>
        <w:tc>
          <w:tcPr>
            <w:tcW w:type="dxa" w:w="29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6"/>
                <w:szCs w:val="16"/>
              </w:rPr>
              <w:t xml:space="preserve">Odoo 본사 연동 개발 활용</w:t>
            </w:r>
          </w:p>
        </w:tc>
      </w:tr>
      <w:tr>
        <w:tc>
          <w:tcPr>
            <w:tcW w:type="dxa" w:w="21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6"/>
                <w:szCs w:val="16"/>
              </w:rPr>
              <w:t xml:space="preserve">기업은행/전자결재</w:t>
            </w:r>
          </w:p>
        </w:tc>
        <w:tc>
          <w:tcPr>
            <w:tcW w:type="dxa" w:w="34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6"/>
                <w:szCs w:val="16"/>
              </w:rPr>
              <w:t xml:space="preserve">자금·지출결의 연동</w:t>
            </w:r>
          </w:p>
        </w:tc>
        <w:tc>
          <w:tcPr>
            <w:tcW w:type="dxa" w:w="29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6"/>
                <w:szCs w:val="16"/>
              </w:rPr>
              <w:t xml:space="preserve">API 범위 협의(견적 포함)</w:t>
            </w:r>
          </w:p>
        </w:tc>
      </w:tr>
      <w:tr>
        <w:tc>
          <w:tcPr>
            <w:tcW w:type="dxa" w:w="21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6"/>
                <w:szCs w:val="16"/>
              </w:rPr>
              <w:t xml:space="preserve">모바일</w:t>
            </w:r>
          </w:p>
        </w:tc>
        <w:tc>
          <w:tcPr>
            <w:tcW w:type="dxa" w:w="34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6"/>
                <w:szCs w:val="16"/>
              </w:rPr>
              <w:t xml:space="preserve">모바일/외부 접속(재고 바코드 등)</w:t>
            </w:r>
          </w:p>
        </w:tc>
        <w:tc>
          <w:tcPr>
            <w:tcW w:type="dxa" w:w="29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6"/>
                <w:szCs w:val="16"/>
              </w:rPr>
              <w:t xml:space="preserve">Odoo 기본 앱 활용</w:t>
            </w:r>
          </w:p>
        </w:tc>
      </w:tr>
      <w:tr>
        <w:tc>
          <w:tcPr>
            <w:tcW w:type="dxa" w:w="21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6"/>
                <w:szCs w:val="16"/>
              </w:rPr>
              <w:t xml:space="preserve">관세청 Unipass</w:t>
            </w:r>
          </w:p>
        </w:tc>
        <w:tc>
          <w:tcPr>
            <w:tcW w:type="dxa" w:w="34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6"/>
                <w:szCs w:val="16"/>
              </w:rPr>
              <w:t xml:space="preserve">수입면장·통관(해외 수입 시)</w:t>
            </w:r>
          </w:p>
        </w:tc>
        <w:tc>
          <w:tcPr>
            <w:tcW w:type="dxa" w:w="29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6"/>
                <w:szCs w:val="16"/>
              </w:rPr>
              <w:t xml:space="preserve">해당 시 API 협의</w:t>
            </w:r>
          </w:p>
        </w:tc>
      </w:tr>
    </w:tbl>
    <w:p>
      <w:pPr>
        <w:pStyle w:val="Heading1"/>
        <w:pageBreakBefore/>
        <w:pBdr>
          <w:bottom w:val="single" w:color="1F3A5F" w:sz="12" w:space="5"/>
        </w:pBdr>
        <w:spacing w:after="140" w:before="60"/>
      </w:pPr>
      <w:r>
        <w:rPr>
          <w:rFonts w:ascii="맑은 고딕" w:cs="맑은 고딕" w:eastAsia="맑은 고딕" w:hAnsi="맑은 고딕"/>
          <w:b/>
          <w:bCs/>
          <w:color w:val="1F3A5F"/>
          <w:sz w:val="28"/>
          <w:szCs w:val="28"/>
        </w:rPr>
        <w:t xml:space="preserve">5. 구축 방법론 · 일정</w:t>
      </w:r>
    </w:p>
    <w:p>
      <w:pPr>
        <w:spacing w:after="110" w:before="0" w:line="288"/>
      </w:pPr>
      <w:r>
        <w:rPr>
          <w:rFonts w:ascii="맑은 고딕" w:cs="맑은 고딕" w:eastAsia="맑은 고딕" w:hAnsi="맑은 고딕"/>
          <w:b/>
          <w:bCs/>
          <w:color w:val="222B36"/>
          <w:sz w:val="20"/>
          <w:szCs w:val="20"/>
        </w:rPr>
        <w:t xml:space="preserve">검증된 6단계 방법론</w:t>
      </w:r>
      <w:r>
        <w:rPr>
          <w:rFonts w:ascii="맑은 고딕" w:cs="맑은 고딕" w:eastAsia="맑은 고딕" w:hAnsi="맑은 고딕"/>
          <w:color w:val="222B36"/>
          <w:sz w:val="20"/>
          <w:szCs w:val="20"/>
        </w:rPr>
        <w:t xml:space="preserve">(Discovery → Blueprint → Realization → Testing → Training → Go-Live)에 </w:t>
      </w:r>
      <w:r>
        <w:rPr>
          <w:rFonts w:ascii="맑은 고딕" w:cs="맑은 고딕" w:eastAsia="맑은 고딕" w:hAnsi="맑은 고딕"/>
          <w:b/>
          <w:bCs/>
          <w:color w:val="714B67"/>
          <w:sz w:val="20"/>
          <w:szCs w:val="20"/>
        </w:rPr>
        <w:t xml:space="preserve">Agile 스프린트(3~4회)</w:t>
      </w:r>
      <w:r>
        <w:rPr>
          <w:rFonts w:ascii="맑은 고딕" w:cs="맑은 고딕" w:eastAsia="맑은 고딕" w:hAnsi="맑은 고딕"/>
          <w:color w:val="222B36"/>
          <w:sz w:val="20"/>
          <w:szCs w:val="20"/>
        </w:rPr>
        <w:t xml:space="preserve">를 접목합니다. 각 스프린트 종료 시 코아콘 Key User의 리뷰·피드백을 반영해 요구사항과 실제 시스템 간의 갭(Gap)을 최소화합니다.</w:t>
      </w:r>
    </w:p>
    <w:tbl>
      <w:tblPr>
        <w:tblW w:type="dxa" w:w="8400"/>
        <w:tblBorders>
          <w:top w:val="single" w:color="C9D3DE" w:sz="6"/>
          <w:left w:val="single" w:color="C9D3DE" w:sz="6"/>
          <w:bottom w:val="single" w:color="C9D3DE" w:sz="6"/>
          <w:right w:val="single" w:color="C9D3DE" w:sz="6"/>
          <w:insideH w:val="single" w:color="C9D3DE" w:sz="6"/>
          <w:insideV w:val="single" w:color="C9D3DE" w:sz="6"/>
        </w:tblBorders>
      </w:tblPr>
      <w:tblGrid>
        <w:gridCol w:w="1400"/>
        <w:gridCol w:w="2600"/>
        <w:gridCol w:w="4400"/>
      </w:tblGrid>
      <w:tr>
        <w:trPr>
          <w:tblHeader/>
        </w:trPr>
        <w:tc>
          <w:tcPr>
            <w:tcW w:type="dxa" w:w="1400"/>
            <w:shd w:fill="1F3A5F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600"/>
            <w:shd w:fill="1F3A5F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기간(안)</w:t>
            </w:r>
          </w:p>
        </w:tc>
        <w:tc>
          <w:tcPr>
            <w:tcW w:type="dxa" w:w="4400"/>
            <w:shd w:fill="1F3A5F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주요 활동·산출물</w:t>
            </w:r>
          </w:p>
        </w:tc>
      </w:tr>
      <w:tr>
        <w:tc>
          <w:tcPr>
            <w:tcW w:type="dxa" w:w="14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7"/>
                <w:szCs w:val="17"/>
              </w:rPr>
              <w:t xml:space="preserve">1. 분석 설계</w:t>
            </w:r>
          </w:p>
        </w:tc>
        <w:tc>
          <w:tcPr>
            <w:tcW w:type="dxa" w:w="26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7"/>
                <w:szCs w:val="17"/>
              </w:rPr>
              <w:t xml:space="preserve">1~2개월</w:t>
            </w:r>
          </w:p>
        </w:tc>
        <w:tc>
          <w:tcPr>
            <w:tcW w:type="dxa" w:w="44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7"/>
                <w:szCs w:val="17"/>
              </w:rPr>
              <w:t xml:space="preserve">요구사항 정의·As-Is 분석·통합 범위·WBS</w:t>
            </w:r>
          </w:p>
        </w:tc>
      </w:tr>
      <w:tr>
        <w:tc>
          <w:tcPr>
            <w:tcW w:type="dxa" w:w="14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7"/>
                <w:szCs w:val="17"/>
              </w:rPr>
              <w:t xml:space="preserve">2. 설계(Blueprint)</w:t>
            </w:r>
          </w:p>
        </w:tc>
        <w:tc>
          <w:tcPr>
            <w:tcW w:type="dxa" w:w="26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7"/>
                <w:szCs w:val="17"/>
              </w:rPr>
              <w:t xml:space="preserve"/>
            </w:r>
          </w:p>
        </w:tc>
        <w:tc>
          <w:tcPr>
            <w:tcW w:type="dxa" w:w="44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7"/>
                <w:szCs w:val="17"/>
              </w:rPr>
              <w:t xml:space="preserve">To-Be 설계서·화면 흐름·커스터마이징 범위 확정(Sign-off)</w:t>
            </w:r>
          </w:p>
        </w:tc>
      </w:tr>
      <w:tr>
        <w:tc>
          <w:tcPr>
            <w:tcW w:type="dxa" w:w="14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7"/>
                <w:szCs w:val="17"/>
              </w:rPr>
              <w:t xml:space="preserve">3. 개발·구축</w:t>
            </w:r>
          </w:p>
        </w:tc>
        <w:tc>
          <w:tcPr>
            <w:tcW w:type="dxa" w:w="26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7"/>
                <w:szCs w:val="17"/>
              </w:rPr>
              <w:t xml:space="preserve">2~4개월</w:t>
            </w:r>
          </w:p>
        </w:tc>
        <w:tc>
          <w:tcPr>
            <w:tcW w:type="dxa" w:w="44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7"/>
                <w:szCs w:val="17"/>
              </w:rPr>
              <w:t xml:space="preserve">CRM·구매·생산·재고·회계 설정 + 이카운트 데이터 이관(스프린트 3회)</w:t>
            </w:r>
          </w:p>
        </w:tc>
      </w:tr>
      <w:tr>
        <w:tc>
          <w:tcPr>
            <w:tcW w:type="dxa" w:w="14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7"/>
                <w:szCs w:val="17"/>
              </w:rPr>
              <w:t xml:space="preserve">4. 테스트</w:t>
            </w:r>
          </w:p>
        </w:tc>
        <w:tc>
          <w:tcPr>
            <w:tcW w:type="dxa" w:w="26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7"/>
                <w:szCs w:val="17"/>
              </w:rPr>
              <w:t xml:space="preserve"/>
            </w:r>
          </w:p>
        </w:tc>
        <w:tc>
          <w:tcPr>
            <w:tcW w:type="dxa" w:w="44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7"/>
                <w:szCs w:val="17"/>
              </w:rPr>
              <w:t xml:space="preserve">통합·사용자 인수 테스트(UAT)·이슈 개선</w:t>
            </w:r>
          </w:p>
        </w:tc>
      </w:tr>
      <w:tr>
        <w:tc>
          <w:tcPr>
            <w:tcW w:type="dxa" w:w="14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7"/>
                <w:szCs w:val="17"/>
              </w:rPr>
              <w:t xml:space="preserve">5. 교육·인수</w:t>
            </w:r>
          </w:p>
        </w:tc>
        <w:tc>
          <w:tcPr>
            <w:tcW w:type="dxa" w:w="26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7"/>
                <w:szCs w:val="17"/>
              </w:rPr>
              <w:t xml:space="preserve"/>
            </w:r>
          </w:p>
        </w:tc>
        <w:tc>
          <w:tcPr>
            <w:tcW w:type="dxa" w:w="44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7"/>
                <w:szCs w:val="17"/>
              </w:rPr>
              <w:t xml:space="preserve">업무별 교육·운영 가이드·Go-Live 체크리스트</w:t>
            </w:r>
          </w:p>
        </w:tc>
      </w:tr>
      <w:tr>
        <w:tc>
          <w:tcPr>
            <w:tcW w:type="dxa" w:w="14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7"/>
                <w:szCs w:val="17"/>
              </w:rPr>
              <w:t xml:space="preserve">6. Go-Live</w:t>
            </w:r>
          </w:p>
        </w:tc>
        <w:tc>
          <w:tcPr>
            <w:tcW w:type="dxa" w:w="26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7"/>
                <w:szCs w:val="17"/>
              </w:rPr>
              <w:t xml:space="preserve"/>
            </w:r>
          </w:p>
        </w:tc>
        <w:tc>
          <w:tcPr>
            <w:tcW w:type="dxa" w:w="44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맑은 고딕" w:cs="맑은 고딕" w:eastAsia="맑은 고딕" w:hAnsi="맑은 고딕"/>
                <w:color w:val="222B36"/>
                <w:sz w:val="17"/>
                <w:szCs w:val="17"/>
              </w:rPr>
              <w:t xml:space="preserve">운영 적용 + 안정화(Hypercare) + 유지보수 전환</w:t>
            </w:r>
          </w:p>
        </w:tc>
      </w:tr>
    </w:tbl>
    <w:p>
      <w:pPr>
        <w:spacing w:after="40" w:before="0" w:line="288"/>
      </w:pPr>
      <w:r>
        <w:rPr>
          <w:rFonts w:ascii="맑은 고딕" w:cs="맑은 고딕" w:eastAsia="맑은 고딕" w:hAnsi="맑은 고딕"/>
          <w:color w:val="222B36"/>
          <w:sz w:val="8"/>
          <w:szCs w:val="8"/>
        </w:rPr>
        <w:t xml:space="preserve"/>
      </w:r>
    </w:p>
    <w:p>
      <w:pPr>
        <w:spacing w:after="110" w:before="0" w:line="288"/>
      </w:pPr>
      <w:r>
        <w:rPr>
          <w:rFonts w:ascii="맑은 고딕" w:cs="맑은 고딕" w:eastAsia="맑은 고딕" w:hAnsi="맑은 고딕"/>
          <w:color w:val="6B7480"/>
          <w:sz w:val="20"/>
          <w:szCs w:val="20"/>
        </w:rPr>
        <w:t xml:space="preserve">※ 표준 프로젝트 기준 약 6~9개월이며, </w:t>
      </w:r>
      <w:r>
        <w:rPr>
          <w:rFonts w:ascii="맑은 고딕" w:cs="맑은 고딕" w:eastAsia="맑은 고딕" w:hAnsi="맑은 고딕"/>
          <w:b/>
          <w:bCs/>
          <w:color w:val="6B7480"/>
          <w:sz w:val="20"/>
          <w:szCs w:val="20"/>
        </w:rPr>
        <w:t xml:space="preserve">코아콘의 실제 범위·인력에 따라 착수 시 확정</w:t>
      </w:r>
      <w:r>
        <w:rPr>
          <w:rFonts w:ascii="맑은 고딕" w:cs="맑은 고딕" w:eastAsia="맑은 고딕" w:hAnsi="맑은 고딕"/>
          <w:color w:val="6B7480"/>
          <w:sz w:val="20"/>
          <w:szCs w:val="20"/>
        </w:rPr>
        <w:t xml:space="preserve">합니다. 미완 기능은 차기 Phase로 이관하여 Go-Live 일정을 지킵니다.</w:t>
      </w:r>
    </w:p>
    <w:p>
      <w:pPr>
        <w:pStyle w:val="Heading2"/>
        <w:spacing w:after="90" w:before="190"/>
      </w:pPr>
      <w:r>
        <w:rPr>
          <w:rFonts w:ascii="맑은 고딕" w:cs="맑은 고딕" w:eastAsia="맑은 고딕" w:hAnsi="맑은 고딕"/>
          <w:b/>
          <w:bCs/>
          <w:color w:val="714B67"/>
          <w:sz w:val="22"/>
          <w:szCs w:val="22"/>
        </w:rPr>
        <w:t xml:space="preserve">▎</w:t>
      </w:r>
      <w:r>
        <w:rPr>
          <w:rFonts w:ascii="맑은 고딕" w:cs="맑은 고딕" w:eastAsia="맑은 고딕" w:hAnsi="맑은 고딕"/>
          <w:b/>
          <w:bCs/>
          <w:color w:val="1F3A5F"/>
          <w:sz w:val="23"/>
          <w:szCs w:val="23"/>
        </w:rPr>
        <w:t xml:space="preserve">이카운트 → Odoo 데이터 이관 방안</w:t>
      </w:r>
    </w:p>
    <w:p>
      <w:pPr>
        <w:spacing w:after="70" w:line="284"/>
        <w:ind w:left="380" w:hanging="250"/>
      </w:pPr>
      <w:r>
        <w:rPr>
          <w:rFonts w:ascii="맑은 고딕" w:cs="맑은 고딕" w:eastAsia="맑은 고딕" w:hAnsi="맑은 고딕"/>
          <w:b/>
          <w:bCs/>
          <w:color w:val="0E8F86"/>
          <w:sz w:val="20"/>
          <w:szCs w:val="20"/>
        </w:rPr>
        <w:t xml:space="preserve">1. </w:t>
      </w:r>
      <w:r>
        <w:rPr>
          <w:rFonts w:ascii="맑은 고딕" w:cs="맑은 고딕" w:eastAsia="맑은 고딕" w:hAnsi="맑은 고딕"/>
          <w:b/>
          <w:bCs/>
          <w:color w:val="222B36"/>
          <w:sz w:val="20"/>
          <w:szCs w:val="20"/>
        </w:rPr>
        <w:t xml:space="preserve">추출 : </w:t>
      </w:r>
      <w:r>
        <w:rPr>
          <w:rFonts w:ascii="맑은 고딕" w:cs="맑은 고딕" w:eastAsia="맑은 고딕" w:hAnsi="맑은 고딕"/>
          <w:color w:val="222B36"/>
          <w:sz w:val="20"/>
          <w:szCs w:val="20"/>
        </w:rPr>
        <w:t xml:space="preserve">이카운트에서 거래처·품목·BOM·재고·미결 채권채무를 엑셀로 추출</w:t>
      </w:r>
    </w:p>
    <w:p>
      <w:pPr>
        <w:spacing w:after="70" w:line="284"/>
        <w:ind w:left="380" w:hanging="250"/>
      </w:pPr>
      <w:r>
        <w:rPr>
          <w:rFonts w:ascii="맑은 고딕" w:cs="맑은 고딕" w:eastAsia="맑은 고딕" w:hAnsi="맑은 고딕"/>
          <w:b/>
          <w:bCs/>
          <w:color w:val="0E8F86"/>
          <w:sz w:val="20"/>
          <w:szCs w:val="20"/>
        </w:rPr>
        <w:t xml:space="preserve">2. </w:t>
      </w:r>
      <w:r>
        <w:rPr>
          <w:rFonts w:ascii="맑은 고딕" w:cs="맑은 고딕" w:eastAsia="맑은 고딕" w:hAnsi="맑은 고딕"/>
          <w:b/>
          <w:bCs/>
          <w:color w:val="222B36"/>
          <w:sz w:val="20"/>
          <w:szCs w:val="20"/>
        </w:rPr>
        <w:t xml:space="preserve">정제·매핑 : </w:t>
      </w:r>
      <w:r>
        <w:rPr>
          <w:rFonts w:ascii="맑은 고딕" w:cs="맑은 고딕" w:eastAsia="맑은 고딕" w:hAnsi="맑은 고딕"/>
          <w:color w:val="222B36"/>
          <w:sz w:val="20"/>
          <w:szCs w:val="20"/>
        </w:rPr>
        <w:t xml:space="preserve">Odoo 표준 필드로 매핑(품목코드·계정·거래처 코드 정규화)</w:t>
      </w:r>
    </w:p>
    <w:p>
      <w:pPr>
        <w:spacing w:after="70" w:line="284"/>
        <w:ind w:left="380" w:hanging="250"/>
      </w:pPr>
      <w:r>
        <w:rPr>
          <w:rFonts w:ascii="맑은 고딕" w:cs="맑은 고딕" w:eastAsia="맑은 고딕" w:hAnsi="맑은 고딕"/>
          <w:b/>
          <w:bCs/>
          <w:color w:val="0E8F86"/>
          <w:sz w:val="20"/>
          <w:szCs w:val="20"/>
        </w:rPr>
        <w:t xml:space="preserve">3. </w:t>
      </w:r>
      <w:r>
        <w:rPr>
          <w:rFonts w:ascii="맑은 고딕" w:cs="맑은 고딕" w:eastAsia="맑은 고딕" w:hAnsi="맑은 고딕"/>
          <w:b/>
          <w:bCs/>
          <w:color w:val="222B36"/>
          <w:sz w:val="20"/>
          <w:szCs w:val="20"/>
        </w:rPr>
        <w:t xml:space="preserve">적재·검증 : </w:t>
      </w:r>
      <w:r>
        <w:rPr>
          <w:rFonts w:ascii="맑은 고딕" w:cs="맑은 고딕" w:eastAsia="맑은 고딕" w:hAnsi="맑은 고딕"/>
          <w:color w:val="222B36"/>
          <w:sz w:val="20"/>
          <w:szCs w:val="20"/>
        </w:rPr>
        <w:t xml:space="preserve">테스트 환경에 적재 후 잔액·수량 대사(對査), 오차 0 확인</w:t>
      </w:r>
    </w:p>
    <w:p>
      <w:pPr>
        <w:spacing w:after="70" w:line="284"/>
        <w:ind w:left="380" w:hanging="250"/>
      </w:pPr>
      <w:r>
        <w:rPr>
          <w:rFonts w:ascii="맑은 고딕" w:cs="맑은 고딕" w:eastAsia="맑은 고딕" w:hAnsi="맑은 고딕"/>
          <w:b/>
          <w:bCs/>
          <w:color w:val="0E8F86"/>
          <w:sz w:val="20"/>
          <w:szCs w:val="20"/>
        </w:rPr>
        <w:t xml:space="preserve">4. </w:t>
      </w:r>
      <w:r>
        <w:rPr>
          <w:rFonts w:ascii="맑은 고딕" w:cs="맑은 고딕" w:eastAsia="맑은 고딕" w:hAnsi="맑은 고딕"/>
          <w:b/>
          <w:bCs/>
          <w:color w:val="222B36"/>
          <w:sz w:val="20"/>
          <w:szCs w:val="20"/>
        </w:rPr>
        <w:t xml:space="preserve">전환 : </w:t>
      </w:r>
      <w:r>
        <w:rPr>
          <w:rFonts w:ascii="맑은 고딕" w:cs="맑은 고딕" w:eastAsia="맑은 고딕" w:hAnsi="맑은 고딕"/>
          <w:color w:val="222B36"/>
          <w:sz w:val="20"/>
          <w:szCs w:val="20"/>
        </w:rPr>
        <w:t xml:space="preserve">Go-Live 시점 기준일 재고·미결 잔액 이관 후 개시</w:t>
      </w:r>
    </w:p>
    <w:p>
      <w:pPr>
        <w:pStyle w:val="Heading1"/>
        <w:pageBreakBefore/>
        <w:pBdr>
          <w:bottom w:val="single" w:color="1F3A5F" w:sz="12" w:space="5"/>
        </w:pBdr>
        <w:spacing w:after="140" w:before="60"/>
      </w:pPr>
      <w:r>
        <w:rPr>
          <w:rFonts w:ascii="맑은 고딕" w:cs="맑은 고딕" w:eastAsia="맑은 고딕" w:hAnsi="맑은 고딕"/>
          <w:b/>
          <w:bCs/>
          <w:color w:val="1F3A5F"/>
          <w:sz w:val="28"/>
          <w:szCs w:val="28"/>
        </w:rPr>
        <w:t xml:space="preserve">6. 기대효과 &amp; 사업관리</w:t>
      </w:r>
    </w:p>
    <w:p>
      <w:pPr>
        <w:pStyle w:val="Heading2"/>
        <w:spacing w:after="90" w:before="190"/>
      </w:pPr>
      <w:r>
        <w:rPr>
          <w:rFonts w:ascii="맑은 고딕" w:cs="맑은 고딕" w:eastAsia="맑은 고딕" w:hAnsi="맑은 고딕"/>
          <w:b/>
          <w:bCs/>
          <w:color w:val="714B67"/>
          <w:sz w:val="22"/>
          <w:szCs w:val="22"/>
        </w:rPr>
        <w:t xml:space="preserve">▎</w:t>
      </w:r>
      <w:r>
        <w:rPr>
          <w:rFonts w:ascii="맑은 고딕" w:cs="맑은 고딕" w:eastAsia="맑은 고딕" w:hAnsi="맑은 고딕"/>
          <w:b/>
          <w:bCs/>
          <w:color w:val="1F3A5F"/>
          <w:sz w:val="23"/>
          <w:szCs w:val="23"/>
        </w:rPr>
        <w:t xml:space="preserve">기대효과 (판정 KPI 예시)</w:t>
      </w:r>
    </w:p>
    <w:tbl>
      <w:tblPr>
        <w:tblW w:type="dxa" w:w="8400"/>
        <w:tblBorders>
          <w:top w:val="single" w:color="C9D3DE" w:sz="6"/>
          <w:left w:val="single" w:color="C9D3DE" w:sz="6"/>
          <w:bottom w:val="single" w:color="C9D3DE" w:sz="6"/>
          <w:right w:val="single" w:color="C9D3DE" w:sz="6"/>
          <w:insideH w:val="single" w:color="C9D3DE" w:sz="6"/>
          <w:insideV w:val="single" w:color="C9D3DE" w:sz="6"/>
        </w:tblBorders>
      </w:tblPr>
      <w:tblGrid>
        <w:gridCol w:w="3600"/>
        <w:gridCol w:w="2400"/>
        <w:gridCol w:w="2400"/>
      </w:tblGrid>
      <w:tr>
        <w:trPr>
          <w:tblHeader/>
        </w:trPr>
        <w:tc>
          <w:tcPr>
            <w:tcW w:type="dxa" w:w="3600"/>
            <w:shd w:fill="0E8F86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기대효과</w:t>
            </w:r>
          </w:p>
        </w:tc>
        <w:tc>
          <w:tcPr>
            <w:tcW w:type="dxa" w:w="2400"/>
            <w:shd w:fill="0E8F86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측정 지표</w:t>
            </w:r>
          </w:p>
        </w:tc>
        <w:tc>
          <w:tcPr>
            <w:tcW w:type="dxa" w:w="2400"/>
            <w:shd w:fill="0E8F86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목표(협의)</w:t>
            </w:r>
          </w:p>
        </w:tc>
      </w:tr>
      <w:tr>
        <w:tc>
          <w:tcPr>
            <w:tcW w:type="dxa" w:w="36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맑은 고딕" w:cs="맑은 고딕" w:eastAsia="맑은 고딕" w:hAnsi="맑은 고딕"/>
                <w:color w:val="222B36"/>
                <w:sz w:val="17"/>
                <w:szCs w:val="17"/>
              </w:rPr>
              <w:t xml:space="preserve">업무 통합·중복입력 해소</w:t>
            </w:r>
          </w:p>
        </w:tc>
        <w:tc>
          <w:tcPr>
            <w:tcW w:type="dxa" w:w="24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맑은 고딕" w:cs="맑은 고딕" w:eastAsia="맑은 고딕" w:hAnsi="맑은 고딕"/>
                <w:color w:val="222B36"/>
                <w:sz w:val="17"/>
                <w:szCs w:val="17"/>
              </w:rPr>
              <w:t xml:space="preserve">중복 입력 건수·처리 리드타임</w:t>
            </w:r>
          </w:p>
        </w:tc>
        <w:tc>
          <w:tcPr>
            <w:tcW w:type="dxa" w:w="24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맑은 고딕" w:cs="맑은 고딕" w:eastAsia="맑은 고딕" w:hAnsi="맑은 고딕"/>
                <w:color w:val="222B36"/>
                <w:sz w:val="17"/>
                <w:szCs w:val="17"/>
              </w:rPr>
              <w:t xml:space="preserve">단축</w:t>
            </w:r>
          </w:p>
        </w:tc>
      </w:tr>
      <w:tr>
        <w:tc>
          <w:tcPr>
            <w:tcW w:type="dxa" w:w="36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맑은 고딕" w:cs="맑은 고딕" w:eastAsia="맑은 고딕" w:hAnsi="맑은 고딕"/>
                <w:color w:val="222B36"/>
                <w:sz w:val="17"/>
                <w:szCs w:val="17"/>
              </w:rPr>
              <w:t xml:space="preserve">프로젝트 손익 가시성</w:t>
            </w:r>
          </w:p>
        </w:tc>
        <w:tc>
          <w:tcPr>
            <w:tcW w:type="dxa" w:w="24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맑은 고딕" w:cs="맑은 고딕" w:eastAsia="맑은 고딕" w:hAnsi="맑은 고딕"/>
                <w:color w:val="222B36"/>
                <w:sz w:val="17"/>
                <w:szCs w:val="17"/>
              </w:rPr>
              <w:t xml:space="preserve">예상 vs 실적 손익 오차</w:t>
            </w:r>
          </w:p>
        </w:tc>
        <w:tc>
          <w:tcPr>
            <w:tcW w:type="dxa" w:w="24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맑은 고딕" w:cs="맑은 고딕" w:eastAsia="맑은 고딕" w:hAnsi="맑은 고딕"/>
                <w:color w:val="222B36"/>
                <w:sz w:val="17"/>
                <w:szCs w:val="17"/>
              </w:rPr>
              <w:t xml:space="preserve">관리 기준 확립</w:t>
            </w:r>
          </w:p>
        </w:tc>
      </w:tr>
      <w:tr>
        <w:tc>
          <w:tcPr>
            <w:tcW w:type="dxa" w:w="36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맑은 고딕" w:cs="맑은 고딕" w:eastAsia="맑은 고딕" w:hAnsi="맑은 고딕"/>
                <w:color w:val="222B36"/>
                <w:sz w:val="17"/>
                <w:szCs w:val="17"/>
              </w:rPr>
              <w:t xml:space="preserve">재고·생산 정확도</w:t>
            </w:r>
          </w:p>
        </w:tc>
        <w:tc>
          <w:tcPr>
            <w:tcW w:type="dxa" w:w="24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맑은 고딕" w:cs="맑은 고딕" w:eastAsia="맑은 고딕" w:hAnsi="맑은 고딕"/>
                <w:color w:val="222B36"/>
                <w:sz w:val="17"/>
                <w:szCs w:val="17"/>
              </w:rPr>
              <w:t xml:space="preserve">재고 정확도·계획 준수율</w:t>
            </w:r>
          </w:p>
        </w:tc>
        <w:tc>
          <w:tcPr>
            <w:tcW w:type="dxa" w:w="24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맑은 고딕" w:cs="맑은 고딕" w:eastAsia="맑은 고딕" w:hAnsi="맑은 고딕"/>
                <w:color w:val="222B36"/>
                <w:sz w:val="17"/>
                <w:szCs w:val="17"/>
              </w:rPr>
              <w:t xml:space="preserve">향상</w:t>
            </w:r>
          </w:p>
        </w:tc>
      </w:tr>
      <w:tr>
        <w:tc>
          <w:tcPr>
            <w:tcW w:type="dxa" w:w="36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맑은 고딕" w:cs="맑은 고딕" w:eastAsia="맑은 고딕" w:hAnsi="맑은 고딕"/>
                <w:color w:val="222B36"/>
                <w:sz w:val="17"/>
                <w:szCs w:val="17"/>
              </w:rPr>
              <w:t xml:space="preserve">구매·전표 통제</w:t>
            </w:r>
          </w:p>
        </w:tc>
        <w:tc>
          <w:tcPr>
            <w:tcW w:type="dxa" w:w="24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맑은 고딕" w:cs="맑은 고딕" w:eastAsia="맑은 고딕" w:hAnsi="맑은 고딕"/>
                <w:color w:val="222B36"/>
                <w:sz w:val="17"/>
                <w:szCs w:val="17"/>
              </w:rPr>
              <w:t xml:space="preserve">승인 Workflow 적용률</w:t>
            </w:r>
          </w:p>
        </w:tc>
        <w:tc>
          <w:tcPr>
            <w:tcW w:type="dxa" w:w="2400"/>
            <w:shd w:fill="F5F8FB" w:color="auto" w:val="clear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맑은 고딕" w:cs="맑은 고딕" w:eastAsia="맑은 고딕" w:hAnsi="맑은 고딕"/>
                <w:color w:val="222B36"/>
                <w:sz w:val="17"/>
                <w:szCs w:val="17"/>
              </w:rPr>
              <w:t xml:space="preserve">전 항목 적용</w:t>
            </w:r>
          </w:p>
        </w:tc>
      </w:tr>
      <w:tr>
        <w:tc>
          <w:tcPr>
            <w:tcW w:type="dxa" w:w="36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맑은 고딕" w:cs="맑은 고딕" w:eastAsia="맑은 고딕" w:hAnsi="맑은 고딕"/>
                <w:color w:val="222B36"/>
                <w:sz w:val="17"/>
                <w:szCs w:val="17"/>
              </w:rPr>
              <w:t xml:space="preserve">경영 성과 가시화</w:t>
            </w:r>
          </w:p>
        </w:tc>
        <w:tc>
          <w:tcPr>
            <w:tcW w:type="dxa" w:w="24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맑은 고딕" w:cs="맑은 고딕" w:eastAsia="맑은 고딕" w:hAnsi="맑은 고딕"/>
                <w:color w:val="222B36"/>
                <w:sz w:val="17"/>
                <w:szCs w:val="17"/>
              </w:rPr>
              <w:t xml:space="preserve">KPI 달성도 대시보드</w:t>
            </w:r>
          </w:p>
        </w:tc>
        <w:tc>
          <w:tcPr>
            <w:tcW w:type="dxa" w:w="2400"/>
            <w:tcMar>
              <w:top w:type="dxa" w:w="48"/>
              <w:left w:type="dxa" w:w="96"/>
              <w:bottom w:type="dxa" w:w="48"/>
              <w:right w:type="dxa" w:w="96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맑은 고딕" w:cs="맑은 고딕" w:eastAsia="맑은 고딕" w:hAnsi="맑은 고딕"/>
                <w:color w:val="222B36"/>
                <w:sz w:val="17"/>
                <w:szCs w:val="17"/>
              </w:rPr>
              <w:t xml:space="preserve">실시간 제공</w:t>
            </w:r>
          </w:p>
        </w:tc>
      </w:tr>
    </w:tbl>
    <w:p>
      <w:pPr>
        <w:spacing w:after="40" w:before="0" w:line="288"/>
      </w:pPr>
      <w:r>
        <w:rPr>
          <w:rFonts w:ascii="맑은 고딕" w:cs="맑은 고딕" w:eastAsia="맑은 고딕" w:hAnsi="맑은 고딕"/>
          <w:color w:val="222B36"/>
          <w:sz w:val="8"/>
          <w:szCs w:val="8"/>
        </w:rPr>
        <w:t xml:space="preserve"/>
      </w:r>
    </w:p>
    <w:p>
      <w:pPr>
        <w:pStyle w:val="Heading2"/>
        <w:spacing w:after="90" w:before="190"/>
      </w:pPr>
      <w:r>
        <w:rPr>
          <w:rFonts w:ascii="맑은 고딕" w:cs="맑은 고딕" w:eastAsia="맑은 고딕" w:hAnsi="맑은 고딕"/>
          <w:b/>
          <w:bCs/>
          <w:color w:val="714B67"/>
          <w:sz w:val="22"/>
          <w:szCs w:val="22"/>
        </w:rPr>
        <w:t xml:space="preserve">▎</w:t>
      </w:r>
      <w:r>
        <w:rPr>
          <w:rFonts w:ascii="맑은 고딕" w:cs="맑은 고딕" w:eastAsia="맑은 고딕" w:hAnsi="맑은 고딕"/>
          <w:b/>
          <w:bCs/>
          <w:color w:val="1F3A5F"/>
          <w:sz w:val="23"/>
          <w:szCs w:val="23"/>
        </w:rPr>
        <w:t xml:space="preserve">리스크 관리 · 고객사 참여</w:t>
      </w:r>
    </w:p>
    <w:p>
      <w:pPr>
        <w:spacing w:after="70" w:line="284"/>
        <w:ind w:left="360" w:hanging="210"/>
      </w:pPr>
      <w:r>
        <w:rPr>
          <w:rFonts w:ascii="맑은 고딕" w:cs="맑은 고딕" w:eastAsia="맑은 고딕" w:hAnsi="맑은 고딕"/>
          <w:b/>
          <w:bCs/>
          <w:color w:val="714B67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b/>
          <w:bCs/>
          <w:color w:val="222B36"/>
          <w:sz w:val="20"/>
          <w:szCs w:val="20"/>
        </w:rPr>
        <w:t xml:space="preserve">요구사항 동결 : </w:t>
      </w:r>
      <w:r>
        <w:rPr>
          <w:rFonts w:ascii="맑은 고딕" w:cs="맑은 고딕" w:eastAsia="맑은 고딕" w:hAnsi="맑은 고딕"/>
          <w:color w:val="222B36"/>
          <w:sz w:val="20"/>
          <w:szCs w:val="20"/>
        </w:rPr>
        <w:t xml:space="preserve">분석 종료 시점 Requirements Freeze, 변경은 Change Request 절차로 관리</w:t>
      </w:r>
    </w:p>
    <w:p>
      <w:pPr>
        <w:spacing w:after="70" w:line="284"/>
        <w:ind w:left="360" w:hanging="210"/>
      </w:pPr>
      <w:r>
        <w:rPr>
          <w:rFonts w:ascii="맑은 고딕" w:cs="맑은 고딕" w:eastAsia="맑은 고딕" w:hAnsi="맑은 고딕"/>
          <w:b/>
          <w:bCs/>
          <w:color w:val="714B67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b/>
          <w:bCs/>
          <w:color w:val="222B36"/>
          <w:sz w:val="20"/>
          <w:szCs w:val="20"/>
        </w:rPr>
        <w:t xml:space="preserve">전담 체계 : </w:t>
      </w:r>
      <w:r>
        <w:rPr>
          <w:rFonts w:ascii="맑은 고딕" w:cs="맑은 고딕" w:eastAsia="맑은 고딕" w:hAnsi="맑은 고딕"/>
          <w:color w:val="222B36"/>
          <w:sz w:val="20"/>
          <w:szCs w:val="20"/>
        </w:rPr>
        <w:t xml:space="preserve">코아콘 전담 PM + 업무별 Key User(영업·구매·생산·회계·프로젝트) 지정 → 의사결정 지연 방지</w:t>
      </w:r>
    </w:p>
    <w:p>
      <w:pPr>
        <w:spacing w:after="70" w:line="284"/>
        <w:ind w:left="360" w:hanging="210"/>
      </w:pPr>
      <w:r>
        <w:rPr>
          <w:rFonts w:ascii="맑은 고딕" w:cs="맑은 고딕" w:eastAsia="맑은 고딕" w:hAnsi="맑은 고딕"/>
          <w:b/>
          <w:bCs/>
          <w:color w:val="714B67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b/>
          <w:bCs/>
          <w:color w:val="222B36"/>
          <w:sz w:val="20"/>
          <w:szCs w:val="20"/>
        </w:rPr>
        <w:t xml:space="preserve">데이터·현행 문서 제공 : </w:t>
      </w:r>
      <w:r>
        <w:rPr>
          <w:rFonts w:ascii="맑은 고딕" w:cs="맑은 고딕" w:eastAsia="맑은 고딕" w:hAnsi="맑은 고딕"/>
          <w:color w:val="222B36"/>
          <w:sz w:val="20"/>
          <w:szCs w:val="20"/>
        </w:rPr>
        <w:t xml:space="preserve">거래처·품목·BOM·프로젝트·회계 등 기존 데이터와 현행 프로세스 문서 제공</w:t>
      </w:r>
    </w:p>
    <w:p>
      <w:pPr>
        <w:spacing w:after="70" w:line="284"/>
        <w:ind w:left="360" w:hanging="210"/>
      </w:pPr>
      <w:r>
        <w:rPr>
          <w:rFonts w:ascii="맑은 고딕" w:cs="맑은 고딕" w:eastAsia="맑은 고딕" w:hAnsi="맑은 고딕"/>
          <w:b/>
          <w:bCs/>
          <w:color w:val="714B67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b/>
          <w:bCs/>
          <w:color w:val="222B36"/>
          <w:sz w:val="20"/>
          <w:szCs w:val="20"/>
        </w:rPr>
        <w:t xml:space="preserve">단계 검증 : </w:t>
      </w:r>
      <w:r>
        <w:rPr>
          <w:rFonts w:ascii="맑은 고딕" w:cs="맑은 고딕" w:eastAsia="맑은 고딕" w:hAnsi="맑은 고딕"/>
          <w:color w:val="222B36"/>
          <w:sz w:val="20"/>
          <w:szCs w:val="20"/>
        </w:rPr>
        <w:t xml:space="preserve">스프린트 리뷰마다 Key User 참여로 품질 확보·재개발 방지</w:t>
      </w:r>
    </w:p>
    <w:p>
      <w:pPr>
        <w:pStyle w:val="Heading1"/>
        <w:pBdr>
          <w:bottom w:val="single" w:color="1F3A5F" w:sz="12" w:space="5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1F3A5F"/>
          <w:sz w:val="28"/>
          <w:szCs w:val="28"/>
        </w:rPr>
        <w:t xml:space="preserve">7. 다음 단계 (Next Step)</w:t>
      </w:r>
    </w:p>
    <w:p>
      <w:pPr>
        <w:spacing w:after="70" w:line="284"/>
        <w:ind w:left="380" w:hanging="250"/>
      </w:pPr>
      <w:r>
        <w:rPr>
          <w:rFonts w:ascii="맑은 고딕" w:cs="맑은 고딕" w:eastAsia="맑은 고딕" w:hAnsi="맑은 고딕"/>
          <w:b/>
          <w:bCs/>
          <w:color w:val="0E8F86"/>
          <w:sz w:val="20"/>
          <w:szCs w:val="20"/>
        </w:rPr>
        <w:t xml:space="preserve">1. </w:t>
      </w:r>
      <w:r>
        <w:rPr>
          <w:rFonts w:ascii="맑은 고딕" w:cs="맑은 고딕" w:eastAsia="맑은 고딕" w:hAnsi="맑은 고딕"/>
          <w:color w:val="222B36"/>
          <w:sz w:val="20"/>
          <w:szCs w:val="20"/>
        </w:rPr>
        <w:t xml:space="preserve">본 1차 제안·요구사항 정의서 검토 및 피드백</w:t>
      </w:r>
    </w:p>
    <w:p>
      <w:pPr>
        <w:spacing w:after="70" w:line="284"/>
        <w:ind w:left="380" w:hanging="250"/>
      </w:pPr>
      <w:r>
        <w:rPr>
          <w:rFonts w:ascii="맑은 고딕" w:cs="맑은 고딕" w:eastAsia="맑은 고딕" w:hAnsi="맑은 고딕"/>
          <w:b/>
          <w:bCs/>
          <w:color w:val="0E8F86"/>
          <w:sz w:val="20"/>
          <w:szCs w:val="20"/>
        </w:rPr>
        <w:t xml:space="preserve">2. </w:t>
      </w:r>
      <w:r>
        <w:rPr>
          <w:rFonts w:ascii="맑은 고딕" w:cs="맑은 고딕" w:eastAsia="맑은 고딕" w:hAnsi="맑은 고딕"/>
          <w:color w:val="222B36"/>
          <w:sz w:val="20"/>
          <w:szCs w:val="20"/>
        </w:rPr>
        <w:t xml:space="preserve">현행(이카운트) 업무·데이터 기반 요구사항 분석 워크숍(업무별 1~3회)</w:t>
      </w:r>
    </w:p>
    <w:p>
      <w:pPr>
        <w:spacing w:after="70" w:line="284"/>
        <w:ind w:left="380" w:hanging="250"/>
      </w:pPr>
      <w:r>
        <w:rPr>
          <w:rFonts w:ascii="맑은 고딕" w:cs="맑은 고딕" w:eastAsia="맑은 고딕" w:hAnsi="맑은 고딕"/>
          <w:b/>
          <w:bCs/>
          <w:color w:val="0E8F86"/>
          <w:sz w:val="20"/>
          <w:szCs w:val="20"/>
        </w:rPr>
        <w:t xml:space="preserve">3. </w:t>
      </w:r>
      <w:r>
        <w:rPr>
          <w:rFonts w:ascii="맑은 고딕" w:cs="맑은 고딕" w:eastAsia="맑은 고딕" w:hAnsi="맑은 고딕"/>
          <w:color w:val="222B36"/>
          <w:sz w:val="20"/>
          <w:szCs w:val="20"/>
        </w:rPr>
        <w:t xml:space="preserve">To-Be 설계서·최종 범위·일정·견적 확정(Sign-off)</w:t>
      </w:r>
    </w:p>
    <w:p>
      <w:pPr>
        <w:spacing w:after="70" w:line="284"/>
        <w:ind w:left="380" w:hanging="250"/>
      </w:pPr>
      <w:r>
        <w:rPr>
          <w:rFonts w:ascii="맑은 고딕" w:cs="맑은 고딕" w:eastAsia="맑은 고딕" w:hAnsi="맑은 고딕"/>
          <w:b/>
          <w:bCs/>
          <w:color w:val="0E8F86"/>
          <w:sz w:val="20"/>
          <w:szCs w:val="20"/>
        </w:rPr>
        <w:t xml:space="preserve">4. </w:t>
      </w:r>
      <w:r>
        <w:rPr>
          <w:rFonts w:ascii="맑은 고딕" w:cs="맑은 고딕" w:eastAsia="맑은 고딕" w:hAnsi="맑은 고딕"/>
          <w:color w:val="222B36"/>
          <w:sz w:val="20"/>
          <w:szCs w:val="20"/>
        </w:rPr>
        <w:t xml:space="preserve">파일럿(핵심 모듈) 우선 가동 → 단계적 전면 전환</w:t>
      </w:r>
    </w:p>
    <w:p>
      <w:pPr>
        <w:spacing w:after="16" w:before="0" w:line="288"/>
      </w:pPr>
      <w:r>
        <w:rPr>
          <w:rFonts w:ascii="맑은 고딕" w:cs="맑은 고딕" w:eastAsia="맑은 고딕" w:hAnsi="맑은 고딕"/>
          <w:color w:val="222B36"/>
          <w:sz w:val="16"/>
          <w:szCs w:val="16"/>
        </w:rPr>
        <w:t xml:space="preserve"/>
      </w:r>
    </w:p>
    <w:p>
      <w:pPr>
        <w:pBdr>
          <w:left w:val="single" w:color="714B67" w:sz="24" w:space="12"/>
        </w:pBdr>
        <w:shd w:fill="EAF0F6" w:color="auto" w:val="clear"/>
        <w:spacing w:after="60" w:before="120" w:line="300"/>
      </w:pPr>
      <w:r>
        <w:rPr>
          <w:rFonts w:ascii="맑은 고딕" w:cs="맑은 고딕" w:eastAsia="맑은 고딕" w:hAnsi="맑은 고딕"/>
          <w:b/>
          <w:bCs/>
          <w:color w:val="1F3A5F"/>
          <w:sz w:val="20"/>
          <w:szCs w:val="20"/>
        </w:rPr>
        <w:t xml:space="preserve">  제안·문의   </w:t>
      </w:r>
      <w:r>
        <w:rPr>
          <w:rFonts w:ascii="맑은 고딕" w:cs="맑은 고딕" w:eastAsia="맑은 고딕" w:hAnsi="맑은 고딕"/>
          <w:color w:val="222B36"/>
          <w:sz w:val="18"/>
          <w:szCs w:val="18"/>
        </w:rPr>
        <w:t xml:space="preserve">에이에스씨(ASC) · AX 플랫폼 사업팀   ·   웹 odooaierp.com   ·   이메일 asclhg@gmail.com</w:t>
      </w:r>
    </w:p>
    <w:p>
      <w:pPr>
        <w:spacing w:after="110" w:before="80" w:line="288"/>
      </w:pPr>
      <w:r>
        <w:rPr>
          <w:rFonts w:ascii="맑은 고딕" w:cs="맑은 고딕" w:eastAsia="맑은 고딕" w:hAnsi="맑은 고딕"/>
          <w:i/>
          <w:iCs/>
          <w:color w:val="6B7480"/>
          <w:sz w:val="16"/>
          <w:szCs w:val="16"/>
        </w:rPr>
        <w:t xml:space="preserve">본 제안서의 수치·일정·범위는 1차 제안 기준이며, 요구사항 분석 후 상호 협의하여 확정합니다.</w:t>
      </w:r>
    </w:p>
    <w:sectPr>
      <w:pgSz w:w="11906" w:h="16838" w:orient="portrait"/>
      <w:pgMar w:top="108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22B3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2026-09-17T02:10:58.215Z</dcterms:created>
  <dcterms:modified xsi:type="dcterms:W3CDTF">2026-09-17T02:10:58.224Z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