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3.png" ContentType="image/png"/>
  <Override PartName="/word/media/rId58.png" ContentType="image/png"/>
  <Override PartName="/word/media/rId67.png" ContentType="image/png"/>
  <Override PartName="/word/media/rId76.png" ContentType="image/png"/>
  <Override PartName="/word/media/rId99.png" ContentType="image/png"/>
  <Override PartName="/word/media/rId95.png" ContentType="image/png"/>
  <Override PartName="/word/media/rId104.png" ContentType="image/png"/>
  <Override PartName="/word/media/rId112.png" ContentType="image/png"/>
  <Override PartName="/word/media/rId118.png" ContentType="image/png"/>
  <Override PartName="/word/media/rId122.png" ContentType="image/png"/>
  <Override PartName="/word/media/rId145.png" ContentType="image/png"/>
  <Override PartName="/word/media/rId148.png" ContentType="image/png"/>
  <Override PartName="/word/media/rId154.png" ContentType="image/png"/>
  <Override PartName="/word/media/rId167.png" ContentType="image/png"/>
  <Override PartName="/word/media/rId163.png" ContentType="image/png"/>
  <Override PartName="/word/media/rId208.png" ContentType="image/png"/>
  <Override PartName="/word/media/rId217.png" ContentType="image/png"/>
  <Override PartName="/word/media/rId225.png" ContentType="image/png"/>
  <Override PartName="/word/media/rId231.png" ContentType="image/png"/>
  <Override PartName="/word/media/rId24.png" ContentType="image/png"/>
  <Override PartName="/word/media/rId29.png" ContentType="image/png"/>
  <Override PartName="/word/media/rId3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3정5S와 눈으로 보는 관리에서 LLM 예측 플랫폼까지 — 30년 현장이 증언하는 AX의 길</w:t>
      </w:r>
    </w:p>
    <w:p>
      <w:pPr>
        <w:pStyle w:val="BodyText"/>
      </w:pPr>
      <w:r>
        <w:t xml:space="preserve"> </w:t>
      </w:r>
    </w:p>
    <w:p>
      <w:pPr>
        <w:pStyle w:val="BodyText"/>
      </w:pPr>
      <w:r>
        <w:t xml:space="preserve"> </w:t>
      </w:r>
    </w:p>
    <w:p>
      <w:pPr>
        <w:pStyle w:val="BodyText"/>
      </w:pPr>
      <w:r>
        <w:t xml:space="preserve">프롤로그 · 제1부</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연작의 첫 번째 묶음으로, 프롤로그와 제1부(지능형 ERP 컨설팅 방법론)를 담고 있다. 제2부(Odoo 플랫폼 해부)와 제3부(부문별 온톨로지 메커니즘과 성과 사례)는 별권으로 이어진다.</w:t>
      </w:r>
    </w:p>
    <w:p>
      <w:pPr>
        <w:numPr>
          <w:ilvl w:val="0"/>
          <w:numId w:val="1001"/>
        </w:numPr>
        <w:pStyle w:val="Compact"/>
      </w:pPr>
      <w:r>
        <w:t xml:space="preserve">본문에서 ’생산관리 고전’은 일본의 다품종소량·수주생산 생산관리 교본(한국어 번역본)을, 『동기ERP』는 한 세대 전 ERP·동기생산 표준 교본을 가리킨다. 두 책의 지혜는 인용부호와 함께 본문 곳곳에 계승하였다.</w:t>
      </w:r>
    </w:p>
    <w:p>
      <w:pPr>
        <w:numPr>
          <w:ilvl w:val="0"/>
          <w:numId w:val="1001"/>
        </w:numPr>
        <w:pStyle w:val="Compact"/>
      </w:pPr>
      <w:r>
        <w:t xml:space="preserve">Odoo의 기능 서술은 Odoo 공식 소개자료(2026)와 공개 문서를 근거로 하였다.</w:t>
      </w:r>
    </w:p>
    <w:bookmarkEnd w:id="22"/>
    <w:bookmarkStart w:id="43"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7"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4206240" cy="1927860"/>
            <wp:effectExtent b="0" l="0" r="0" t="0"/>
            <wp:docPr descr="그림 P-1. 30년의 진화 — 관리판에서 예측 플랫폼으로" title="" id="25" name="Picture"/>
            <a:graphic>
              <a:graphicData uri="http://schemas.openxmlformats.org/drawingml/2006/picture">
                <pic:pic>
                  <pic:nvPicPr>
                    <pic:cNvPr descr="figures/fig_P1_timeline.png" id="26" name="Picture"/>
                    <pic:cNvPicPr>
                      <a:picLocks noChangeArrowheads="1" noChangeAspect="1"/>
                    </pic:cNvPicPr>
                  </pic:nvPicPr>
                  <pic:blipFill>
                    <a:blip r:embed="rId24"/>
                    <a:stretch>
                      <a:fillRect/>
                    </a:stretch>
                  </pic:blipFill>
                  <pic:spPr bwMode="auto">
                    <a:xfrm>
                      <a:off x="0" y="0"/>
                      <a:ext cx="4206240" cy="1927860"/>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7"/>
    <w:bookmarkStart w:id="28"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8"/>
    <w:bookmarkStart w:id="32"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30" name="Picture"/>
            <a:graphic>
              <a:graphicData uri="http://schemas.openxmlformats.org/drawingml/2006/picture">
                <pic:pic>
                  <pic:nvPicPr>
                    <pic:cNvPr descr="figures/fig_P2_3jung5s.png" id="31" name="Picture"/>
                    <pic:cNvPicPr>
                      <a:picLocks noChangeArrowheads="1" noChangeAspect="1"/>
                    </pic:cNvPicPr>
                  </pic:nvPicPr>
                  <pic:blipFill>
                    <a:blip r:embed="rId29"/>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2"/>
    <w:bookmarkStart w:id="36"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4206240" cy="2326856"/>
            <wp:effectExtent b="0" l="0" r="0" t="0"/>
            <wp:docPr descr="그림 P-4. 눈으로 보는 관리의 3단계 진화 — 보이는 공장에서 추론하는 공장으로" title="" id="34" name="Picture"/>
            <a:graphic>
              <a:graphicData uri="http://schemas.openxmlformats.org/drawingml/2006/picture">
                <pic:pic>
                  <pic:nvPicPr>
                    <pic:cNvPr descr="figures/fig_P4_3stage.png" id="35" name="Picture"/>
                    <pic:cNvPicPr>
                      <a:picLocks noChangeArrowheads="1" noChangeAspect="1"/>
                    </pic:cNvPicPr>
                  </pic:nvPicPr>
                  <pic:blipFill>
                    <a:blip r:embed="rId33"/>
                    <a:stretch>
                      <a:fillRect/>
                    </a:stretch>
                  </pic:blipFill>
                  <pic:spPr bwMode="auto">
                    <a:xfrm>
                      <a:off x="0" y="0"/>
                      <a:ext cx="4206240" cy="2326856"/>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6"/>
    <w:bookmarkStart w:id="37"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37"/>
    <w:bookmarkStart w:id="41"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9" name="Picture"/>
            <a:graphic>
              <a:graphicData uri="http://schemas.openxmlformats.org/drawingml/2006/picture">
                <pic:pic>
                  <pic:nvPicPr>
                    <pic:cNvPr descr="figures/fig_P3_dmaic_loop.png" id="40" name="Picture"/>
                    <pic:cNvPicPr>
                      <a:picLocks noChangeArrowheads="1" noChangeAspect="1"/>
                    </pic:cNvPicPr>
                  </pic:nvPicPr>
                  <pic:blipFill>
                    <a:blip r:embed="rId38"/>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1"/>
    <w:bookmarkStart w:id="42"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2"/>
    <w:bookmarkEnd w:id="43"/>
    <w:bookmarkStart w:id="44"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4"/>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5"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45"/>
    <w:bookmarkStart w:id="52" w:name="계산의-계보-mrp에서-클라우드-erp까지"/>
    <w:p>
      <w:pPr>
        <w:pStyle w:val="Heading2"/>
      </w:pPr>
      <w:r>
        <w:t xml:space="preserve">1.2 계산의 계보: MRP에서 클라우드 ERP까지</w:t>
      </w:r>
    </w:p>
    <w:p>
      <w:pPr>
        <w:pStyle w:val="CaptionedFigure"/>
      </w:pPr>
      <w:r>
        <w:drawing>
          <wp:inline>
            <wp:extent cx="4206240" cy="2274803"/>
            <wp:effectExtent b="0" l="0" r="0" t="0"/>
            <wp:docPr descr="그림 1-1. ERP 진화 연대기 — 각 세대가 해결한 문제와 남긴 한계" title="" id="47" name="Picture"/>
            <a:graphic>
              <a:graphicData uri="http://schemas.openxmlformats.org/drawingml/2006/picture">
                <pic:pic>
                  <pic:nvPicPr>
                    <pic:cNvPr descr="figures/fig_11_erp_timeline.png" id="48" name="Picture"/>
                    <pic:cNvPicPr>
                      <a:picLocks noChangeArrowheads="1" noChangeAspect="1"/>
                    </pic:cNvPicPr>
                  </pic:nvPicPr>
                  <pic:blipFill>
                    <a:blip r:embed="rId46"/>
                    <a:stretch>
                      <a:fillRect/>
                    </a:stretch>
                  </pic:blipFill>
                  <pic:spPr bwMode="auto">
                    <a:xfrm>
                      <a:off x="0" y="0"/>
                      <a:ext cx="4206240" cy="2274803"/>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49"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49"/>
    <w:bookmarkStart w:id="50"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50"/>
    <w:bookmarkStart w:id="51"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51"/>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4206240" cy="2684834"/>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4206240" cy="2953317"/>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61"/>
    <w:bookmarkStart w:id="62"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64"/>
    <w:bookmarkEnd w:id="65"/>
    <w:bookmarkStart w:id="91"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66"/>
    <w:bookmarkStart w:id="75" w:name="물리의-3정5s-현장-개선의-원점"/>
    <w:p>
      <w:pPr>
        <w:pStyle w:val="Heading2"/>
      </w:pPr>
      <w:r>
        <w:t xml:space="preserve">2.2 물리의 3정5S: 현장 개선의 원점</w:t>
      </w:r>
    </w:p>
    <w:p>
      <w:pPr>
        <w:pStyle w:val="CaptionedFigure"/>
      </w:pPr>
      <w:r>
        <w:drawing>
          <wp:inline>
            <wp:extent cx="4206240" cy="2661090"/>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4206240" cy="2661090"/>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bookmarkStart w:id="70"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70"/>
    <w:bookmarkStart w:id="71"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71"/>
    <w:bookmarkStart w:id="72"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72"/>
    <w:bookmarkStart w:id="73"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73"/>
    <w:bookmarkStart w:id="74"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74"/>
    <w:bookmarkEnd w:id="75"/>
    <w:bookmarkStart w:id="85" w:name="디지털-3정5s-데이터-품질의-컨설팅-방법론"/>
    <w:p>
      <w:pPr>
        <w:pStyle w:val="Heading2"/>
      </w:pPr>
      <w:r>
        <w:t xml:space="preserve">2.3 디지털 3정5S: 데이터 품질의 컨설팅 방법론</w:t>
      </w:r>
    </w:p>
    <w:p>
      <w:pPr>
        <w:pStyle w:val="CaptionedFigure"/>
      </w:pPr>
      <w:r>
        <w:drawing>
          <wp:inline>
            <wp:extent cx="4206240" cy="2560320"/>
            <wp:effectExtent b="0" l="0" r="0" t="0"/>
            <wp:docPr descr="그림 2-2. 같은 볼트, 세 개의 코드 — 데이터 정위치의 반례" title="" id="77" name="Picture"/>
            <a:graphic>
              <a:graphicData uri="http://schemas.openxmlformats.org/drawingml/2006/picture">
                <pic:pic>
                  <pic:nvPicPr>
                    <pic:cNvPr descr="figures/fig_22_bolt3codes.png" id="78" name="Picture"/>
                    <pic:cNvPicPr>
                      <a:picLocks noChangeArrowheads="1" noChangeAspect="1"/>
                    </pic:cNvPicPr>
                  </pic:nvPicPr>
                  <pic:blipFill>
                    <a:blip r:embed="rId76"/>
                    <a:stretch>
                      <a:fillRect/>
                    </a:stretch>
                  </pic:blipFill>
                  <pic:spPr bwMode="auto">
                    <a:xfrm>
                      <a:off x="0" y="0"/>
                      <a:ext cx="4206240" cy="2560320"/>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bookmarkStart w:id="79"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79"/>
    <w:bookmarkStart w:id="80"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80"/>
    <w:bookmarkStart w:id="81"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81"/>
    <w:bookmarkStart w:id="82"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82"/>
    <w:bookmarkStart w:id="83"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83"/>
    <w:bookmarkStart w:id="84"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84"/>
    <w:bookmarkEnd w:id="85"/>
    <w:bookmarkStart w:id="86" w:name="실장實裝-odoo-마스터-데이터-7종과-생성-순서"/>
    <w:p>
      <w:pPr>
        <w:pStyle w:val="Heading2"/>
      </w:pPr>
      <w:r>
        <w:t xml:space="preserve">2.4 실장(實裝): Odoo 마스터 데이터 7종과 생성 순서</w:t>
      </w:r>
    </w:p>
    <w:p>
      <w:pPr>
        <w:pStyle w:val="FirstParagraph"/>
      </w:pPr>
      <w:r>
        <w:t xml:space="preserve">디지털 정돈의 원칙은 결국 Odoo 화면 위에서 실체를 갖는다. Odoo에서 마스터 데이터(기준정보)란 수주·발주·전표처럼 매일 발생하는 트랜잭션이 아니라, 모든 트랜잭션이 참조하는 기준이 되는 레코드다. 이 절은 2.3의 다섯 동사를 실제 구축 작업으로 옮길 때의 표준 순서를 제시한다. 순서가 중요한 이유는 의존 관계 때문이다 — 계정과목 없이 품목의 회계 연결을 정할 수 없고, 품목 없이 BOM을 만들 수 없으며, 창고·로케이션 없이 재주문 규칙을 정의할 수 없다. 순서를 어기고 임포트를 강행하면,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1회의 선택이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품목 카테고리(원가법·계정 결정을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세 가지다. 소량은 화면에서 직접 입력하고, 대량은 Odoo의 표준 방식인</w:t>
      </w:r>
      <w:r>
        <w:t xml:space="preserve"> </w:t>
      </w:r>
      <w:r>
        <w:rPr>
          <w:bCs/>
          <w:b/>
        </w:rPr>
        <w:t xml:space="preserve">XLSX/CSV 가져오기</w:t>
      </w:r>
      <w:r>
        <w:t xml:space="preserve">를 쓴다 — 목록 화면에서 내보내기로 템플릿을 받아 채운 뒤 가져오되, 외부 식별자(External ID)를 지정해 두면 같은 파일을 다시 가져와도 중복이 생기지 않고 갱신된다(멱등성). 시스템 간 연계나 초대량 이관은 API/RPC를 쓴다. 3부 21장에서 다룰 데이터 매핑 마법사의 5단계(스테이징→매핑→코드 해석→검증→커밋)는 이 가져오기 절차의 온톨로지적 확장이다.</w:t>
      </w:r>
    </w:p>
    <w:p>
      <w:pPr>
        <w:pStyle w:val="BodyText"/>
      </w:pPr>
      <w:r>
        <w:t xml:space="preserve">실무에서 반드시 지켜야 할 네 가지가 있다. 첫째,</w:t>
      </w:r>
      <w:r>
        <w:t xml:space="preserve"> </w:t>
      </w:r>
      <w:r>
        <w:rPr>
          <w:bCs/>
          <w:b/>
        </w:rPr>
        <w:t xml:space="preserve">가져오기 전에 코드체계부터 확정한다</w:t>
      </w:r>
      <w:r>
        <w:t xml:space="preserve"> </w:t>
      </w:r>
      <w:r>
        <w:t xml:space="preserve">— 코드 규칙 없이 임포트하면</w:t>
      </w:r>
      <w:r>
        <w:t xml:space="preserve"> </w:t>
      </w:r>
      <w:r>
        <w:t xml:space="preserve">“</w:t>
      </w:r>
      <w:r>
        <w:t xml:space="preserve">같은 볼트, 세 개의 코드</w:t>
      </w:r>
      <w:r>
        <w:t xml:space="preserve">”</w:t>
      </w:r>
      <w:r>
        <w:t xml:space="preserve">가 시스템 가동 첫날 그대로 재현된다. 둘째,</w:t>
      </w:r>
      <w:r>
        <w:t xml:space="preserve"> </w:t>
      </w:r>
      <w:r>
        <w:rPr>
          <w:bCs/>
          <w:b/>
        </w:rPr>
        <w:t xml:space="preserve">품목 카테고리를 먼저 설계한다</w:t>
      </w:r>
      <w:r>
        <w:t xml:space="preserve"> </w:t>
      </w:r>
      <w:r>
        <w:t xml:space="preserve">— 원가법(FIFO·AVCO·표준)과 회계 계정이 카테고리에서 상속되므로, 가동 후에 바꾸면 재고 평가 전체가 흔들린다. 셋째,</w:t>
      </w:r>
      <w:r>
        <w:t xml:space="preserve"> </w:t>
      </w:r>
      <w:r>
        <w:rPr>
          <w:bCs/>
          <w:b/>
        </w:rPr>
        <w:t xml:space="preserve">단위를 처음에 통일한다</w:t>
      </w:r>
      <w:r>
        <w:t xml:space="preserve"> </w:t>
      </w:r>
      <w:r>
        <w:t xml:space="preserve">— EA·BOX·KG의 환산을 어긋나게 들여오면 수불이 왜곡된다. 넷째,</w:t>
      </w:r>
      <w:r>
        <w:t xml:space="preserve"> </w:t>
      </w:r>
      <w:r>
        <w:rPr>
          <w:bCs/>
          <w:b/>
        </w:rPr>
        <w:t xml:space="preserve">테스트 DB에서 검증 후 운영에 반영하고, 가져오기 파일은 보존한다</w:t>
      </w:r>
      <w:r>
        <w:t xml:space="preserve"> </w:t>
      </w:r>
      <w:r>
        <w:t xml:space="preserve">— 이관 이력이 곧 감사 추적이다. 요컨대 마스터 데이터 구축은 2.3의 정돈을 시스템에 새기는 작업이며, 7종의 순서는 그 새김의 문법이다.</w:t>
      </w:r>
    </w:p>
    <w:bookmarkEnd w:id="86"/>
    <w:bookmarkStart w:id="87" w:name="현장-진단-물리-5s-데이터-5s-매트릭스"/>
    <w:p>
      <w:pPr>
        <w:pStyle w:val="Heading2"/>
      </w:pPr>
      <w:r>
        <w:t xml:space="preserve">2.5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87"/>
    <w:bookmarkStart w:id="88" w:name="s-없이-ai-없다"/>
    <w:p>
      <w:pPr>
        <w:pStyle w:val="Heading2"/>
      </w:pPr>
      <w:r>
        <w:t xml:space="preserve">2.6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88"/>
    <w:bookmarkStart w:id="89"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89"/>
    <w:bookmarkStart w:id="90"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90"/>
    <w:bookmarkEnd w:id="91"/>
    <w:bookmarkStart w:id="111"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92"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92"/>
    <w:bookmarkStart w:id="93"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93"/>
    <w:bookmarkStart w:id="94"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94"/>
    <w:bookmarkStart w:id="98" w:name="pop-작업일보의-폐지와-공명정대한-공장"/>
    <w:p>
      <w:pPr>
        <w:pStyle w:val="Heading2"/>
      </w:pPr>
      <w:r>
        <w:t xml:space="preserve">3.4 POP: 작업일보의 폐지와 공명정대한 공장</w:t>
      </w:r>
    </w:p>
    <w:p>
      <w:pPr>
        <w:pStyle w:val="CaptionedFigure"/>
      </w:pPr>
      <w:r>
        <w:drawing>
          <wp:inline>
            <wp:extent cx="4206240" cy="2628899"/>
            <wp:effectExtent b="0" l="0" r="0" t="0"/>
            <wp:docPr descr="그림 3-2. 종이 작업표에서 바코드, 태블릿 POP으로 — 데이터 수집의 3단 진화" title="" id="96" name="Picture"/>
            <a:graphic>
              <a:graphicData uri="http://schemas.openxmlformats.org/drawingml/2006/picture">
                <pic:pic>
                  <pic:nvPicPr>
                    <pic:cNvPr descr="figures/fig_32_pop_evolution.png" id="97" name="Picture"/>
                    <pic:cNvPicPr>
                      <a:picLocks noChangeArrowheads="1" noChangeAspect="1"/>
                    </pic:cNvPicPr>
                  </pic:nvPicPr>
                  <pic:blipFill>
                    <a:blip r:embed="rId95"/>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98"/>
    <w:bookmarkStart w:id="102"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100" name="Picture"/>
            <a:graphic>
              <a:graphicData uri="http://schemas.openxmlformats.org/drawingml/2006/picture">
                <pic:pic>
                  <pic:nvPicPr>
                    <pic:cNvPr descr="figures/fig_31_kanban.png" id="101" name="Picture"/>
                    <pic:cNvPicPr>
                      <a:picLocks noChangeArrowheads="1" noChangeAspect="1"/>
                    </pic:cNvPicPr>
                  </pic:nvPicPr>
                  <pic:blipFill>
                    <a:blip r:embed="rId99"/>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102"/>
    <w:bookmarkStart w:id="103"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103"/>
    <w:bookmarkStart w:id="107" w:name="보이는-공장에서-말하는-공장으로"/>
    <w:p>
      <w:pPr>
        <w:pStyle w:val="Heading2"/>
      </w:pPr>
      <w:r>
        <w:t xml:space="preserve">3.7 보이는 공장에서 말하는 공장으로</w:t>
      </w:r>
    </w:p>
    <w:p>
      <w:pPr>
        <w:pStyle w:val="CaptionedFigure"/>
      </w:pPr>
      <w:r>
        <w:drawing>
          <wp:inline>
            <wp:extent cx="4206240" cy="2774328"/>
            <wp:effectExtent b="0" l="0" r="0" t="0"/>
            <wp:docPr descr="그림 3-3. ’말하는 공장’의 아침 브리핑" title="" id="105" name="Picture"/>
            <a:graphic>
              <a:graphicData uri="http://schemas.openxmlformats.org/drawingml/2006/picture">
                <pic:pic>
                  <pic:nvPicPr>
                    <pic:cNvPr descr="figures/fig_33_briefing.png" id="106" name="Picture"/>
                    <pic:cNvPicPr>
                      <a:picLocks noChangeArrowheads="1" noChangeAspect="1"/>
                    </pic:cNvPicPr>
                  </pic:nvPicPr>
                  <pic:blipFill>
                    <a:blip r:embed="rId104"/>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107"/>
    <w:bookmarkStart w:id="108"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108"/>
    <w:bookmarkStart w:id="109"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109"/>
    <w:bookmarkStart w:id="110"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110"/>
    <w:bookmarkEnd w:id="111"/>
    <w:bookmarkStart w:id="130"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115" w:name="부품표-모든-계산의-뿌리"/>
    <w:p>
      <w:pPr>
        <w:pStyle w:val="Heading2"/>
      </w:pPr>
      <w:r>
        <w:t xml:space="preserve">4.1 부품표: 모든 계산의 뿌리</w:t>
      </w:r>
    </w:p>
    <w:p>
      <w:pPr>
        <w:pStyle w:val="CaptionedFigure"/>
      </w:pPr>
      <w:r>
        <w:drawing>
          <wp:inline>
            <wp:extent cx="4206240" cy="2716530"/>
            <wp:effectExtent b="0" l="0" r="0" t="0"/>
            <wp:docPr descr="그림 4-1. 구조형 부품표(BOM) 트리와 정미소요량 계산" title="" id="113" name="Picture"/>
            <a:graphic>
              <a:graphicData uri="http://schemas.openxmlformats.org/drawingml/2006/picture">
                <pic:pic>
                  <pic:nvPicPr>
                    <pic:cNvPr descr="figures/fig_41_bom_tree.png" id="114" name="Picture"/>
                    <pic:cNvPicPr>
                      <a:picLocks noChangeArrowheads="1" noChangeAspect="1"/>
                    </pic:cNvPicPr>
                  </pic:nvPicPr>
                  <pic:blipFill>
                    <a:blip r:embed="rId112"/>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115"/>
    <w:bookmarkStart w:id="116"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116"/>
    <w:bookmarkStart w:id="117"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117"/>
    <w:bookmarkStart w:id="121"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119" name="Picture"/>
            <a:graphic>
              <a:graphicData uri="http://schemas.openxmlformats.org/drawingml/2006/picture">
                <pic:pic>
                  <pic:nvPicPr>
                    <pic:cNvPr descr="figures/fig_42_schedule3.png" id="120" name="Picture"/>
                    <pic:cNvPicPr>
                      <a:picLocks noChangeArrowheads="1" noChangeAspect="1"/>
                    </pic:cNvPicPr>
                  </pic:nvPicPr>
                  <pic:blipFill>
                    <a:blip r:embed="rId118"/>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121"/>
    <w:bookmarkStart w:id="125" w:name="공수계획-능력과-부하-그리고-넥-공정"/>
    <w:p>
      <w:pPr>
        <w:pStyle w:val="Heading2"/>
      </w:pPr>
      <w:r>
        <w:t xml:space="preserve">4.5 공수계획: 능력과 부하, 그리고 넥 공정</w:t>
      </w:r>
    </w:p>
    <w:p>
      <w:pPr>
        <w:pStyle w:val="CaptionedFigure"/>
      </w:pPr>
      <w:r>
        <w:drawing>
          <wp:inline>
            <wp:extent cx="4206240" cy="2595339"/>
            <wp:effectExtent b="0" l="0" r="0" t="0"/>
            <wp:docPr descr="그림 4-3. 공수 산적표 — 능력선과 부하, 넥 공정" title="" id="123" name="Picture"/>
            <a:graphic>
              <a:graphicData uri="http://schemas.openxmlformats.org/drawingml/2006/picture">
                <pic:pic>
                  <pic:nvPicPr>
                    <pic:cNvPr descr="figures/fig_43_load_chart.png" id="124" name="Picture"/>
                    <pic:cNvPicPr>
                      <a:picLocks noChangeArrowheads="1" noChangeAspect="1"/>
                    </pic:cNvPicPr>
                  </pic:nvPicPr>
                  <pic:blipFill>
                    <a:blip r:embed="rId122"/>
                    <a:stretch>
                      <a:fillRect/>
                    </a:stretch>
                  </pic:blipFill>
                  <pic:spPr bwMode="auto">
                    <a:xfrm>
                      <a:off x="0" y="0"/>
                      <a:ext cx="4206240" cy="2595339"/>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125"/>
    <w:bookmarkStart w:id="126"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126"/>
    <w:bookmarkStart w:id="127"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127"/>
    <w:bookmarkStart w:id="128"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128"/>
    <w:bookmarkStart w:id="129"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129"/>
    <w:bookmarkEnd w:id="130"/>
    <w:bookmarkStart w:id="161"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34" w:name="개선-사이클의-계보-pdca-qc-스토리-그리고-dmaic"/>
    <w:p>
      <w:pPr>
        <w:pStyle w:val="Heading2"/>
      </w:pPr>
      <w:r>
        <w:t xml:space="preserve">5.1 개선 사이클의 계보: PDCA, QC 스토리, 그리고 DMAIC</w:t>
      </w:r>
    </w:p>
    <w:bookmarkStart w:id="131"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131"/>
    <w:bookmarkStart w:id="132"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132"/>
    <w:bookmarkStart w:id="133"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33"/>
    <w:bookmarkEnd w:id="134"/>
    <w:bookmarkStart w:id="136" w:name="define-경영-질문을-ctq와-kpi로-번역한다"/>
    <w:p>
      <w:pPr>
        <w:pStyle w:val="Heading2"/>
      </w:pPr>
      <w:r>
        <w:t xml:space="preserve">5.2 Define — 경영 질문을 CTQ와 KPI로 번역한다</w:t>
      </w:r>
    </w:p>
    <w:bookmarkStart w:id="135"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35"/>
    <w:bookmarkEnd w:id="136"/>
    <w:bookmarkStart w:id="139" w:name="measure-3원천-수집과-측정-시스템의-신뢰성"/>
    <w:p>
      <w:pPr>
        <w:pStyle w:val="Heading2"/>
      </w:pPr>
      <w:r>
        <w:t xml:space="preserve">5.3 Measure — 3원천 수집과 측정 시스템의 신뢰성</w:t>
      </w:r>
    </w:p>
    <w:bookmarkStart w:id="137"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37"/>
    <w:bookmarkStart w:id="138"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38"/>
    <w:bookmarkEnd w:id="139"/>
    <w:bookmarkStart w:id="141" w:name="analyze-통계에서-그래프까지-원인을-추론한다"/>
    <w:p>
      <w:pPr>
        <w:pStyle w:val="Heading2"/>
      </w:pPr>
      <w:r>
        <w:t xml:space="preserve">5.4 Analyze — 통계에서 그래프까지, 원인을 추론한다</w:t>
      </w:r>
    </w:p>
    <w:bookmarkStart w:id="140"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40"/>
    <w:bookmarkEnd w:id="141"/>
    <w:bookmarkStart w:id="142"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42"/>
    <w:bookmarkStart w:id="144" w:name="control-표준화하고-환류하고-감시한다"/>
    <w:p>
      <w:pPr>
        <w:pStyle w:val="Heading2"/>
      </w:pPr>
      <w:r>
        <w:t xml:space="preserve">5.6 Control — 표준화하고, 환류하고, 감시한다</w:t>
      </w:r>
    </w:p>
    <w:bookmarkStart w:id="143"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43"/>
    <w:bookmarkEnd w:id="144"/>
    <w:bookmarkStart w:id="153" w:name="llm-무한-루프-분기의-사이클에서-상시의-사이클로"/>
    <w:p>
      <w:pPr>
        <w:pStyle w:val="Heading2"/>
      </w:pPr>
      <w:r>
        <w:t xml:space="preserve">5.7 LLM 무한 루프: 분기의 사이클에서 상시의 사이클로</w:t>
      </w:r>
    </w:p>
    <w:p>
      <w:pPr>
        <w:pStyle w:val="CaptionedFigure"/>
      </w:pPr>
      <w:r>
        <w:drawing>
          <wp:inline>
            <wp:extent cx="4206240" cy="2804160"/>
            <wp:effectExtent b="0" l="0" r="0" t="0"/>
            <wp:docPr descr="그림 5-1. LLM 무한 루프 상세 아키텍처 — 다섯 단계를 잇는 도구들" title="" id="146" name="Picture"/>
            <a:graphic>
              <a:graphicData uri="http://schemas.openxmlformats.org/drawingml/2006/picture">
                <pic:pic>
                  <pic:nvPicPr>
                    <pic:cNvPr descr="figures/fig_51_llm_loop_detail.png" id="147" name="Picture"/>
                    <pic:cNvPicPr>
                      <a:picLocks noChangeArrowheads="1" noChangeAspect="1"/>
                    </pic:cNvPicPr>
                  </pic:nvPicPr>
                  <pic:blipFill>
                    <a:blip r:embed="rId145"/>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4206240" cy="2523743"/>
            <wp:effectExtent b="0" l="0" r="0" t="0"/>
            <wp:docPr descr="그림 5-2. 루프 학습 곡선 — 회전할수록 예측 오차가 줄어든다" title="" id="149" name="Picture"/>
            <a:graphic>
              <a:graphicData uri="http://schemas.openxmlformats.org/drawingml/2006/picture">
                <pic:pic>
                  <pic:nvPicPr>
                    <pic:cNvPr descr="figures/fig_52_learning_curve.png" id="150" name="Picture"/>
                    <pic:cNvPicPr>
                      <a:picLocks noChangeArrowheads="1" noChangeAspect="1"/>
                    </pic:cNvPicPr>
                  </pic:nvPicPr>
                  <pic:blipFill>
                    <a:blip r:embed="rId148"/>
                    <a:stretch>
                      <a:fillRect/>
                    </a:stretch>
                  </pic:blipFill>
                  <pic:spPr bwMode="auto">
                    <a:xfrm>
                      <a:off x="0" y="0"/>
                      <a:ext cx="4206240" cy="2523743"/>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bookmarkStart w:id="151"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51"/>
    <w:bookmarkStart w:id="152"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52"/>
    <w:bookmarkEnd w:id="153"/>
    <w:bookmarkStart w:id="157" w:name="루프의-안전장치-승인-게이트-검정-폭주-방지"/>
    <w:p>
      <w:pPr>
        <w:pStyle w:val="Heading2"/>
      </w:pPr>
      <w:r>
        <w:t xml:space="preserve">5.8 루프의 안전장치: 승인 게이트, 검정, 폭주 방지</w:t>
      </w:r>
    </w:p>
    <w:p>
      <w:pPr>
        <w:pStyle w:val="CaptionedFigure"/>
      </w:pPr>
      <w:r>
        <w:drawing>
          <wp:inline>
            <wp:extent cx="4206240" cy="2103120"/>
            <wp:effectExtent b="0" l="0" r="0" t="0"/>
            <wp:docPr descr="그림 5-3. 루프의 3중 안전장치 — 검정·승인 게이트·감사 로그" title="" id="155" name="Picture"/>
            <a:graphic>
              <a:graphicData uri="http://schemas.openxmlformats.org/drawingml/2006/picture">
                <pic:pic>
                  <pic:nvPicPr>
                    <pic:cNvPr descr="figures/fig_53_safeguards.png" id="156" name="Picture"/>
                    <pic:cNvPicPr>
                      <a:picLocks noChangeArrowheads="1" noChangeAspect="1"/>
                    </pic:cNvPicPr>
                  </pic:nvPicPr>
                  <pic:blipFill>
                    <a:blip r:embed="rId154"/>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57"/>
    <w:bookmarkStart w:id="158"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58"/>
    <w:bookmarkStart w:id="159"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59"/>
    <w:bookmarkStart w:id="160"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60"/>
    <w:bookmarkEnd w:id="161"/>
    <w:bookmarkStart w:id="215"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62"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62"/>
    <w:bookmarkStart w:id="166" w:name="목표지향-설계-kgi에서-모델까지의-역방향-설계"/>
    <w:p>
      <w:pPr>
        <w:pStyle w:val="Heading2"/>
      </w:pPr>
      <w:r>
        <w:t xml:space="preserve">6.2 목표지향 설계: KGI에서 모델까지의 역방향 설계</w:t>
      </w:r>
    </w:p>
    <w:p>
      <w:pPr>
        <w:pStyle w:val="CaptionedFigure"/>
      </w:pPr>
      <w:r>
        <w:drawing>
          <wp:inline>
            <wp:extent cx="4206240" cy="2550592"/>
            <wp:effectExtent b="0" l="0" r="0" t="0"/>
            <wp:docPr descr="그림 6-2. KGI→KPI→데이터→모델 역방향 설계 — 기술에서 출발하는 상향식의 반대 방향" title="" id="164" name="Picture"/>
            <a:graphic>
              <a:graphicData uri="http://schemas.openxmlformats.org/drawingml/2006/picture">
                <pic:pic>
                  <pic:nvPicPr>
                    <pic:cNvPr descr="figures/fig_62_reverse_funnel.png" id="165" name="Picture"/>
                    <pic:cNvPicPr>
                      <a:picLocks noChangeArrowheads="1" noChangeAspect="1"/>
                    </pic:cNvPicPr>
                  </pic:nvPicPr>
                  <pic:blipFill>
                    <a:blip r:embed="rId163"/>
                    <a:stretch>
                      <a:fillRect/>
                    </a:stretch>
                  </pic:blipFill>
                  <pic:spPr bwMode="auto">
                    <a:xfrm>
                      <a:off x="0" y="0"/>
                      <a:ext cx="4206240" cy="2550592"/>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66"/>
    <w:bookmarkStart w:id="170"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68" name="Picture"/>
            <a:graphic>
              <a:graphicData uri="http://schemas.openxmlformats.org/drawingml/2006/picture">
                <pic:pic>
                  <pic:nvPicPr>
                    <pic:cNvPr descr="figures/fig_61_roadmap.png" id="169" name="Picture"/>
                    <pic:cNvPicPr>
                      <a:picLocks noChangeArrowheads="1" noChangeAspect="1"/>
                    </pic:cNvPicPr>
                  </pic:nvPicPr>
                  <pic:blipFill>
                    <a:blip r:embed="rId16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70"/>
    <w:bookmarkStart w:id="177" w:name="단계-진단-경영-질문데이터-성숙도현장-5s의-3중-진단"/>
    <w:p>
      <w:pPr>
        <w:pStyle w:val="Heading2"/>
      </w:pPr>
      <w:r>
        <w:t xml:space="preserve">6.4 1단계 진단: 경영 질문·데이터 성숙도·현장 5S의 3중 진단</w:t>
      </w:r>
    </w:p>
    <w:bookmarkStart w:id="171"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71"/>
    <w:bookmarkStart w:id="172"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72"/>
    <w:bookmarkStart w:id="173"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73"/>
    <w:bookmarkStart w:id="174"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74"/>
    <w:bookmarkStart w:id="175"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75"/>
    <w:bookmarkStart w:id="176"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76"/>
    <w:bookmarkEnd w:id="177"/>
    <w:bookmarkStart w:id="184" w:name="단계-기반-단일-플랫폼과-코드체계-디지털-정돈"/>
    <w:p>
      <w:pPr>
        <w:pStyle w:val="Heading2"/>
      </w:pPr>
      <w:r>
        <w:t xml:space="preserve">6.5 2단계 기반: 단일 플랫폼과 코드체계 — 디지털 정돈</w:t>
      </w:r>
    </w:p>
    <w:bookmarkStart w:id="178"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78"/>
    <w:bookmarkStart w:id="179"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79"/>
    <w:bookmarkStart w:id="180"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80"/>
    <w:bookmarkStart w:id="181"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81"/>
    <w:bookmarkStart w:id="182"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82"/>
    <w:bookmarkStart w:id="183"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83"/>
    <w:bookmarkEnd w:id="184"/>
    <w:bookmarkStart w:id="191" w:name="단계-적재-데이터지식암묵지의-축적"/>
    <w:p>
      <w:pPr>
        <w:pStyle w:val="Heading2"/>
      </w:pPr>
      <w:r>
        <w:t xml:space="preserve">6.6 3단계 적재: 데이터·지식·암묵지의 축적</w:t>
      </w:r>
    </w:p>
    <w:bookmarkStart w:id="185"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85"/>
    <w:bookmarkStart w:id="186"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86"/>
    <w:bookmarkStart w:id="187"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87"/>
    <w:bookmarkStart w:id="188"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88"/>
    <w:bookmarkStart w:id="189"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89"/>
    <w:bookmarkStart w:id="190"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90"/>
    <w:bookmarkEnd w:id="191"/>
    <w:bookmarkStart w:id="198" w:name="단계-지능화-온톨로지예측-모델에이전트dmaic-루프의-가동"/>
    <w:p>
      <w:pPr>
        <w:pStyle w:val="Heading2"/>
      </w:pPr>
      <w:r>
        <w:t xml:space="preserve">6.7 4단계 지능화: 온톨로지·예측 모델·에이전트·DMAIC 루프의 가동</w:t>
      </w:r>
    </w:p>
    <w:bookmarkStart w:id="192"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92"/>
    <w:bookmarkStart w:id="193"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93"/>
    <w:bookmarkStart w:id="194"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94"/>
    <w:bookmarkStart w:id="195"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95"/>
    <w:bookmarkStart w:id="196"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96"/>
    <w:bookmarkStart w:id="197"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97"/>
    <w:bookmarkEnd w:id="198"/>
    <w:bookmarkStart w:id="205" w:name="단계-환류-판단의-현장-환류와-학습-루프"/>
    <w:p>
      <w:pPr>
        <w:pStyle w:val="Heading2"/>
      </w:pPr>
      <w:r>
        <w:t xml:space="preserve">6.8 5단계 환류: 판단의 현장 환류와 학습 루프</w:t>
      </w:r>
    </w:p>
    <w:bookmarkStart w:id="199"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99"/>
    <w:bookmarkStart w:id="200"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200"/>
    <w:bookmarkStart w:id="201"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201"/>
    <w:bookmarkStart w:id="202"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202"/>
    <w:bookmarkStart w:id="203"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203"/>
    <w:bookmarkStart w:id="204"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204"/>
    <w:bookmarkEnd w:id="205"/>
    <w:bookmarkStart w:id="206"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206"/>
    <w:bookmarkStart w:id="207"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207"/>
    <w:bookmarkStart w:id="211" w:name="경량-모델-초소형-기업의-3주-로드맵"/>
    <w:p>
      <w:pPr>
        <w:pStyle w:val="Heading2"/>
      </w:pPr>
      <w:r>
        <w:t xml:space="preserve">6.11 경량 모델: 초소형 기업의 3주 로드맵</w:t>
      </w:r>
    </w:p>
    <w:p>
      <w:pPr>
        <w:pStyle w:val="CaptionedFigure"/>
      </w:pPr>
      <w:r>
        <w:drawing>
          <wp:inline>
            <wp:extent cx="4206240" cy="2147867"/>
            <wp:effectExtent b="0" l="0" r="0" t="0"/>
            <wp:docPr descr="그림 6-3. 경량 모델 3주 로드맵 — 온보딩·지식적재·현장적용" title="" id="209" name="Picture"/>
            <a:graphic>
              <a:graphicData uri="http://schemas.openxmlformats.org/drawingml/2006/picture">
                <pic:pic>
                  <pic:nvPicPr>
                    <pic:cNvPr descr="figures/fig_63_3week_gantt.png" id="210" name="Picture"/>
                    <pic:cNvPicPr>
                      <a:picLocks noChangeArrowheads="1" noChangeAspect="1"/>
                    </pic:cNvPicPr>
                  </pic:nvPicPr>
                  <pic:blipFill>
                    <a:blip r:embed="rId208"/>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211"/>
    <w:bookmarkStart w:id="212"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212"/>
    <w:bookmarkStart w:id="213"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213"/>
    <w:bookmarkStart w:id="214"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214"/>
    <w:bookmarkEnd w:id="215"/>
    <w:bookmarkStart w:id="24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216"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216"/>
    <w:bookmarkStart w:id="224" w:name="편성-재구축의-방법론-pq-분석에서-좋은-리듬까지"/>
    <w:p>
      <w:pPr>
        <w:pStyle w:val="Heading2"/>
      </w:pPr>
      <w:r>
        <w:t xml:space="preserve">7.2 편성 재구축의 방법론: PQ 분석에서 좋은 리듬까지</w:t>
      </w:r>
    </w:p>
    <w:p>
      <w:pPr>
        <w:pStyle w:val="CaptionedFigure"/>
      </w:pPr>
      <w:r>
        <w:drawing>
          <wp:inline>
            <wp:extent cx="4206240" cy="2505845"/>
            <wp:effectExtent b="0" l="0" r="0" t="0"/>
            <wp:docPr descr="그림 7-1. PQ 분석 — 다량품과 소량품의 그룹 분리" title="" id="218" name="Picture"/>
            <a:graphic>
              <a:graphicData uri="http://schemas.openxmlformats.org/drawingml/2006/picture">
                <pic:pic>
                  <pic:nvPicPr>
                    <pic:cNvPr descr="figures/fig_71_pq_pareto.png" id="219" name="Picture"/>
                    <pic:cNvPicPr>
                      <a:picLocks noChangeArrowheads="1" noChangeAspect="1"/>
                    </pic:cNvPicPr>
                  </pic:nvPicPr>
                  <pic:blipFill>
                    <a:blip r:embed="rId217"/>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bookmarkStart w:id="220"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220"/>
    <w:bookmarkStart w:id="221"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221"/>
    <w:bookmarkStart w:id="222"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222"/>
    <w:bookmarkStart w:id="223"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223"/>
    <w:bookmarkEnd w:id="224"/>
    <w:bookmarkStart w:id="230" w:name="편성-대안을-디지털-트윈에서-실험한다"/>
    <w:p>
      <w:pPr>
        <w:pStyle w:val="Heading2"/>
      </w:pPr>
      <w:r>
        <w:t xml:space="preserve">7.3 편성 대안을 디지털 트윈에서 실험한다</w:t>
      </w:r>
    </w:p>
    <w:p>
      <w:pPr>
        <w:pStyle w:val="CaptionedFigure"/>
      </w:pPr>
      <w:r>
        <w:drawing>
          <wp:inline>
            <wp:extent cx="4206240" cy="1968878"/>
            <wp:effectExtent b="0" l="0" r="0" t="0"/>
            <wp:docPr descr="그림 7-2. Neck 공정과 리드타임 — 좁은 관 하나가 전체 흐름을 결정한다" title="" id="226" name="Picture"/>
            <a:graphic>
              <a:graphicData uri="http://schemas.openxmlformats.org/drawingml/2006/picture">
                <pic:pic>
                  <pic:nvPicPr>
                    <pic:cNvPr descr="figures/fig_72_neck_pipe.png" id="227" name="Picture"/>
                    <pic:cNvPicPr>
                      <a:picLocks noChangeArrowheads="1" noChangeAspect="1"/>
                    </pic:cNvPicPr>
                  </pic:nvPicPr>
                  <pic:blipFill>
                    <a:blip r:embed="rId225"/>
                    <a:stretch>
                      <a:fillRect/>
                    </a:stretch>
                  </pic:blipFill>
                  <pic:spPr bwMode="auto">
                    <a:xfrm>
                      <a:off x="0" y="0"/>
                      <a:ext cx="4206240" cy="1968878"/>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bookmarkStart w:id="228"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228"/>
    <w:bookmarkStart w:id="229"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229"/>
    <w:bookmarkEnd w:id="230"/>
    <w:bookmarkStart w:id="237"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232" name="Picture"/>
            <a:graphic>
              <a:graphicData uri="http://schemas.openxmlformats.org/drawingml/2006/picture">
                <pic:pic>
                  <pic:nvPicPr>
                    <pic:cNvPr descr="figures/fig_73_platform.png" id="233" name="Picture"/>
                    <pic:cNvPicPr>
                      <a:picLocks noChangeArrowheads="1" noChangeAspect="1"/>
                    </pic:cNvPicPr>
                  </pic:nvPicPr>
                  <pic:blipFill>
                    <a:blip r:embed="rId231"/>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234"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234"/>
    <w:bookmarkStart w:id="235"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235"/>
    <w:bookmarkStart w:id="236"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236"/>
    <w:bookmarkEnd w:id="237"/>
    <w:bookmarkStart w:id="238"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238"/>
    <w:bookmarkStart w:id="239"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208" Target="media/rId208.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2026-08-03T23:18:41Z</dcterms:created>
  <dcterms:modified xsi:type="dcterms:W3CDTF">2026-08-03T23:18:41Z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