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F709" w14:textId="77777777" w:rsidR="00D576EB" w:rsidRPr="0082210E" w:rsidRDefault="00210805">
      <w:pPr>
        <w:pStyle w:val="Standard"/>
        <w:jc w:val="center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ГОСУДАРСТВЕННОЕ БЮДЖЕТНОЕ ПРОФЕССИОНАЛЬНОЕ</w:t>
      </w:r>
      <w:r w:rsidRPr="0082210E">
        <w:rPr>
          <w:rFonts w:ascii="Times New Roman" w:hAnsi="Times New Roman" w:cs="Times New Roman"/>
        </w:rPr>
        <w:br/>
        <w:t>ОБРАЗОВАТЕЛЬНОЕ УЧРЕЖДЕНИЕ РЕСПУБЛИКИ ХАКАСИЯ</w:t>
      </w:r>
      <w:r w:rsidRPr="0082210E">
        <w:rPr>
          <w:rFonts w:ascii="Times New Roman" w:hAnsi="Times New Roman" w:cs="Times New Roman"/>
        </w:rPr>
        <w:br/>
        <w:t>«ХАКАССКИЙ ПОЛИТЕХНИЧЕСКИЙ КОЛЛЕДЖ»</w:t>
      </w:r>
    </w:p>
    <w:p w14:paraId="1DE8F288" w14:textId="77777777" w:rsidR="00D576EB" w:rsidRPr="0082210E" w:rsidRDefault="00210805">
      <w:pPr>
        <w:pStyle w:val="Standard"/>
        <w:spacing w:before="3969"/>
        <w:jc w:val="center"/>
        <w:rPr>
          <w:rFonts w:ascii="Times New Roman" w:hAnsi="Times New Roman" w:cs="Times New Roman"/>
          <w:b/>
          <w:bCs/>
        </w:rPr>
      </w:pPr>
      <w:r w:rsidRPr="0082210E">
        <w:rPr>
          <w:rFonts w:ascii="Times New Roman" w:hAnsi="Times New Roman" w:cs="Times New Roman"/>
          <w:b/>
          <w:bCs/>
        </w:rPr>
        <w:t>ОТЧЁТ</w:t>
      </w:r>
    </w:p>
    <w:p w14:paraId="0CAD1238" w14:textId="77777777" w:rsidR="00D576EB" w:rsidRPr="0082210E" w:rsidRDefault="00210805">
      <w:pPr>
        <w:pStyle w:val="Standard"/>
        <w:spacing w:before="283" w:after="283"/>
        <w:jc w:val="center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по учебной практике</w:t>
      </w:r>
      <w:r w:rsidRPr="0082210E">
        <w:rPr>
          <w:rFonts w:ascii="Times New Roman" w:hAnsi="Times New Roman" w:cs="Times New Roman"/>
        </w:rPr>
        <w:br/>
        <w:t>по профессиональному модулю</w:t>
      </w:r>
    </w:p>
    <w:p w14:paraId="66A09468" w14:textId="77777777" w:rsidR="00D576EB" w:rsidRPr="0082210E" w:rsidRDefault="00210805">
      <w:pPr>
        <w:pStyle w:val="Standard"/>
        <w:jc w:val="center"/>
        <w:rPr>
          <w:rFonts w:ascii="Times New Roman" w:hAnsi="Times New Roman" w:cs="Times New Roman"/>
        </w:rPr>
      </w:pPr>
      <w:r w:rsidRPr="0082210E">
        <w:rPr>
          <w:rStyle w:val="StrongEmphasis"/>
          <w:rFonts w:ascii="Times New Roman" w:hAnsi="Times New Roman" w:cs="Times New Roman"/>
          <w:caps/>
        </w:rPr>
        <w:t xml:space="preserve">ПМ.04 </w:t>
      </w:r>
      <w:r w:rsidR="00F8182B" w:rsidRPr="0082210E">
        <w:rPr>
          <w:rStyle w:val="StrongEmphasis"/>
          <w:rFonts w:ascii="Times New Roman" w:hAnsi="Times New Roman" w:cs="Times New Roman"/>
          <w:caps/>
        </w:rPr>
        <w:t>Сопровождение и обслуживание программного обеспечения компьютерных систем</w:t>
      </w:r>
    </w:p>
    <w:p w14:paraId="396A3E1C" w14:textId="77777777" w:rsidR="00D576EB" w:rsidRPr="0082210E" w:rsidRDefault="00210805">
      <w:pPr>
        <w:pStyle w:val="Standard"/>
        <w:spacing w:before="283" w:after="567"/>
        <w:jc w:val="center"/>
        <w:rPr>
          <w:rFonts w:ascii="Times New Roman" w:hAnsi="Times New Roman" w:cs="Times New Roman"/>
        </w:rPr>
      </w:pPr>
      <w:r w:rsidRPr="0082210E">
        <w:rPr>
          <w:rStyle w:val="StrongEmphasis"/>
          <w:rFonts w:ascii="Times New Roman" w:hAnsi="Times New Roman" w:cs="Times New Roman"/>
          <w:b w:val="0"/>
          <w:bCs w:val="0"/>
        </w:rPr>
        <w:t>специальности 09.02.07 Информационные системы и программирование</w:t>
      </w:r>
      <w:r w:rsidRPr="0082210E">
        <w:rPr>
          <w:rStyle w:val="StrongEmphasis"/>
          <w:rFonts w:ascii="Times New Roman" w:hAnsi="Times New Roman" w:cs="Times New Roman"/>
          <w:b w:val="0"/>
          <w:bCs w:val="0"/>
        </w:rPr>
        <w:br/>
        <w:t>квалификация Администратор баз данных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9"/>
        <w:gridCol w:w="1472"/>
        <w:gridCol w:w="169"/>
        <w:gridCol w:w="1702"/>
        <w:gridCol w:w="170"/>
        <w:gridCol w:w="790"/>
        <w:gridCol w:w="169"/>
        <w:gridCol w:w="745"/>
        <w:gridCol w:w="167"/>
        <w:gridCol w:w="1872"/>
      </w:tblGrid>
      <w:tr w:rsidR="00D576EB" w:rsidRPr="0082210E" w14:paraId="28A70BAF" w14:textId="77777777" w:rsidTr="00A33D21">
        <w:tc>
          <w:tcPr>
            <w:tcW w:w="209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D9A54" w14:textId="77777777" w:rsidR="00D576EB" w:rsidRPr="0082210E" w:rsidRDefault="00210805">
            <w:pPr>
              <w:pStyle w:val="TableContents"/>
              <w:rPr>
                <w:rFonts w:ascii="Times New Roman" w:hAnsi="Times New Roman" w:cs="Times New Roman"/>
              </w:rPr>
            </w:pPr>
            <w:r w:rsidRPr="0082210E">
              <w:rPr>
                <w:rFonts w:ascii="Times New Roman" w:hAnsi="Times New Roman" w:cs="Times New Roman"/>
              </w:rPr>
              <w:t>Студент гр.</w:t>
            </w:r>
          </w:p>
        </w:tc>
        <w:tc>
          <w:tcPr>
            <w:tcW w:w="1472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66068" w14:textId="77777777" w:rsidR="00D576EB" w:rsidRPr="0082210E" w:rsidRDefault="00210805">
            <w:pPr>
              <w:pStyle w:val="TableContents"/>
              <w:rPr>
                <w:rFonts w:ascii="Times New Roman" w:hAnsi="Times New Roman" w:cs="Times New Roman"/>
              </w:rPr>
            </w:pPr>
            <w:r w:rsidRPr="0082210E">
              <w:rPr>
                <w:rFonts w:ascii="Times New Roman" w:hAnsi="Times New Roman" w:cs="Times New Roman"/>
              </w:rPr>
              <w:t>ИС(АБД)-31</w:t>
            </w:r>
          </w:p>
        </w:tc>
        <w:tc>
          <w:tcPr>
            <w:tcW w:w="1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D5218" w14:textId="77777777" w:rsidR="00D576EB" w:rsidRPr="0082210E" w:rsidRDefault="00D576EB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662" w:type="dxa"/>
            <w:gridSpan w:val="3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23342B" w14:textId="77777777" w:rsidR="00D576EB" w:rsidRPr="0082210E" w:rsidRDefault="00D576EB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51A1C" w14:textId="77777777" w:rsidR="00D576EB" w:rsidRPr="0082210E" w:rsidRDefault="00D576EB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784" w:type="dxa"/>
            <w:gridSpan w:val="3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175865" w14:textId="77777777" w:rsidR="00D576EB" w:rsidRPr="0082210E" w:rsidRDefault="00D576EB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D576EB" w:rsidRPr="0082210E" w14:paraId="5B03EDCD" w14:textId="77777777" w:rsidTr="00A33D21">
        <w:tc>
          <w:tcPr>
            <w:tcW w:w="209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780F1E" w14:textId="77777777" w:rsidR="00D576EB" w:rsidRPr="0082210E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147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8C3DF" w14:textId="77777777" w:rsidR="00D576EB" w:rsidRPr="0082210E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1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F10E8" w14:textId="77777777" w:rsidR="00D576EB" w:rsidRPr="0082210E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2662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289EC0" w14:textId="77777777" w:rsidR="00D576EB" w:rsidRPr="0082210E" w:rsidRDefault="00210805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r w:rsidRPr="0082210E">
              <w:rPr>
                <w:rFonts w:ascii="Times New Roman" w:hAnsi="Times New Roman" w:cs="Times New Roman"/>
                <w:i/>
                <w:iCs/>
                <w:vertAlign w:val="superscript"/>
              </w:rPr>
              <w:t>подпись</w:t>
            </w:r>
          </w:p>
        </w:tc>
        <w:tc>
          <w:tcPr>
            <w:tcW w:w="1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EF900" w14:textId="77777777" w:rsidR="00D576EB" w:rsidRPr="0082210E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2784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835941" w14:textId="77777777" w:rsidR="00D576EB" w:rsidRPr="0082210E" w:rsidRDefault="00210805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r w:rsidRPr="0082210E">
              <w:rPr>
                <w:rFonts w:ascii="Times New Roman" w:hAnsi="Times New Roman" w:cs="Times New Roman"/>
                <w:i/>
                <w:iCs/>
                <w:vertAlign w:val="superscript"/>
              </w:rPr>
              <w:t>Фамилия, И.О.</w:t>
            </w:r>
          </w:p>
        </w:tc>
      </w:tr>
      <w:tr w:rsidR="00D576EB" w:rsidRPr="0082210E" w14:paraId="4CDE09E0" w14:textId="77777777" w:rsidTr="00A33D21">
        <w:tc>
          <w:tcPr>
            <w:tcW w:w="209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6AD7C" w14:textId="77777777" w:rsidR="00D576EB" w:rsidRPr="0082210E" w:rsidRDefault="00210805">
            <w:pPr>
              <w:pStyle w:val="TableContents"/>
              <w:rPr>
                <w:rFonts w:ascii="Times New Roman" w:hAnsi="Times New Roman" w:cs="Times New Roman"/>
              </w:rPr>
            </w:pPr>
            <w:r w:rsidRPr="0082210E">
              <w:rPr>
                <w:rFonts w:ascii="Times New Roman" w:hAnsi="Times New Roman" w:cs="Times New Roman"/>
              </w:rPr>
              <w:t>Руководитель практики от ГБПОУ РХ ХПК</w:t>
            </w:r>
          </w:p>
        </w:tc>
        <w:tc>
          <w:tcPr>
            <w:tcW w:w="1472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20FA49FC" w14:textId="77777777" w:rsidR="00D576EB" w:rsidRPr="0082210E" w:rsidRDefault="00D576EB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3CF51D84" w14:textId="77777777" w:rsidR="00D576EB" w:rsidRPr="0082210E" w:rsidRDefault="00D576EB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2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227A2A0C" w14:textId="77777777" w:rsidR="00D576EB" w:rsidRPr="0082210E" w:rsidRDefault="00D576EB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3ABC0B6" w14:textId="77777777" w:rsidR="00D576EB" w:rsidRPr="0082210E" w:rsidRDefault="00D576EB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4" w:type="dxa"/>
            <w:gridSpan w:val="3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2F0CE25B" w14:textId="77777777" w:rsidR="00D576EB" w:rsidRPr="0082210E" w:rsidRDefault="00D576EB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7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C54878A" w14:textId="77777777" w:rsidR="00D576EB" w:rsidRPr="0082210E" w:rsidRDefault="00D576EB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2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1E081BC" w14:textId="77777777" w:rsidR="00D576EB" w:rsidRPr="0082210E" w:rsidRDefault="001C5488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82210E">
              <w:rPr>
                <w:rFonts w:ascii="Times New Roman" w:hAnsi="Times New Roman" w:cs="Times New Roman"/>
              </w:rPr>
              <w:t>Бондарь Ю.Л.</w:t>
            </w:r>
          </w:p>
        </w:tc>
      </w:tr>
      <w:tr w:rsidR="00D576EB" w:rsidRPr="0082210E" w14:paraId="3E2456CF" w14:textId="77777777" w:rsidTr="00A33D21">
        <w:tc>
          <w:tcPr>
            <w:tcW w:w="209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DA486" w14:textId="77777777" w:rsidR="00D576EB" w:rsidRPr="0082210E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147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0D93D3" w14:textId="77777777" w:rsidR="00D576EB" w:rsidRPr="0082210E" w:rsidRDefault="00210805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r w:rsidRPr="0082210E">
              <w:rPr>
                <w:rFonts w:ascii="Times New Roman" w:hAnsi="Times New Roman" w:cs="Times New Roman"/>
                <w:i/>
                <w:iCs/>
                <w:vertAlign w:val="superscript"/>
              </w:rPr>
              <w:t>оценка</w:t>
            </w:r>
          </w:p>
        </w:tc>
        <w:tc>
          <w:tcPr>
            <w:tcW w:w="16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ECFC44" w14:textId="77777777" w:rsidR="00D576EB" w:rsidRPr="0082210E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17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684C9" w14:textId="77777777" w:rsidR="00D576EB" w:rsidRPr="0082210E" w:rsidRDefault="00210805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r w:rsidRPr="0082210E">
              <w:rPr>
                <w:rFonts w:ascii="Times New Roman" w:hAnsi="Times New Roman" w:cs="Times New Roman"/>
                <w:i/>
                <w:iCs/>
                <w:vertAlign w:val="superscript"/>
              </w:rPr>
              <w:t>дата</w:t>
            </w:r>
          </w:p>
        </w:tc>
        <w:tc>
          <w:tcPr>
            <w:tcW w:w="17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0E2D1" w14:textId="77777777" w:rsidR="00D576EB" w:rsidRPr="0082210E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1704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BA56EC" w14:textId="77777777" w:rsidR="00D576EB" w:rsidRPr="0082210E" w:rsidRDefault="00210805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r w:rsidRPr="0082210E">
              <w:rPr>
                <w:rFonts w:ascii="Times New Roman" w:hAnsi="Times New Roman" w:cs="Times New Roman"/>
                <w:i/>
                <w:iCs/>
                <w:vertAlign w:val="superscript"/>
              </w:rPr>
              <w:t>подпись</w:t>
            </w:r>
          </w:p>
        </w:tc>
        <w:tc>
          <w:tcPr>
            <w:tcW w:w="16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58442" w14:textId="77777777" w:rsidR="00D576EB" w:rsidRPr="0082210E" w:rsidRDefault="00D576EB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</w:p>
        </w:tc>
        <w:tc>
          <w:tcPr>
            <w:tcW w:w="187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FC0CC" w14:textId="77777777" w:rsidR="00D576EB" w:rsidRPr="0082210E" w:rsidRDefault="00210805">
            <w:pPr>
              <w:pStyle w:val="TableContents"/>
              <w:jc w:val="center"/>
              <w:rPr>
                <w:rFonts w:ascii="Times New Roman" w:hAnsi="Times New Roman" w:cs="Times New Roman"/>
                <w:i/>
                <w:iCs/>
                <w:vertAlign w:val="superscript"/>
              </w:rPr>
            </w:pPr>
            <w:r w:rsidRPr="0082210E">
              <w:rPr>
                <w:rFonts w:ascii="Times New Roman" w:hAnsi="Times New Roman" w:cs="Times New Roman"/>
                <w:i/>
                <w:iCs/>
                <w:vertAlign w:val="superscript"/>
              </w:rPr>
              <w:t>Фамилия, И.О.</w:t>
            </w:r>
          </w:p>
        </w:tc>
      </w:tr>
    </w:tbl>
    <w:p w14:paraId="3D7BDB65" w14:textId="4A42B32A" w:rsidR="00D576EB" w:rsidRPr="0082210E" w:rsidRDefault="00210805" w:rsidP="00B00914">
      <w:pPr>
        <w:pStyle w:val="Standard"/>
        <w:spacing w:before="3960"/>
        <w:jc w:val="center"/>
        <w:rPr>
          <w:rStyle w:val="StrongEmphasis"/>
          <w:rFonts w:ascii="Times New Roman" w:hAnsi="Times New Roman" w:cs="Times New Roman"/>
          <w:b w:val="0"/>
          <w:bCs w:val="0"/>
          <w:lang w:val="en-US"/>
        </w:rPr>
      </w:pPr>
      <w:r w:rsidRPr="0082210E">
        <w:rPr>
          <w:rStyle w:val="StrongEmphasis"/>
          <w:rFonts w:ascii="Times New Roman" w:hAnsi="Times New Roman" w:cs="Times New Roman"/>
          <w:b w:val="0"/>
          <w:bCs w:val="0"/>
        </w:rPr>
        <w:t>Абакан, 202</w:t>
      </w:r>
      <w:r w:rsidR="00A33D21" w:rsidRPr="0082210E">
        <w:rPr>
          <w:rStyle w:val="StrongEmphasis"/>
          <w:rFonts w:ascii="Times New Roman" w:hAnsi="Times New Roman" w:cs="Times New Roman"/>
          <w:b w:val="0"/>
          <w:bCs w:val="0"/>
        </w:rPr>
        <w:t>4</w:t>
      </w:r>
    </w:p>
    <w:p w14:paraId="009F35E4" w14:textId="77777777" w:rsidR="00B00914" w:rsidRPr="0082210E" w:rsidRDefault="00B00914" w:rsidP="0082210E">
      <w:pPr>
        <w:pStyle w:val="Standard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10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Описание предприятия</w:t>
      </w:r>
    </w:p>
    <w:p w14:paraId="76E329B7" w14:textId="77777777" w:rsidR="00B00914" w:rsidRPr="0082210E" w:rsidRDefault="00B00914" w:rsidP="0082210E">
      <w:pPr>
        <w:pStyle w:val="Standard"/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10E">
        <w:rPr>
          <w:rFonts w:ascii="Times New Roman" w:hAnsi="Times New Roman" w:cs="Times New Roman"/>
          <w:sz w:val="28"/>
          <w:szCs w:val="28"/>
        </w:rPr>
        <w:t>1.1 Общая характеристика инфраструктуры предприятия</w:t>
      </w:r>
    </w:p>
    <w:p w14:paraId="03C45309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Инфраструктура предприятия представляет собой комплексную систему, включающую аппаратные и программные компоненты, обеспечивающие непрерывное функционирование всех бизнес-процессов. В условиях торгово-логистической деятельности инфраструктура играет критическую роль, так как от ее стабильности напрямую зависит точность учета, скорость обработки заказов и эффективность управления ресурсами.</w:t>
      </w:r>
    </w:p>
    <w:p w14:paraId="1DB24189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Центральным элементом инфраструктуры является сервер, который выполняет функции хранения и обработки данных. На сервере размещаются базы данных, содержащие всю ключевую информацию предприятия, включая сведения о товарах, складских остатках, поставщиках, клиентах, договорах, финансовых операциях и логистических маршрутах. Сервер обеспечивает централизованный доступ к этим данным, что исключает их дублирование и обеспечивает актуальность информации для всех пользователей.</w:t>
      </w:r>
    </w:p>
    <w:p w14:paraId="5A88E043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Работа сервера организована таким образом, чтобы обеспечивать одновременную обработку большого количества запросов. Это достигается за счет использования многозадачной операционной системы и распределения вычислительных ресурсов. При увеличении нагрузки система способна сохранять стабильность за счет оптимизации процессов и равномерного распределения ресурсов между пользователями.</w:t>
      </w:r>
    </w:p>
    <w:p w14:paraId="50104CB8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Особое внимание уделяется вопросам надежности и сохранности данных. Для этого реализуется система резервного копирования, которая выполняется автоматически через определенные интервалы времени. Резервные копии могут храниться как на отдельных физических носителях, так и на сетевых хранилищах. Это позволяет восстановить информацию в случае сбоев оборудования, программных ошибок или человеческого фактора.</w:t>
      </w:r>
    </w:p>
    <w:p w14:paraId="1C5C1BA4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Дополнительно используется система контроля доступа, которая ограничивает права пользователей в зависимости от их должностных обязанностей. Это предотвращает несанкционированное изменение данных и обеспечивает высокий уровень информационной безопасности. Администратор системы контролирует учетные записи пользователей, управляет правами доступа и отслеживает активность в системе.</w:t>
      </w:r>
    </w:p>
    <w:p w14:paraId="149D3288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 xml:space="preserve">Физическая защита инфраструктуры также имеет важное значение. Серверное оборудование размещается в специально оборудованной зоне, доступ к которой ограничен. Используются источники бесперебойного питания, которые позволяют избежать потери </w:t>
      </w:r>
      <w:r w:rsidRPr="00B00914">
        <w:rPr>
          <w:rFonts w:ascii="Times New Roman" w:hAnsi="Times New Roman" w:cs="Times New Roman"/>
        </w:rPr>
        <w:lastRenderedPageBreak/>
        <w:t>данных при отключении электроэнергии. Также может применяться система охлаждения для предотвращения перегрева оборудования, что особенно важно при длительной работе под нагрузкой.</w:t>
      </w:r>
    </w:p>
    <w:p w14:paraId="6DA8379D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Рабочие станции сотрудников являются клиентской частью инфраструктуры. Они используются для взаимодействия с информационными системами, ввода данных, формирования отчетов и выполнения аналитических задач. Все рабочие станции подключены к локальной сети, что обеспечивает быстрый и надежный доступ к серверным ресурсам.</w:t>
      </w:r>
    </w:p>
    <w:p w14:paraId="696A6251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Сетевое оборудование обеспечивает взаимодействие всех элементов инфраструктуры. Коммутаторы выполняют функцию передачи данных внутри сети, а маршрутизатор обеспечивает доступ к внешним ресурсам и сети Интернет. Передача данных осуществляется по кабельной системе на основе витой пары, что обеспечивает стабильное соединение и высокую скорость передачи информации.</w:t>
      </w:r>
    </w:p>
    <w:p w14:paraId="314AA700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Дополнительно инфраструктура включает программные средства обеспечения безопасности, такие как антивирусные системы и средства мониторинга. Они позволяют своевременно выявлять угрозы и предотвращать возможные инциденты. Также используются средства логирования, которые фиксируют действия пользователей и позволяют анализировать работу системы.</w:t>
      </w:r>
    </w:p>
    <w:p w14:paraId="17F58238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Таким образом, инфраструктура предприятия представляет собой надежную и устойчивую систему, обеспечивающую выполнение всех информационных процессов. Она позволяет эффективно поддерживать деятельность предприятия, минимизировать риски и обеспечивать высокий уровень безопасности данных.</w:t>
      </w:r>
    </w:p>
    <w:p w14:paraId="4091624E" w14:textId="77777777" w:rsidR="00B00914" w:rsidRPr="00B00914" w:rsidRDefault="00B00914" w:rsidP="00B00914">
      <w:pPr>
        <w:pStyle w:val="Standard"/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914">
        <w:rPr>
          <w:rFonts w:ascii="Times New Roman" w:hAnsi="Times New Roman" w:cs="Times New Roman"/>
          <w:sz w:val="28"/>
          <w:szCs w:val="28"/>
        </w:rPr>
        <w:t>1.2 Конфигурация вычислительной техники и структура локальной сети предприятия</w:t>
      </w:r>
    </w:p>
    <w:p w14:paraId="24751A83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Вычислительная техника предприятия включает серверное оборудование и рабочие станции сотрудников, объединенные в локальную сеть. Сервер является центральным элементом вычислительной системы и выполняет функции обработки данных, хранения информации и координации работы пользователей. Он оснащен высокопроизводительным процессором серверного класса, значительным объемом оперативной памяти и надежной системой хранения данных.</w:t>
      </w:r>
    </w:p>
    <w:p w14:paraId="3B86D4B4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 xml:space="preserve">Система хранения данных реализована с использованием RAID-массива, который обеспечивает отказоустойчивость. Это означает, что при выходе из строя одного из дисков данные продолжают оставаться доступными, так как они дублируются или распределяются </w:t>
      </w:r>
      <w:r w:rsidRPr="00B00914">
        <w:rPr>
          <w:rFonts w:ascii="Times New Roman" w:hAnsi="Times New Roman" w:cs="Times New Roman"/>
        </w:rPr>
        <w:lastRenderedPageBreak/>
        <w:t>между несколькими накопителями. Такой подход позволяет избежать потери информации и обеспечивает непрерывность работы предприятия.</w:t>
      </w:r>
    </w:p>
    <w:p w14:paraId="3E9AD150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Сервер функционирует под управлением специализированной операционной системы, предназначенной для многопользовательской работы. Она обеспечивает распределение ресурсов, управление доступом и стабильность работы приложений. Дополнительно сервер может выполнять функции доменного контроллера, файлового сервера и сервера приложений, что позволяет централизовать управление всей системой.</w:t>
      </w:r>
    </w:p>
    <w:p w14:paraId="545CAE52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Рабочие станции сотрудников имеют стандартную конфигурацию, которая обеспечивает выполнение всех необходимых задач. Использование унифицированных конфигураций позволяет упростить обслуживание техники и снизить затраты на ее поддержку. Типовые характеристики рабочих станций:</w:t>
      </w:r>
    </w:p>
    <w:p w14:paraId="02986BD7" w14:textId="1761C99E" w:rsidR="00B00914" w:rsidRPr="00B00914" w:rsidRDefault="00B00914" w:rsidP="00B00914">
      <w:pPr>
        <w:pStyle w:val="Standard"/>
        <w:numPr>
          <w:ilvl w:val="0"/>
          <w:numId w:val="3"/>
        </w:numPr>
        <w:spacing w:line="360" w:lineRule="auto"/>
        <w:ind w:left="1531" w:hanging="397"/>
        <w:jc w:val="both"/>
        <w:rPr>
          <w:rFonts w:ascii="Times New Roman" w:hAnsi="Times New Roman" w:cs="Times New Roman"/>
          <w:lang w:val="en-US"/>
        </w:rPr>
      </w:pPr>
      <w:r w:rsidRPr="00B00914">
        <w:rPr>
          <w:rFonts w:ascii="Times New Roman" w:hAnsi="Times New Roman" w:cs="Times New Roman"/>
        </w:rPr>
        <w:t>процессор</w:t>
      </w:r>
      <w:r w:rsidRPr="00B00914">
        <w:rPr>
          <w:rFonts w:ascii="Times New Roman" w:hAnsi="Times New Roman" w:cs="Times New Roman"/>
          <w:lang w:val="en-US"/>
        </w:rPr>
        <w:t xml:space="preserve">: </w:t>
      </w:r>
      <w:r w:rsidR="000D4CD7" w:rsidRPr="000D4CD7">
        <w:rPr>
          <w:rFonts w:ascii="Times New Roman" w:hAnsi="Times New Roman" w:cs="Times New Roman"/>
        </w:rPr>
        <w:t>Intel Core i3-9100</w:t>
      </w:r>
      <w:r w:rsidRPr="00B00914">
        <w:rPr>
          <w:rFonts w:ascii="Times New Roman" w:hAnsi="Times New Roman" w:cs="Times New Roman"/>
          <w:lang w:val="en-US"/>
        </w:rPr>
        <w:t xml:space="preserve">; </w:t>
      </w:r>
    </w:p>
    <w:p w14:paraId="2C6DC7BC" w14:textId="5EB58EA3" w:rsidR="00B00914" w:rsidRPr="00B00914" w:rsidRDefault="00B00914" w:rsidP="00B00914">
      <w:pPr>
        <w:pStyle w:val="Standard"/>
        <w:numPr>
          <w:ilvl w:val="0"/>
          <w:numId w:val="3"/>
        </w:numPr>
        <w:spacing w:line="360" w:lineRule="auto"/>
        <w:ind w:left="1531" w:hanging="397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оперативная память: 8</w:t>
      </w:r>
      <w:r>
        <w:rPr>
          <w:rFonts w:ascii="Times New Roman" w:hAnsi="Times New Roman" w:cs="Times New Roman"/>
        </w:rPr>
        <w:t xml:space="preserve"> ГБ </w:t>
      </w:r>
      <w:r w:rsidRPr="00B00914">
        <w:rPr>
          <w:rFonts w:ascii="Times New Roman" w:hAnsi="Times New Roman" w:cs="Times New Roman"/>
        </w:rPr>
        <w:t>DDR4-2666</w:t>
      </w:r>
      <w:r>
        <w:rPr>
          <w:rFonts w:ascii="Times New Roman" w:hAnsi="Times New Roman" w:cs="Times New Roman"/>
        </w:rPr>
        <w:t xml:space="preserve"> </w:t>
      </w:r>
      <w:r w:rsidRPr="00B00914">
        <w:rPr>
          <w:rFonts w:ascii="Times New Roman" w:hAnsi="Times New Roman" w:cs="Times New Roman"/>
        </w:rPr>
        <w:t xml:space="preserve">; </w:t>
      </w:r>
    </w:p>
    <w:p w14:paraId="0A944CB9" w14:textId="0D5C02E4" w:rsidR="00B00914" w:rsidRPr="000D4CD7" w:rsidRDefault="00B00914" w:rsidP="00B00914">
      <w:pPr>
        <w:pStyle w:val="Standard"/>
        <w:numPr>
          <w:ilvl w:val="0"/>
          <w:numId w:val="3"/>
        </w:numPr>
        <w:spacing w:line="360" w:lineRule="auto"/>
        <w:ind w:left="1531" w:hanging="397"/>
        <w:jc w:val="both"/>
        <w:rPr>
          <w:rFonts w:ascii="Times New Roman" w:hAnsi="Times New Roman" w:cs="Times New Roman"/>
          <w:lang w:val="en-US"/>
        </w:rPr>
      </w:pPr>
      <w:r w:rsidRPr="00B00914">
        <w:rPr>
          <w:rFonts w:ascii="Times New Roman" w:hAnsi="Times New Roman" w:cs="Times New Roman"/>
        </w:rPr>
        <w:t>накопитель</w:t>
      </w:r>
      <w:r w:rsidRPr="000D4CD7">
        <w:rPr>
          <w:rFonts w:ascii="Times New Roman" w:hAnsi="Times New Roman" w:cs="Times New Roman"/>
          <w:lang w:val="en-US"/>
        </w:rPr>
        <w:t xml:space="preserve">: </w:t>
      </w:r>
      <w:r w:rsidR="000D4CD7" w:rsidRPr="000D4CD7">
        <w:rPr>
          <w:rFonts w:ascii="Times New Roman" w:hAnsi="Times New Roman" w:cs="Times New Roman"/>
          <w:lang w:val="en-US"/>
        </w:rPr>
        <w:t xml:space="preserve">SSD SATA Kingston A400 480 </w:t>
      </w:r>
      <w:r w:rsidR="000D4CD7" w:rsidRPr="000D4CD7">
        <w:rPr>
          <w:rFonts w:ascii="Times New Roman" w:hAnsi="Times New Roman" w:cs="Times New Roman"/>
        </w:rPr>
        <w:t>ГБ</w:t>
      </w:r>
      <w:r w:rsidRPr="000D4CD7">
        <w:rPr>
          <w:rFonts w:ascii="Times New Roman" w:hAnsi="Times New Roman" w:cs="Times New Roman"/>
          <w:lang w:val="en-US"/>
        </w:rPr>
        <w:t xml:space="preserve">; </w:t>
      </w:r>
    </w:p>
    <w:p w14:paraId="764FFC04" w14:textId="3F951AD5" w:rsidR="00B00914" w:rsidRPr="00B00914" w:rsidRDefault="00B00914" w:rsidP="00B00914">
      <w:pPr>
        <w:pStyle w:val="Standard"/>
        <w:numPr>
          <w:ilvl w:val="0"/>
          <w:numId w:val="3"/>
        </w:numPr>
        <w:spacing w:line="360" w:lineRule="auto"/>
        <w:ind w:left="1531" w:hanging="397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 xml:space="preserve">видеосистема: </w:t>
      </w:r>
      <w:r w:rsidR="000D4CD7" w:rsidRPr="000D4CD7">
        <w:rPr>
          <w:rFonts w:ascii="Times New Roman" w:hAnsi="Times New Roman" w:cs="Times New Roman"/>
        </w:rPr>
        <w:t>встроенная Intel UHD Graphics 630</w:t>
      </w:r>
      <w:r w:rsidRPr="00B00914">
        <w:rPr>
          <w:rFonts w:ascii="Times New Roman" w:hAnsi="Times New Roman" w:cs="Times New Roman"/>
        </w:rPr>
        <w:t xml:space="preserve">; </w:t>
      </w:r>
    </w:p>
    <w:p w14:paraId="75842919" w14:textId="0277B4A2" w:rsidR="00B00914" w:rsidRPr="00B00914" w:rsidRDefault="00B00914" w:rsidP="00B00914">
      <w:pPr>
        <w:pStyle w:val="Standard"/>
        <w:numPr>
          <w:ilvl w:val="0"/>
          <w:numId w:val="3"/>
        </w:numPr>
        <w:spacing w:line="360" w:lineRule="auto"/>
        <w:ind w:left="1531" w:hanging="397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 xml:space="preserve">операционная система: </w:t>
      </w:r>
      <w:r w:rsidR="000D4CD7" w:rsidRPr="000D4CD7">
        <w:rPr>
          <w:rFonts w:ascii="Times New Roman" w:hAnsi="Times New Roman" w:cs="Times New Roman"/>
        </w:rPr>
        <w:t>Windows 10 Pro 64-bit</w:t>
      </w:r>
      <w:r w:rsidRPr="00B00914">
        <w:rPr>
          <w:rFonts w:ascii="Times New Roman" w:hAnsi="Times New Roman" w:cs="Times New Roman"/>
        </w:rPr>
        <w:t xml:space="preserve">; </w:t>
      </w:r>
    </w:p>
    <w:p w14:paraId="6A29A9D4" w14:textId="77777777" w:rsidR="00B00914" w:rsidRPr="00B00914" w:rsidRDefault="00B00914" w:rsidP="00B00914">
      <w:pPr>
        <w:pStyle w:val="Standard"/>
        <w:numPr>
          <w:ilvl w:val="0"/>
          <w:numId w:val="3"/>
        </w:numPr>
        <w:spacing w:line="360" w:lineRule="auto"/>
        <w:ind w:left="1531" w:hanging="397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 xml:space="preserve">сетевой интерфейс: Ethernet (RJ-45). </w:t>
      </w:r>
    </w:p>
    <w:p w14:paraId="5B650CB2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Такая конфигурация обеспечивает высокую скорость работы приложений и комфортные условия для выполнения задач сотрудниками. Использование SSD-накопителей значительно сокращает время загрузки системы и приложений, а также повышает общую производительность рабочих мест.</w:t>
      </w:r>
    </w:p>
    <w:p w14:paraId="4EA4EAF8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Локальная сеть предприятия построена по топологии «звезда», при которой все устройства подключены к центральному коммутатору. Это обеспечивает стабильную передачу данных и упрощает управление сетью. В случае неисправности одного из устройств остальные продолжают работать без нарушений, что повышает надежность всей системы.</w:t>
      </w:r>
    </w:p>
    <w:p w14:paraId="27D711EC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Сеть может быть разделена на логические сегменты, что позволяет разграничить доступ к различным ресурсам. Это достигается с помощью настройки сетевого оборудования и программных средств. Такой подход повышает уровень безопасности и позволяет ограничить доступ пользователей только к тем данным, которые необходимы для выполнения их задач.</w:t>
      </w:r>
    </w:p>
    <w:p w14:paraId="00D75ECF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 xml:space="preserve">Передача данных осуществляется с использованием протоколов TCP/IP, которые обеспечивают стандартизированное взаимодействие между устройствами. Для упрощения администрирования используются службы DHCP и DNS. DHCP автоматически назначает </w:t>
      </w:r>
      <w:r w:rsidRPr="00B00914">
        <w:rPr>
          <w:rFonts w:ascii="Times New Roman" w:hAnsi="Times New Roman" w:cs="Times New Roman"/>
        </w:rPr>
        <w:lastRenderedPageBreak/>
        <w:t>IP-адреса устройствам, а DNS обеспечивает преобразование имен в IP-адреса, что делает работу пользователей более удобной.</w:t>
      </w:r>
    </w:p>
    <w:p w14:paraId="615CD708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В сети также используются периферийные устройства, такие как сетевые принтеры, сканеры и другие устройства. Они доступны с различных рабочих станций, что позволяет эффективно использовать ресурсы и снижает затраты на оборудование.</w:t>
      </w:r>
    </w:p>
    <w:p w14:paraId="41B231B6" w14:textId="77777777" w:rsidR="00B00914" w:rsidRPr="00B00914" w:rsidRDefault="00B00914" w:rsidP="00B0091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00914">
        <w:rPr>
          <w:rFonts w:ascii="Times New Roman" w:hAnsi="Times New Roman" w:cs="Times New Roman"/>
        </w:rPr>
        <w:t>Таким образом, конфигурация вычислительной техники и структура локальной сети обеспечивают надежную, стабильную и безопасную работу всех информационных систем предприятия.</w:t>
      </w:r>
    </w:p>
    <w:p w14:paraId="6C29F652" w14:textId="77777777" w:rsidR="00B00914" w:rsidRPr="000D4CD7" w:rsidRDefault="00B00914" w:rsidP="000D4CD7">
      <w:pPr>
        <w:pStyle w:val="Standard"/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CD7">
        <w:rPr>
          <w:rFonts w:ascii="Times New Roman" w:hAnsi="Times New Roman" w:cs="Times New Roman"/>
          <w:sz w:val="28"/>
          <w:szCs w:val="28"/>
        </w:rPr>
        <w:t>1.3 Описание информационных систем и программного обеспечения</w:t>
      </w:r>
    </w:p>
    <w:p w14:paraId="32F4EFEF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Основным программным продуктом, используемым на предприятии, является 1С:Предприятие. Эта система обеспечивает автоматизацию учета и управления всеми ключевыми бизнес-процессами. Она объединяет данные о товарах, клиентах, поставщиках и финансовых операциях в единую базу, что позволяет обеспечить их целостность и актуальность.</w:t>
      </w:r>
    </w:p>
    <w:p w14:paraId="79A580F5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Система функционирует в клиент-серверной архитектуре, что позволяет распределить нагрузку между сервером и рабочими станциями. Сервер отвечает за хранение данных и выполнение основных вычислений, а клиентские приложения обеспечивают удобный интерфейс для работы пользователей. Такой подход обеспечивает высокую производительность и надежность системы.</w:t>
      </w:r>
    </w:p>
    <w:p w14:paraId="5D512EBD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В рамках системы используются различные конфигурации, каждая из которых предназначена для выполнения определенных функций. Конфигурация «Бухгалтерия» обеспечивает ведение бухгалтерского и налогового учета, формирование отчетности и контроль финансовых операций. Она позволяет автоматизировать расчет налогов, учет доходов и расходов, а также подготовку отчетных документов.</w:t>
      </w:r>
    </w:p>
    <w:p w14:paraId="0E7AECB1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Конфигурация транспортной логистики используется для управления перевозками и контроля доставки товаров. Она позволяет планировать маршруты, учитывать загрузку транспорта и отслеживать выполнение заказов. Это обеспечивает эффективное управление логистическими процессами и позволяет минимизировать затраты на транспортировку.</w:t>
      </w:r>
    </w:p>
    <w:p w14:paraId="1CD70896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Конфигурация «Торговля» используется для учета товарных операций и управления складскими запасами. Она позволяет контролировать остатки товаров, оформлять продажи и отслеживать движение продукции. Это обеспечивает прозрачность всех операций и позволяет оперативно принимать управленческие решения.</w:t>
      </w:r>
    </w:p>
    <w:p w14:paraId="00712482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lastRenderedPageBreak/>
        <w:t>Дополнительно на предприятии используется система AXELOT, которая интегрирована с основной учетной системой и применяется для автоматизации складской и транспортной логистики. Данное программное обеспечение обеспечивает более детальный контроль складских операций, включая приемку, размещение, перемещение и отгрузку товаров. Оно позволяет оптимизировать использование складских площадей, управлять адресным хранением и отслеживать движение товаров в режиме реального времени. Интеграция с учетной системой обеспечивает синхронизацию данных и исключает расхождения в информации.</w:t>
      </w:r>
    </w:p>
    <w:p w14:paraId="0F9243AE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Дополнительно используется Microsoft Excel, который применяется для обработки табличных данных, анализа информации и построения отчетов. Excel позволяет выполнять сложные расчеты, использовать формулы и создавать графические представления данных. Это делает его универсальным инструментом для анализа информации.</w:t>
      </w:r>
    </w:p>
    <w:p w14:paraId="793B2361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Информационные системы предприятия интегрированы между собой, что позволяет автоматически передавать данные между различными модулями. Это исключает необходимость повторного ввода информации и снижает вероятность ошибок. Пользователи работают в единой системе с разграничением прав доступа, что обеспечивает защиту данных и контроль действий сотрудников.</w:t>
      </w:r>
    </w:p>
    <w:p w14:paraId="6CC93C48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Программное обеспечение регулярно обновляется, что позволяет учитывать изменения в законодательстве и повышать уровень безопасности. Обновления устанавливаются централизованно, что обеспечивает единообразие работы системы и исключает несовместимость версий.</w:t>
      </w:r>
    </w:p>
    <w:p w14:paraId="15078228" w14:textId="67A3A725" w:rsidR="00B00914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Таким образом, используемые информационные системы обеспечивают автоматизацию всех ключевых процессов предприятия, повышают эффективность работы сотрудников и позволяют обеспечить надежное управление деятельностью организации.</w:t>
      </w:r>
    </w:p>
    <w:p w14:paraId="54077BC5" w14:textId="77777777" w:rsidR="0082210E" w:rsidRPr="0082210E" w:rsidRDefault="0082210E" w:rsidP="0082210E">
      <w:pPr>
        <w:pStyle w:val="Standard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10E">
        <w:rPr>
          <w:rFonts w:ascii="Times New Roman" w:hAnsi="Times New Roman" w:cs="Times New Roman"/>
          <w:b/>
          <w:bCs/>
          <w:sz w:val="28"/>
          <w:szCs w:val="28"/>
        </w:rPr>
        <w:t>2. Поддержка серверного оборудования</w:t>
      </w:r>
    </w:p>
    <w:p w14:paraId="3E2425C9" w14:textId="77777777" w:rsidR="0082210E" w:rsidRPr="0082210E" w:rsidRDefault="0082210E" w:rsidP="0082210E">
      <w:pPr>
        <w:pStyle w:val="Standard"/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10E">
        <w:rPr>
          <w:rFonts w:ascii="Times New Roman" w:hAnsi="Times New Roman" w:cs="Times New Roman"/>
          <w:sz w:val="28"/>
          <w:szCs w:val="28"/>
        </w:rPr>
        <w:t>2.1 Компоненты аппаратного сервера</w:t>
      </w:r>
    </w:p>
    <w:p w14:paraId="0BCA551B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Серверное оборудование предприятия представляет собой ключевую инфраструктурную составляющую, обеспечивающую работу всех информационных систем и стабильное функционирование бизнес-процессов торгово-логистической компании. Сервер предназначен для обработки больших объемов данных, хранения информации и взаимодействия с клиентскими рабочими станциями через локальную сеть и, при необходимости, через удаленные соединения.</w:t>
      </w:r>
    </w:p>
    <w:p w14:paraId="6C2FB26A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lastRenderedPageBreak/>
        <w:t>Центральным элементом сервера является процессор Intel Xeon E-2236, обладающий шестью физическими ядрами и двенадцатью потоками, базовой частотой 3.4 ГГц с возможностью разгона до 4.8 ГГц в режиме Turbo. Этот процессор поддерживает многозадачность и высокопроизводительные вычисления, что позволяет одновременно обслуживать большое количество клиентских запросов от пользователей системы 1С:Предприятие с конфигурациями «Бухгалтерия», «Транспортная логистика», «Торговля», а также платформы AXELOT. Высокая частота и многопоточность процессора критически важны для эффективного функционирования всех программных модулей, обеспечения высокой скорости обработки данных и снижения времени отклика системы для конечных пользователей.</w:t>
      </w:r>
    </w:p>
    <w:p w14:paraId="7CDC82E4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Оперативная память сервера установлена в объеме 32 ГБ DDR4-2666 с поддержкой технологии ECC (Error Correcting Code). ECC-память автоматически обнаруживает и исправляет возможные ошибки, возникающие при работе с данными, что значительно снижает риск сбоя серверной системы и потери информации. Использование четырех слотов для памяти позволяет задействовать все каналы передачи данных, повышая пропускную способность и эффективность работы системы при одновременной обработке множества задач. Такой объем памяти обеспечивает быстрый доступ к временным данным и поддерживает стабильную работу серверных приложений даже при высоких нагрузках и одновременной работе десятков пользователей.</w:t>
      </w:r>
    </w:p>
    <w:p w14:paraId="60CBA56E" w14:textId="77777777" w:rsidR="00B125D1" w:rsidRDefault="00B125D1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125D1">
        <w:rPr>
          <w:rFonts w:ascii="Times New Roman" w:hAnsi="Times New Roman" w:cs="Times New Roman"/>
        </w:rPr>
        <w:t>Для хранения данных сервер оснащен двумя SSD Samsung 870 EVO по 1 ТБ каждый, объединенными в RAID 1 для дублирования информации. Этот массив обеспечивает надежное хранение критически важной информации и быстрый доступ к ней, что особенно важно для базы данных 1С и платформы AXELOT, где требуется высокая скорость чтения и записи данных. Дополнительно сервер оснащен жестким диском HDD Seagate Barracuda объемом 4 ТБ, который используется для долговременного хранения информации, архивирования отчетов, резервного копирования и хранения больших массивов данных, к которым не требуется мгновенный доступ. Наличие HDD позволяет разгрузить SSD, увеличить срок их службы и обеспечить дополнительный уровень защиты информации на случай выхода из строя основного массива.</w:t>
      </w:r>
    </w:p>
    <w:p w14:paraId="4EA3362B" w14:textId="20365E48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 xml:space="preserve">Сетевые интерфейсы представлены двумя портами 1 Gbit/s Ethernet Intel I350, что позволяет поддерживать высокоскоростное подключение к локальной сети предприятия, организовать резервирование каналов и балансировку нагрузки между ними. Это снижает риск сбоев в работе сети и обеспечивает стабильное соединение всех пользователей с сервером. Сервер также оснащен встроенной системой удаленного управления iDRAC, </w:t>
      </w:r>
      <w:r w:rsidRPr="0082210E">
        <w:rPr>
          <w:rFonts w:ascii="Times New Roman" w:hAnsi="Times New Roman" w:cs="Times New Roman"/>
        </w:rPr>
        <w:lastRenderedPageBreak/>
        <w:t>которая позволяет администраторам мониторить состояние оборудования, управлять питанием, выполнять перезагрузку и настраивать компоненты без физического присутствия в серверной комнате. Такая система упрощает обслуживание, ускоряет диагностику неисправностей и минимизирует время простоя серверного оборудования.</w:t>
      </w:r>
    </w:p>
    <w:p w14:paraId="66620076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Материнская плата Supermicro X11SCL обеспечивает поддержку процессора, памяти, накопителей и сетевых карт, а также позволяет расширять систему дополнительными устройствами при необходимости. Она поддерживает подключение нескольких накопителей и карт расширения, обеспечивая гибкость при модернизации серверной системы. Блок питания мощностью 500 Вт с резервированием гарантирует стабильное питание всех компонентов даже при выходе из строя одного источника, что предотвращает аварийное отключение и защищает оборудование от повреждений.</w:t>
      </w:r>
    </w:p>
    <w:p w14:paraId="3D8BF4F5" w14:textId="5EB60CD0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Система охлаждения сервера включает несколько вентиляторов и радиаторов, которые поддерживают оптимальную температуру процессора, памяти и накопителей, предотвращают перегрев и продлевают срок службы оборудования. Корпус сервера предоставляет дополнительные посадочные места для установки новых накопителей и расширительных карт, что позволяет модернизировать систему без полной замены устройства. Таким образом, аппаратный сервер представляет собой комплекс высоконадежных компонентов, каждый из которых играет важную роль в обеспечении производительности, отказоустойчивости и масштабируемости инфраструктуры предприятия.</w:t>
      </w:r>
    </w:p>
    <w:p w14:paraId="3D412928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2.2 Сборка аппаратного сервера</w:t>
      </w:r>
    </w:p>
    <w:p w14:paraId="07D4A852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Сборка серверного оборудования на предприятии представляет собой процесс интеграции всех компонентов в единую систему, обеспечивающую бесперебойную работу информационных систем и поддержку критически важных процессов компании. Сервер построен на базе корпуса Supermicro SFF и материнской платы Supermicro X11SCL. Центральный процессор Intel Xeon E-2236 установлен в разъем LGA1151 с качественным радиатором и вентилятором, обеспечивающим эффективное охлаждение даже при максимальной нагрузке.</w:t>
      </w:r>
    </w:p>
    <w:p w14:paraId="0449FB87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 xml:space="preserve">Оперативная память объемом 32 ГБ DDR4-2666 ECC распределена по четырем слотам для максимального использования каналов памяти и повышения пропускной способности. SSD накопители Samsung 870 EVO по 500 ГБ объединены в RAID 1 для дублирования данных, обеспечивая надежность и высокую скорость доступа к критически важной информации. Дополнительно установлен HDD Seagate Barracuda объемом 2 ТБ для </w:t>
      </w:r>
      <w:r w:rsidRPr="0082210E">
        <w:rPr>
          <w:rFonts w:ascii="Times New Roman" w:hAnsi="Times New Roman" w:cs="Times New Roman"/>
        </w:rPr>
        <w:lastRenderedPageBreak/>
        <w:t>хранения архивной информации, резервного копирования и долговременного хранения данных, что обеспечивает дополнительный уровень защиты информации.</w:t>
      </w:r>
    </w:p>
    <w:p w14:paraId="25432430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Сетевые карты Intel I350 обеспечивают стабильное подключение к локальной сети предприятия, поддерживают резервирование каналов и балансировку нагрузки, что минимизирует вероятность сетевых сбоев и обеспечивает постоянную доступность серверных ресурсов для всех сотрудников. Блок питания Supermicro мощностью 500 Вт с возможностью горячей замены гарантирует стабильное питание всех компонентов, исключая внезапные отключения и повреждение оборудования.</w:t>
      </w:r>
    </w:p>
    <w:p w14:paraId="1BD01D7B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Система охлаждения сервера построена таким образом, чтобы обеспечить равномерное распределение воздушного потока внутри корпуса, предотвращать перегрев процессора, памяти и накопителей, а также поддерживать стабильный температурный режим при интенсивной работе. Интерфейс удаленного управления iDRAC позволяет администраторам контролировать работу сервера, перезагружать его дистанционно, отслеживать состояние компонентов и оперативно реагировать на возникающие проблемы.</w:t>
      </w:r>
    </w:p>
    <w:p w14:paraId="1A07BB92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Сборка сервера также предполагает возможность расширения и модернизации. Корпус и материнская плата позволяют добавлять новые SSD и HDD, сетевые карты и контроллеры RAID, увеличивая объем хранилища и повышая производительность. Это позволяет продлить срок службы сервера, адаптировать его под растущие потребности компании и обеспечить бесперебойную работу информационной системы даже при увеличении нагрузки.</w:t>
      </w:r>
    </w:p>
    <w:p w14:paraId="460ACB1F" w14:textId="3DDC78F9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Таким образом, сборка серверного оборудования представляет собой тщательно продуманную интеграцию высокопроизводительных компонентов, включая процессор, память, SSD и HDD для хранения и резервирования информации, сетевые карты, блок питания и систему охлаждения. Каждое устройство и каждая конфигурация подобраны с учетом производительности, отказоустойчивости и возможности масштабирования, обеспечивая надежную работу серверной инфраструктуры предприятия.</w:t>
      </w:r>
    </w:p>
    <w:p w14:paraId="271F37CF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2.3 Риски, которые могут возникнуть при работе аппаратного сервера</w:t>
      </w:r>
    </w:p>
    <w:p w14:paraId="73ACC7FA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Эксплуатация серверного оборудования сопряжена с рядом потенциальных рисков, которые могут оказать влияние на стабильность работы всей информационной системы предприятия. Один из основных рисков связан с отказом оборудования. Процессор, память, SSD или HDD могут выйти из строя по причине производственного брака, перегрева, износа или скачков напряжения. Для минимизации последствий используются RAID-массивы, резервные блоки питания и системы мониторинга состояния компонентов, которые позволяют оперативно выявлять неполадки и предотвращать потерю данных.</w:t>
      </w:r>
    </w:p>
    <w:p w14:paraId="4680C279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lastRenderedPageBreak/>
        <w:t>Перегрев компонентов является критическим риском для стабильной работы сервера. Недостаточная эффективность системы охлаждения может привести к снижению производительности, повреждению процессора, памяти и накопителей, а также к длительным простоям. Для предотвращения перегрева сервер оснащен системой охлаждения с несколькими вентиляторами и радиаторами, которые обеспечивают равномерное распределение воздушного потока внутри корпуса, поддерживают безопасный температурный режим и продлевают срок службы оборудования.</w:t>
      </w:r>
    </w:p>
    <w:p w14:paraId="54B17126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Сбои электропитания представляют собой еще один значимый риск. Перепады напряжения или внезапное отключение электроэнергии могут привести к аварийному завершению работы сервера и потере данных. Для снижения вероятности таких ситуаций используется резервирование блоков питания, подключение серверов к источникам бесперебойного питания (UPS) и организация системы аварийного питания, что обеспечивает защиту критически важной информации и предотвращает повреждение оборудования.</w:t>
      </w:r>
    </w:p>
    <w:p w14:paraId="364EACCD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Программные сбои, ошибки конфигурации и вирусные атаки также представляют угрозу для работы сервера. Регулярное обновление программного обеспечения, резервное копирование данных и тестирование новых версий на тестовой среде позволяют минимизировать риски и обеспечивают бесперебойное функционирование систем 1С:Предприятие и AXELOT. Администраторы контролируют доступ пользователей, разграничивают права и ведут журнал действий, что позволяет отслеживать изменения и предотвращать случайные или намеренные ошибки.</w:t>
      </w:r>
    </w:p>
    <w:p w14:paraId="034800D4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Человеческий фактор является значимой причиной возможных проблем. Ошибки при подключении компонентов, настройке RAID, конфигурации сети или системных параметров могут вызвать сбои и потерю данных. Строгие инструкции по эксплуатации, обучение персонала и разграничение прав доступа помогают минимизировать влияние человеческого фактора и обеспечивают корректную работу оборудования.</w:t>
      </w:r>
    </w:p>
    <w:p w14:paraId="7C547C02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Физические риски включают воздействие влаги, пыли, вибраций, перепадов температуры и пожарной опасности. Серверы располагаются в специально оборудованных помещениях с контролем температуры, влажности и ограничением доступа, что снижает вероятность повреждений и повышает надежность оборудования.</w:t>
      </w:r>
    </w:p>
    <w:p w14:paraId="5026655E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 xml:space="preserve">Наличие HDD для долговременного хранения и резервного копирования данных обеспечивает дополнительный уровень защиты информации. Даже в случае выхода из строя SSD или других компонентов, данные на HDD остаются доступными, что позволяет сохранять исторические данные, финансовую и логистическую информацию, а также </w:t>
      </w:r>
      <w:r w:rsidRPr="0082210E">
        <w:rPr>
          <w:rFonts w:ascii="Times New Roman" w:hAnsi="Times New Roman" w:cs="Times New Roman"/>
        </w:rPr>
        <w:lastRenderedPageBreak/>
        <w:t>архивы отчетов. Это критически важно для анализа деятельности предприятия, планирования и принятия управленческих решений.</w:t>
      </w:r>
    </w:p>
    <w:p w14:paraId="6C0BB5AA" w14:textId="77777777" w:rsidR="0082210E" w:rsidRPr="0082210E" w:rsidRDefault="0082210E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2210E">
        <w:rPr>
          <w:rFonts w:ascii="Times New Roman" w:hAnsi="Times New Roman" w:cs="Times New Roman"/>
        </w:rPr>
        <w:t>Таким образом, эксплуатация серверного оборудования требует комплексного подхода, включающего контроль состояния всех компонентов, мониторинг температурного режима и питания, резервирование данных, регулярное обновление программного обеспечения и обучение персонала. Только при соблюдении всех мер безопасности и корректной организации работы серверной инфраструктуры обеспечивается надежная, эффективная и бесперебойная поддержка всех бизнес-процессов торгово-логистической компании.</w:t>
      </w:r>
    </w:p>
    <w:p w14:paraId="7A19C2F5" w14:textId="1E818E98" w:rsidR="0082210E" w:rsidRDefault="00677CE3" w:rsidP="0082210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677CE3">
        <w:rPr>
          <w:rFonts w:ascii="Times New Roman" w:hAnsi="Times New Roman" w:cs="Times New Roman"/>
        </w:rPr>
        <w:t>2.</w:t>
      </w:r>
      <w:r w:rsidR="00DD46FB">
        <w:rPr>
          <w:rFonts w:ascii="Times New Roman" w:hAnsi="Times New Roman" w:cs="Times New Roman"/>
        </w:rPr>
        <w:t>4</w:t>
      </w:r>
      <w:r w:rsidRPr="00677CE3">
        <w:rPr>
          <w:rFonts w:ascii="Times New Roman" w:hAnsi="Times New Roman" w:cs="Times New Roman"/>
        </w:rPr>
        <w:t xml:space="preserve"> </w:t>
      </w:r>
      <w:r w:rsidR="00DD46FB">
        <w:rPr>
          <w:rFonts w:ascii="Times New Roman" w:hAnsi="Times New Roman" w:cs="Times New Roman"/>
        </w:rPr>
        <w:t>Установка</w:t>
      </w:r>
      <w:r w:rsidRPr="00677CE3">
        <w:rPr>
          <w:rFonts w:ascii="Times New Roman" w:hAnsi="Times New Roman" w:cs="Times New Roman"/>
        </w:rPr>
        <w:t xml:space="preserve"> программного сервера</w:t>
      </w:r>
    </w:p>
    <w:p w14:paraId="1A90DE87" w14:textId="77777777" w:rsidR="00DD46FB" w:rsidRDefault="00DD46FB" w:rsidP="00677CE3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D46FB">
        <w:rPr>
          <w:rFonts w:ascii="Times New Roman" w:hAnsi="Times New Roman" w:cs="Times New Roman"/>
        </w:rPr>
        <w:t>В качестве операционной системы сервера была выбрана платформа Windows Server 2016 — современная серверная ОС от Microsoft, обеспечивающая необходимую стабильность, безопасность и совместимость с корпоративным программным обеспечением. Установка данной системы позволила воссоздать условия, максимально приближенные к реальной производственной среде предприятия.</w:t>
      </w:r>
    </w:p>
    <w:p w14:paraId="68309A6C" w14:textId="77777777" w:rsidR="00087198" w:rsidRPr="00087198" w:rsidRDefault="00087198" w:rsidP="00087198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087198">
        <w:rPr>
          <w:rFonts w:ascii="Times New Roman" w:hAnsi="Times New Roman" w:cs="Times New Roman"/>
        </w:rPr>
        <w:t>Процесс развертывания серверной платформы начался с установки операционной системы Windows Server 2016 на виртуальную машину. Выбор данной версии обусловлен её широкой распространенностью в корпоративном секторе, длительным сроком поддержки со стороны производителя и полной совместимостью с целевым программным обеспечением 1С:Предприятие.</w:t>
      </w:r>
    </w:p>
    <w:p w14:paraId="2BA10078" w14:textId="77777777" w:rsidR="00087198" w:rsidRPr="00087198" w:rsidRDefault="00087198" w:rsidP="00087198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087198">
        <w:rPr>
          <w:rFonts w:ascii="Times New Roman" w:hAnsi="Times New Roman" w:cs="Times New Roman"/>
        </w:rPr>
        <w:t>Установка производилась в графическом режиме с использованием образа установочного диска. На начальном этапе выполнен выбор редакции операционной системы — Windows Server 2016 Standard с графическим интерфейсом (Desktop Experience), что обеспечивает возможность администрирования сервера через привычные инструменты Windows без необходимости использования исключительно командной строки.</w:t>
      </w:r>
    </w:p>
    <w:p w14:paraId="2518D1E1" w14:textId="4EFEA87D" w:rsidR="00087198" w:rsidRDefault="00087198" w:rsidP="00087198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087198">
        <w:rPr>
          <w:rFonts w:ascii="Times New Roman" w:hAnsi="Times New Roman" w:cs="Times New Roman"/>
        </w:rPr>
        <w:t>В процессе инсталляции произведена разметка виртуального жесткого диска, выделено системное пространство для размещения операционной системы, файлов подкачки и будущего программного обеспечения. Установщик автоматически создал необходимые системные разделы, включая зарезервированный раздел для загрузчика и основной системный том.</w:t>
      </w:r>
    </w:p>
    <w:p w14:paraId="322C71A9" w14:textId="07AD332C" w:rsidR="00677CE3" w:rsidRDefault="00677CE3" w:rsidP="00677CE3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677CE3">
        <w:rPr>
          <w:rFonts w:ascii="Times New Roman" w:hAnsi="Times New Roman" w:cs="Times New Roman"/>
        </w:rPr>
        <w:t xml:space="preserve">В настройках виртуальной машины «server_pp» произведено выделение оперативной памяти объемом 6144 МБ. Данный ресурс определен как достаточный для стабильного функционирования серверной операционной системы и целевого программного обеспечения. В параметрах порядка загрузки BIOS первичным устройством назначен </w:t>
      </w:r>
      <w:r w:rsidRPr="00677CE3">
        <w:rPr>
          <w:rFonts w:ascii="Times New Roman" w:hAnsi="Times New Roman" w:cs="Times New Roman"/>
        </w:rPr>
        <w:lastRenderedPageBreak/>
        <w:t>оптический привод для установки системы, вторым — жесткий диск. Активация сетевой загрузки предусмотрена для поддержки технологий удаленного развертывания, характерных для корпоративного сектора.</w:t>
      </w:r>
      <w:r>
        <w:rPr>
          <w:rFonts w:ascii="Times New Roman" w:hAnsi="Times New Roman" w:cs="Times New Roman"/>
        </w:rPr>
        <w:t xml:space="preserve"> Все настройки показаны на рисунке 1.</w:t>
      </w:r>
    </w:p>
    <w:p w14:paraId="1B55AAEE" w14:textId="2CD8FA63" w:rsidR="00677CE3" w:rsidRDefault="00677CE3" w:rsidP="00677CE3">
      <w:pPr>
        <w:pStyle w:val="Standard"/>
        <w:spacing w:before="240" w:after="240" w:line="360" w:lineRule="auto"/>
        <w:jc w:val="center"/>
        <w:rPr>
          <w:rFonts w:ascii="Times New Roman" w:hAnsi="Times New Roman" w:cs="Times New Roman"/>
        </w:rPr>
      </w:pPr>
      <w:r w:rsidRPr="00F3286F">
        <w:rPr>
          <w:noProof/>
        </w:rPr>
        <w:drawing>
          <wp:inline distT="0" distB="0" distL="0" distR="0" wp14:anchorId="2A66F2C2" wp14:editId="0CA527D0">
            <wp:extent cx="5854535" cy="2470068"/>
            <wp:effectExtent l="0" t="0" r="0" b="6985"/>
            <wp:docPr id="67923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3483" name=""/>
                    <pic:cNvPicPr/>
                  </pic:nvPicPr>
                  <pic:blipFill rotWithShape="1">
                    <a:blip r:embed="rId7"/>
                    <a:srcRect r="1446" b="26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535" cy="2470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CA8A3" w14:textId="69F7595A" w:rsidR="00677CE3" w:rsidRDefault="00677CE3" w:rsidP="00677CE3">
      <w:pPr>
        <w:pStyle w:val="Standard"/>
        <w:spacing w:before="240" w:after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 Настройки системы сервера</w:t>
      </w:r>
    </w:p>
    <w:p w14:paraId="7402BF2E" w14:textId="1756EDCC" w:rsidR="0011013D" w:rsidRPr="0011013D" w:rsidRDefault="00677CE3" w:rsidP="0011013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677CE3">
        <w:rPr>
          <w:rFonts w:ascii="Times New Roman" w:hAnsi="Times New Roman" w:cs="Times New Roman"/>
        </w:rPr>
        <w:t>Сетевая подсистема сконфигурирована с использованием двух адаптеров для разделения трафика. Первый адаптер активирован в режиме NAT. Данная конфигурация предоставляет виртуальной машине доступ к сети Интернет через хост-систему, сохраняя при этом изоляцию внутреннего адресного пространства. В качестве типа оборудования выбрана эмуляция контроллера Intel PRO/1000 MT Desktop, обеспечивающая совместимость с современными драйверами.</w:t>
      </w:r>
      <w:r>
        <w:rPr>
          <w:rFonts w:ascii="Times New Roman" w:hAnsi="Times New Roman" w:cs="Times New Roman"/>
        </w:rPr>
        <w:t xml:space="preserve"> Раздел первого адаптера показан на рисунке 2.</w:t>
      </w:r>
    </w:p>
    <w:p w14:paraId="1B7BB1A8" w14:textId="34A9DFFD" w:rsidR="00677CE3" w:rsidRPr="00677CE3" w:rsidRDefault="00677CE3" w:rsidP="00677CE3">
      <w:pPr>
        <w:pStyle w:val="Standard"/>
        <w:spacing w:before="240" w:after="240" w:line="360" w:lineRule="auto"/>
        <w:jc w:val="center"/>
        <w:rPr>
          <w:noProof/>
        </w:rPr>
      </w:pPr>
      <w:r w:rsidRPr="00F3286F">
        <w:rPr>
          <w:noProof/>
        </w:rPr>
        <w:drawing>
          <wp:inline distT="0" distB="0" distL="0" distR="0" wp14:anchorId="0DA2923F" wp14:editId="644B37D5">
            <wp:extent cx="5795158" cy="2470068"/>
            <wp:effectExtent l="0" t="0" r="0" b="6985"/>
            <wp:docPr id="689151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1943" name=""/>
                    <pic:cNvPicPr/>
                  </pic:nvPicPr>
                  <pic:blipFill rotWithShape="1">
                    <a:blip r:embed="rId8"/>
                    <a:srcRect l="-1" t="-1" r="2789" b="26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158" cy="2470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95FB4" w14:textId="611B7698" w:rsidR="00677CE3" w:rsidRPr="00677CE3" w:rsidRDefault="00677CE3" w:rsidP="00677CE3">
      <w:pPr>
        <w:pStyle w:val="Standard"/>
        <w:spacing w:before="240" w:after="240" w:line="360" w:lineRule="auto"/>
        <w:jc w:val="center"/>
        <w:rPr>
          <w:noProof/>
        </w:rPr>
      </w:pPr>
      <w:r w:rsidRPr="00677CE3">
        <w:rPr>
          <w:noProof/>
        </w:rPr>
        <w:t xml:space="preserve">Рисунок </w:t>
      </w:r>
      <w:r>
        <w:rPr>
          <w:noProof/>
        </w:rPr>
        <w:t>2</w:t>
      </w:r>
      <w:r w:rsidRPr="00677CE3">
        <w:rPr>
          <w:noProof/>
        </w:rPr>
        <w:t xml:space="preserve"> – Настройки </w:t>
      </w:r>
      <w:r>
        <w:rPr>
          <w:noProof/>
        </w:rPr>
        <w:t>первого адаптера сервера</w:t>
      </w:r>
    </w:p>
    <w:p w14:paraId="54C3978B" w14:textId="6E998E6D" w:rsidR="0011013D" w:rsidRPr="0011013D" w:rsidRDefault="00677CE3" w:rsidP="0011013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677CE3">
        <w:rPr>
          <w:rFonts w:ascii="Times New Roman" w:hAnsi="Times New Roman" w:cs="Times New Roman"/>
        </w:rPr>
        <w:lastRenderedPageBreak/>
        <w:t>Второй сетевой адаптер настроен для организации изолированного сегмента «Внутренняя сеть»</w:t>
      </w:r>
      <w:r>
        <w:rPr>
          <w:rFonts w:ascii="Times New Roman" w:hAnsi="Times New Roman" w:cs="Times New Roman"/>
        </w:rPr>
        <w:t xml:space="preserve"> </w:t>
      </w:r>
      <w:r w:rsidRPr="00677CE3">
        <w:rPr>
          <w:rFonts w:ascii="Times New Roman" w:hAnsi="Times New Roman" w:cs="Times New Roman"/>
        </w:rPr>
        <w:t>с идентификатором «intnet». Такой режим позволяет объединить несколько виртуальных машин в закрытый контур для тестирования локального взаимодействия без выхода во внешнюю сеть. Для интерфейса назначен уникальный MAC-адрес и активирована эмуляция подключения виртуального кабеля для немедленной инициализации соединения при старте системы.</w:t>
      </w:r>
      <w:r>
        <w:rPr>
          <w:rFonts w:ascii="Times New Roman" w:hAnsi="Times New Roman" w:cs="Times New Roman"/>
        </w:rPr>
        <w:t xml:space="preserve"> Раздел второго адаптера показан на рисунке </w:t>
      </w:r>
      <w:r w:rsidR="0011013D">
        <w:rPr>
          <w:rFonts w:ascii="Times New Roman" w:hAnsi="Times New Roman" w:cs="Times New Roman"/>
        </w:rPr>
        <w:t>3.</w:t>
      </w:r>
    </w:p>
    <w:p w14:paraId="49555AB8" w14:textId="64DB867F" w:rsidR="00677CE3" w:rsidRPr="0011013D" w:rsidRDefault="00677CE3" w:rsidP="0011013D">
      <w:pPr>
        <w:pStyle w:val="Standard"/>
        <w:spacing w:before="240" w:after="240" w:line="360" w:lineRule="auto"/>
        <w:jc w:val="center"/>
        <w:rPr>
          <w:noProof/>
        </w:rPr>
      </w:pPr>
      <w:r w:rsidRPr="00F3286F">
        <w:rPr>
          <w:noProof/>
        </w:rPr>
        <w:drawing>
          <wp:inline distT="0" distB="0" distL="0" distR="0" wp14:anchorId="38A4169B" wp14:editId="1DE7E8D2">
            <wp:extent cx="5949537" cy="2683823"/>
            <wp:effectExtent l="0" t="0" r="0" b="2540"/>
            <wp:docPr id="1663217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17912" name=""/>
                    <pic:cNvPicPr/>
                  </pic:nvPicPr>
                  <pic:blipFill rotWithShape="1">
                    <a:blip r:embed="rId9"/>
                    <a:srcRect r="-176" b="21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959" cy="2684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F33CA" w14:textId="1EA4B17C" w:rsidR="0011013D" w:rsidRDefault="0011013D" w:rsidP="0011013D">
      <w:pPr>
        <w:pStyle w:val="Standard"/>
        <w:spacing w:before="120" w:after="240" w:line="360" w:lineRule="auto"/>
        <w:jc w:val="center"/>
        <w:rPr>
          <w:noProof/>
        </w:rPr>
      </w:pPr>
      <w:r w:rsidRPr="00677CE3">
        <w:rPr>
          <w:noProof/>
        </w:rPr>
        <w:t xml:space="preserve">Рисунок </w:t>
      </w:r>
      <w:r>
        <w:rPr>
          <w:noProof/>
        </w:rPr>
        <w:t>3</w:t>
      </w:r>
      <w:r w:rsidRPr="00677CE3">
        <w:rPr>
          <w:noProof/>
        </w:rPr>
        <w:t xml:space="preserve"> – Настройки</w:t>
      </w:r>
      <w:r>
        <w:rPr>
          <w:noProof/>
        </w:rPr>
        <w:t xml:space="preserve"> второго адаптера сервера</w:t>
      </w:r>
    </w:p>
    <w:p w14:paraId="4BBD1466" w14:textId="65B2B379" w:rsidR="00DD46FB" w:rsidRDefault="00DD46FB" w:rsidP="0011013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D46FB">
        <w:rPr>
          <w:rFonts w:ascii="Times New Roman" w:hAnsi="Times New Roman" w:cs="Times New Roman"/>
        </w:rPr>
        <w:t>2.</w:t>
      </w:r>
      <w:r w:rsidR="00087198">
        <w:rPr>
          <w:rFonts w:ascii="Times New Roman" w:hAnsi="Times New Roman" w:cs="Times New Roman"/>
        </w:rPr>
        <w:t>5</w:t>
      </w:r>
      <w:r w:rsidRPr="00DD46FB">
        <w:rPr>
          <w:rFonts w:ascii="Times New Roman" w:hAnsi="Times New Roman" w:cs="Times New Roman"/>
        </w:rPr>
        <w:t xml:space="preserve"> Настройка программного сервера</w:t>
      </w:r>
    </w:p>
    <w:p w14:paraId="6457AFF1" w14:textId="4B440DDA" w:rsidR="00087198" w:rsidRDefault="00087198" w:rsidP="0011013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087198">
        <w:rPr>
          <w:rFonts w:ascii="Times New Roman" w:hAnsi="Times New Roman" w:cs="Times New Roman"/>
        </w:rPr>
        <w:t>После успешной установки операционной системы Windows Server 2016 на виртуальную машину была выполнена комплексная первоначальная настройка серверной платформы. На данном этапе проведена базовая конфигурация системы, включающая подготовку к последующему развертыванию доменных служб и установке целевого программного обеспечения. Все необходимые параметры были приведены в соответствие с требованиями корпоративной инфраструктуры, что создало надежную основу для дальнейших работ по интеграции сервера в эмулированную среду предприятия.</w:t>
      </w:r>
    </w:p>
    <w:p w14:paraId="31183E31" w14:textId="17D71542" w:rsidR="0011013D" w:rsidRPr="0011013D" w:rsidRDefault="0011013D" w:rsidP="00087198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1013D">
        <w:rPr>
          <w:rFonts w:ascii="Times New Roman" w:hAnsi="Times New Roman" w:cs="Times New Roman"/>
        </w:rPr>
        <w:t xml:space="preserve">В операционной системе выполнена настройка брандмауэра Windows. Для профилей «Частные сети» и «Общедоступные сети» применены соответствующие политики безопасности. Правило входящих подключений установлено в режим блокировки всех соединений, за исключением явно разрешенных приложений. Статус активной сети определен как «Неопознанная сеть», что автоматически активирует наиболее строгий </w:t>
      </w:r>
      <w:r w:rsidRPr="0011013D">
        <w:rPr>
          <w:rFonts w:ascii="Times New Roman" w:hAnsi="Times New Roman" w:cs="Times New Roman"/>
        </w:rPr>
        <w:lastRenderedPageBreak/>
        <w:t>профиль защиты для минимизации рисков несанкционированного доступа в тестовой среде.</w:t>
      </w:r>
      <w:r w:rsidR="000871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Настройки видны на рисунке 4.</w:t>
      </w:r>
    </w:p>
    <w:p w14:paraId="1D618439" w14:textId="787D6E6D" w:rsidR="0011013D" w:rsidRDefault="0011013D" w:rsidP="0011013D">
      <w:pPr>
        <w:pStyle w:val="Standard"/>
        <w:spacing w:before="120" w:after="240" w:line="360" w:lineRule="auto"/>
        <w:jc w:val="center"/>
        <w:rPr>
          <w:noProof/>
        </w:rPr>
      </w:pPr>
      <w:r w:rsidRPr="00661D76">
        <w:rPr>
          <w:noProof/>
        </w:rPr>
        <w:drawing>
          <wp:inline distT="0" distB="0" distL="0" distR="0" wp14:anchorId="0AA5995C" wp14:editId="2EF93CA8">
            <wp:extent cx="5830784" cy="3574473"/>
            <wp:effectExtent l="0" t="0" r="0" b="6985"/>
            <wp:docPr id="1535915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15303" name=""/>
                    <pic:cNvPicPr/>
                  </pic:nvPicPr>
                  <pic:blipFill rotWithShape="1">
                    <a:blip r:embed="rId10"/>
                    <a:srcRect r="1845" b="12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784" cy="3574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BEF94" w14:textId="392FFD4F" w:rsidR="0011013D" w:rsidRDefault="0011013D" w:rsidP="0011013D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t>Рисунок 4 – Настройки брандмауэра на сервере</w:t>
      </w:r>
    </w:p>
    <w:p w14:paraId="437FEBC8" w14:textId="30546CEF" w:rsidR="0011013D" w:rsidRDefault="0011013D" w:rsidP="0011013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1013D">
        <w:rPr>
          <w:rFonts w:ascii="Times New Roman" w:hAnsi="Times New Roman" w:cs="Times New Roman"/>
        </w:rPr>
        <w:t>По завершении конфигурационных работ проведена диагностика связности узлов. Из командной строки выполнена утилита ping по адресу 192.168.0.2, принадлежащему узлу во внутренней сети. Результаты показали 100% доставку пакетов со временем отклика менее 1 мс. Значение TTL=128 подтверждает работу целевой системы под управлением Windows. Отсутствие потерь пакетов свидетельствует о корректности настройки сетевых маршрутов и готовности эмулированной инфраструктуры к установке и тестированию программного обеспечения.</w:t>
      </w:r>
    </w:p>
    <w:p w14:paraId="38E50D70" w14:textId="4641559B" w:rsidR="0011013D" w:rsidRPr="0011013D" w:rsidRDefault="0011013D" w:rsidP="0011013D">
      <w:pPr>
        <w:pStyle w:val="Standard"/>
        <w:spacing w:before="120" w:after="240" w:line="360" w:lineRule="auto"/>
        <w:jc w:val="center"/>
        <w:rPr>
          <w:noProof/>
        </w:rPr>
      </w:pPr>
      <w:r w:rsidRPr="00661D76">
        <w:rPr>
          <w:noProof/>
        </w:rPr>
        <w:lastRenderedPageBreak/>
        <w:drawing>
          <wp:inline distT="0" distB="0" distL="0" distR="0" wp14:anchorId="537E05EE" wp14:editId="24B66782">
            <wp:extent cx="5830114" cy="2772162"/>
            <wp:effectExtent l="0" t="0" r="0" b="9525"/>
            <wp:docPr id="109132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2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D01A" w14:textId="3D36461F" w:rsidR="0011013D" w:rsidRDefault="0011013D" w:rsidP="0011013D">
      <w:pPr>
        <w:pStyle w:val="Standard"/>
        <w:spacing w:before="120" w:after="240" w:line="360" w:lineRule="auto"/>
        <w:jc w:val="center"/>
        <w:rPr>
          <w:noProof/>
        </w:rPr>
      </w:pPr>
      <w:r w:rsidRPr="0011013D">
        <w:rPr>
          <w:noProof/>
        </w:rPr>
        <w:t>Рисунок 5 – Проверка связи с клиентской машиной</w:t>
      </w:r>
    </w:p>
    <w:p w14:paraId="64EAF2A6" w14:textId="61A2E1A8" w:rsidR="004B6C57" w:rsidRDefault="004B6C57" w:rsidP="0011013D">
      <w:pPr>
        <w:pStyle w:val="Standard"/>
        <w:spacing w:before="120" w:after="240" w:line="360" w:lineRule="auto"/>
        <w:jc w:val="center"/>
        <w:rPr>
          <w:noProof/>
        </w:rPr>
      </w:pPr>
      <w:r w:rsidRPr="004B6C57">
        <w:rPr>
          <w:noProof/>
        </w:rPr>
        <w:t xml:space="preserve">На </w:t>
      </w:r>
      <w:r>
        <w:rPr>
          <w:noProof/>
        </w:rPr>
        <w:t>следующем</w:t>
      </w:r>
      <w:r w:rsidRPr="004B6C57">
        <w:rPr>
          <w:noProof/>
        </w:rPr>
        <w:t xml:space="preserve"> этапе произведена идентификация серверной системы. Компьютеру присвоено имя ServerBVM, включенное в рабочую группу WORKGROUP. Статический IP-адрес 192.168.0.1 назначен первому сетевому интерфейсу Ethernet, второй интерфейс Ethernet 2 </w:t>
      </w:r>
      <w:r>
        <w:rPr>
          <w:noProof/>
        </w:rPr>
        <w:t xml:space="preserve">является сетью </w:t>
      </w:r>
      <w:r>
        <w:rPr>
          <w:noProof/>
          <w:lang w:val="en-US"/>
        </w:rPr>
        <w:t>NAT</w:t>
      </w:r>
      <w:r w:rsidRPr="004B6C57">
        <w:rPr>
          <w:noProof/>
        </w:rPr>
        <w:t>. Брандмауэр Windows для публичного и частного профилей находился в отключенном состоянии на момент начала работ.</w:t>
      </w:r>
      <w:r>
        <w:rPr>
          <w:noProof/>
        </w:rPr>
        <w:t xml:space="preserve"> Свойства показаны на рисунке 6.</w:t>
      </w:r>
    </w:p>
    <w:p w14:paraId="7BBD6F49" w14:textId="548E1BC1" w:rsidR="004B6C57" w:rsidRDefault="004B6C57" w:rsidP="0011013D">
      <w:pPr>
        <w:pStyle w:val="Standard"/>
        <w:spacing w:before="120" w:after="240" w:line="360" w:lineRule="auto"/>
        <w:jc w:val="center"/>
        <w:rPr>
          <w:noProof/>
        </w:rPr>
      </w:pPr>
      <w:r w:rsidRPr="00661D76">
        <w:rPr>
          <w:noProof/>
        </w:rPr>
        <w:drawing>
          <wp:inline distT="0" distB="0" distL="0" distR="0" wp14:anchorId="6ACB8F08" wp14:editId="1E3B1088">
            <wp:extent cx="4486901" cy="2781688"/>
            <wp:effectExtent l="0" t="0" r="9525" b="0"/>
            <wp:docPr id="1643658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58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DC04" w14:textId="012EE588" w:rsidR="004B6C57" w:rsidRDefault="004B6C57" w:rsidP="0011013D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t>Рисунок 6 – Свойства сервера</w:t>
      </w:r>
    </w:p>
    <w:p w14:paraId="3EBE9529" w14:textId="29459C9E" w:rsidR="004B6C57" w:rsidRDefault="004B6C57" w:rsidP="0011013D">
      <w:pPr>
        <w:pStyle w:val="Standard"/>
        <w:spacing w:before="120" w:after="240" w:line="360" w:lineRule="auto"/>
        <w:jc w:val="center"/>
        <w:rPr>
          <w:noProof/>
        </w:rPr>
      </w:pPr>
      <w:r w:rsidRPr="004B6C57">
        <w:rPr>
          <w:noProof/>
        </w:rPr>
        <w:t xml:space="preserve">Через мастер добавления ролей и компонентов выполнен выбор необходимых модулей для функционирования доменной инфраструктуры. В разделе компонентов активирована </w:t>
      </w:r>
      <w:r w:rsidRPr="004B6C57">
        <w:rPr>
          <w:noProof/>
        </w:rPr>
        <w:lastRenderedPageBreak/>
        <w:t>установка Group Policy Management — средства управления групповыми политиками, являющегося ключевым инструментом централизованного администрирования домена. Компоненты .NET Framework версий 3.5 и 4.6 уже присутствовали в системе, что подтверждается отметками о частичной установке данных фреймворков.</w:t>
      </w:r>
      <w:r>
        <w:rPr>
          <w:noProof/>
        </w:rPr>
        <w:t xml:space="preserve"> Окно выбора компонентов показано на рисунке 7.</w:t>
      </w:r>
    </w:p>
    <w:p w14:paraId="12698626" w14:textId="08C91C1B" w:rsidR="004B6C57" w:rsidRDefault="004B6C57" w:rsidP="0011013D">
      <w:pPr>
        <w:pStyle w:val="Standard"/>
        <w:spacing w:before="120" w:after="240" w:line="360" w:lineRule="auto"/>
        <w:jc w:val="center"/>
        <w:rPr>
          <w:noProof/>
        </w:rPr>
      </w:pPr>
      <w:r w:rsidRPr="008814AC">
        <w:rPr>
          <w:noProof/>
        </w:rPr>
        <w:drawing>
          <wp:inline distT="0" distB="0" distL="0" distR="0" wp14:anchorId="2647F451" wp14:editId="0E7A8B08">
            <wp:extent cx="5940425" cy="4262755"/>
            <wp:effectExtent l="0" t="0" r="3175" b="4445"/>
            <wp:docPr id="208133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31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0AE8" w14:textId="11BA513D" w:rsidR="004B6C57" w:rsidRDefault="004B6C57" w:rsidP="0011013D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t>Рисунок 7 – Окно выбора компонентов</w:t>
      </w:r>
    </w:p>
    <w:p w14:paraId="63055E3E" w14:textId="58575D28" w:rsidR="004B6C57" w:rsidRDefault="004B6C57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4B6C57">
        <w:rPr>
          <w:noProof/>
        </w:rPr>
        <w:t>Запущен мастер настройки доменных служб Active Directory. В разделе конфигурации развертывания выбрана операция «Добавить новый лес», предполагающая создание новой изолированной доменной структуры с нуля. В поле имени корневого домена указано practice.local — выбранное наименование доменного пространства для учебной инфраструктуры. Данная конфигурация определяет сервер как первый контроллер домена в новом лесу с полным набором функций каталога.</w:t>
      </w:r>
      <w:r>
        <w:rPr>
          <w:noProof/>
        </w:rPr>
        <w:t xml:space="preserve"> Конфигурация видна на рисунке 8.</w:t>
      </w:r>
    </w:p>
    <w:p w14:paraId="7FA2E462" w14:textId="27207AAA" w:rsidR="004B6C57" w:rsidRDefault="004B6C57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8814AC">
        <w:rPr>
          <w:noProof/>
          <w:lang w:val="en-US"/>
        </w:rPr>
        <w:lastRenderedPageBreak/>
        <w:drawing>
          <wp:inline distT="0" distB="0" distL="0" distR="0" wp14:anchorId="240E975D" wp14:editId="3174A19D">
            <wp:extent cx="5940425" cy="4410075"/>
            <wp:effectExtent l="0" t="0" r="3175" b="9525"/>
            <wp:docPr id="1550080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80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3C06" w14:textId="537D320E" w:rsidR="004B6C57" w:rsidRDefault="004B6C57" w:rsidP="004B6C57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t>Рисунок 8 – Конфигурация групповых политик</w:t>
      </w:r>
    </w:p>
    <w:p w14:paraId="4DABDD47" w14:textId="793368C4" w:rsidR="004B6C57" w:rsidRDefault="004B6C57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4B6C57">
        <w:rPr>
          <w:noProof/>
        </w:rPr>
        <w:t>После успешной установки ролей контроллера домена выполнена проверка сетевого статуса. В центре управления сетями отображается принадлежность к доменной сети practice.local. Тип доступа определен как «Без доступа к сети», что является штатной ситуацией для изолированной тестовой среды без подключения к внешним ресурсам. Сетевое подключение осуществляется через адаптер Ethernet, получивший статический адрес в рамках доменной конфигурации.</w:t>
      </w:r>
      <w:r>
        <w:rPr>
          <w:noProof/>
        </w:rPr>
        <w:t xml:space="preserve"> Настройки сети показаны на рисунке 9.</w:t>
      </w:r>
    </w:p>
    <w:p w14:paraId="4913065F" w14:textId="79E83F7A" w:rsidR="004B6C57" w:rsidRDefault="004B6C57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C33014">
        <w:rPr>
          <w:noProof/>
        </w:rPr>
        <w:lastRenderedPageBreak/>
        <w:drawing>
          <wp:inline distT="0" distB="0" distL="0" distR="0" wp14:anchorId="5DD82AC6" wp14:editId="323265CE">
            <wp:extent cx="5940425" cy="3001645"/>
            <wp:effectExtent l="0" t="0" r="3175" b="8255"/>
            <wp:docPr id="40203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34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B299" w14:textId="24CBD4F7" w:rsidR="004B6C57" w:rsidRDefault="004B6C57" w:rsidP="004B6C57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t>Рисунок 9 – Настройки доменной сети</w:t>
      </w:r>
    </w:p>
    <w:p w14:paraId="73C5EF05" w14:textId="0BCD4C24" w:rsidR="004B6C57" w:rsidRDefault="004B6C57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4B6C57">
        <w:rPr>
          <w:noProof/>
        </w:rPr>
        <w:t>На клиентском компьютере с именем DESKTOP-5D69MNK выполнено изменение параметров принадлежности к домену. Через диалоговое окно изменения имени компьютера указана необходимость вступления в домен practice.local вместо текущей рабочей группы WORKGROUP. После ввода учетных данных администратора домена система успешно прошла аутентификацию и была добавлена в доменную структуру.</w:t>
      </w:r>
      <w:r>
        <w:rPr>
          <w:noProof/>
        </w:rPr>
        <w:t xml:space="preserve"> На рисунке 10 видно уведомление о входе в домен.</w:t>
      </w:r>
    </w:p>
    <w:p w14:paraId="61D5384A" w14:textId="4BDD5F46" w:rsidR="004B6C57" w:rsidRDefault="004B6C57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431583">
        <w:rPr>
          <w:noProof/>
        </w:rPr>
        <w:drawing>
          <wp:inline distT="0" distB="0" distL="0" distR="0" wp14:anchorId="069CEBF5" wp14:editId="76C23965">
            <wp:extent cx="5940425" cy="3354705"/>
            <wp:effectExtent l="0" t="0" r="3175" b="0"/>
            <wp:docPr id="1135622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22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67A7" w14:textId="48F28D77" w:rsidR="004B6C57" w:rsidRDefault="004B6C57" w:rsidP="004B6C57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lastRenderedPageBreak/>
        <w:t>Рисунок 10 – Уведомление о входе в домен</w:t>
      </w:r>
    </w:p>
    <w:p w14:paraId="42706E4D" w14:textId="112B044A" w:rsidR="00D03A67" w:rsidRDefault="00D03A67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D03A67">
        <w:rPr>
          <w:noProof/>
        </w:rPr>
        <w:t>На серверной машине произведен вход в операционную систему под учетной записью доменного администратора. На экране блокировки отображается идентификатор PRACTICE\Administrator, указывающий на принадлежность учетной записи к домену practice.local. Ввод пароля выполнен успешно, что подтверждает корректность работы служб аутентификации контроллера домена и возможность авторизации привилегированных пользователей для выполнения административных задач.</w:t>
      </w:r>
      <w:r>
        <w:rPr>
          <w:noProof/>
        </w:rPr>
        <w:t xml:space="preserve"> Вход в учетную запись администратора домена показан на рисунке 11. </w:t>
      </w:r>
      <w:r w:rsidRPr="00D03A67">
        <w:rPr>
          <w:noProof/>
        </w:rPr>
        <w:t>Присутствие префикса домена PRACTICE перед именем пользователя свидетельствует о том, что система обращается к контроллеру домена для проверки учетных данных, а не использует локальную базу безопасности. Данная конфигурация является обязательным требованием для функционирования корпоративной инфраструктуры, где централизованное управление правами доступа обеспечивает безопасность и упрощает администрирование множества пользовательских учетных записей.</w:t>
      </w:r>
    </w:p>
    <w:p w14:paraId="5FDC27B7" w14:textId="18AB08FF" w:rsidR="00D03A67" w:rsidRDefault="00D03A67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C33014">
        <w:rPr>
          <w:noProof/>
        </w:rPr>
        <w:drawing>
          <wp:inline distT="0" distB="0" distL="0" distR="0" wp14:anchorId="7484D329" wp14:editId="10023F0D">
            <wp:extent cx="5940425" cy="4180205"/>
            <wp:effectExtent l="0" t="0" r="3175" b="0"/>
            <wp:docPr id="1390678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78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754E" w14:textId="3D1B4939" w:rsidR="00D03A67" w:rsidRDefault="00D03A67" w:rsidP="004B6C57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t>Рисунок 11 – Вход в учетную запись администратора домена</w:t>
      </w:r>
    </w:p>
    <w:p w14:paraId="7A9D3E57" w14:textId="6E939D04" w:rsidR="00D03A67" w:rsidRDefault="00D03A67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D03A67">
        <w:rPr>
          <w:noProof/>
        </w:rPr>
        <w:lastRenderedPageBreak/>
        <w:t xml:space="preserve">На клиентской рабочей станции в параметрах системы отображена информация о текущей пользовательской учетной записи. Пользователь </w:t>
      </w:r>
      <w:r w:rsidR="00DD46FB">
        <w:rPr>
          <w:noProof/>
        </w:rPr>
        <w:t>Петр Иванов</w:t>
      </w:r>
      <w:r w:rsidRPr="00D03A67">
        <w:rPr>
          <w:noProof/>
        </w:rPr>
        <w:t xml:space="preserve"> идентифицирован в домене как PRACTICE\John, что подтверждает успешное создание учетной записи в Active Directory и ее доступность для входа на присоединенных к домену компьютерах. Полное имя пользователя отображается кириллицей согласно настройкам локали домена, тогда как имя входа указано латинскими символами в соответствии с требованиями совместимости.</w:t>
      </w:r>
      <w:r>
        <w:rPr>
          <w:noProof/>
        </w:rPr>
        <w:t xml:space="preserve"> Информация о пользователе видна на рисунке 12. </w:t>
      </w:r>
      <w:r w:rsidRPr="00D03A67">
        <w:rPr>
          <w:noProof/>
        </w:rPr>
        <w:t>Интеграция клиентской станции в домен подтверждается корректным отображением доменного суффикса PRACTICE в идентификаторе пользователя. Это означает, что рабочая станция успешно взаимодействует с контроллером домена, получает актуальные групповые политики и обеспечивает централизованную аутентификацию всех доменных пользователей, имеющих соответствующие права на вход в данную систему.</w:t>
      </w:r>
    </w:p>
    <w:p w14:paraId="26303559" w14:textId="6BCAACF1" w:rsidR="00D03A67" w:rsidRDefault="00D03A67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431583">
        <w:rPr>
          <w:noProof/>
        </w:rPr>
        <w:drawing>
          <wp:inline distT="0" distB="0" distL="0" distR="0" wp14:anchorId="595991CF" wp14:editId="3510A2C1">
            <wp:extent cx="5940425" cy="4399280"/>
            <wp:effectExtent l="0" t="0" r="3175" b="1270"/>
            <wp:docPr id="173439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92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FBD0" w14:textId="528AFD8E" w:rsidR="00D03A67" w:rsidRDefault="00D03A67" w:rsidP="004B6C57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t>Рисунок 12 – Пользователь в домене</w:t>
      </w:r>
    </w:p>
    <w:p w14:paraId="02046D28" w14:textId="77777777" w:rsidR="00087198" w:rsidRDefault="00087198" w:rsidP="00087198">
      <w:pPr>
        <w:pStyle w:val="Standard"/>
        <w:spacing w:before="120" w:after="240" w:line="360" w:lineRule="auto"/>
        <w:jc w:val="center"/>
        <w:rPr>
          <w:noProof/>
        </w:rPr>
      </w:pPr>
      <w:r w:rsidRPr="00087198">
        <w:rPr>
          <w:noProof/>
        </w:rPr>
        <w:t>3. Внедрение ПО</w:t>
      </w:r>
    </w:p>
    <w:p w14:paraId="633968C8" w14:textId="6F59E0D9" w:rsidR="00087198" w:rsidRDefault="00087198" w:rsidP="00087198">
      <w:pPr>
        <w:pStyle w:val="Standard"/>
        <w:spacing w:before="120" w:after="240" w:line="360" w:lineRule="auto"/>
        <w:jc w:val="center"/>
        <w:rPr>
          <w:noProof/>
        </w:rPr>
      </w:pPr>
      <w:r w:rsidRPr="00087198">
        <w:rPr>
          <w:noProof/>
        </w:rPr>
        <w:t>3.1 Составление архитектуры ПО</w:t>
      </w:r>
    </w:p>
    <w:p w14:paraId="76034458" w14:textId="10DCCF2B" w:rsidR="00087198" w:rsidRPr="00087198" w:rsidRDefault="00087198" w:rsidP="00087198">
      <w:pPr>
        <w:pStyle w:val="Standard"/>
        <w:spacing w:before="120" w:after="240" w:line="360" w:lineRule="auto"/>
        <w:jc w:val="center"/>
        <w:rPr>
          <w:noProof/>
        </w:rPr>
      </w:pPr>
      <w:r w:rsidRPr="00087198">
        <w:rPr>
          <w:noProof/>
        </w:rPr>
        <w:lastRenderedPageBreak/>
        <w:t>Архитектура развертываемой информационной системы была спроектирована с учетом требований к безопасности, масштабируемости и управляемости корпоративной среды. В основе архитектурного решения лежит многоуровневая модель, где функции четко разделены между серверным и клиентским сегментами, взаимодействующими через защищенные сетевые протоколы.</w:t>
      </w:r>
    </w:p>
    <w:p w14:paraId="7661E7C4" w14:textId="77777777" w:rsidR="00087198" w:rsidRPr="00087198" w:rsidRDefault="00087198" w:rsidP="00087198">
      <w:pPr>
        <w:pStyle w:val="Standard"/>
        <w:spacing w:before="120" w:after="240" w:line="360" w:lineRule="auto"/>
        <w:jc w:val="center"/>
        <w:rPr>
          <w:noProof/>
        </w:rPr>
      </w:pPr>
      <w:r w:rsidRPr="00087198">
        <w:rPr>
          <w:noProof/>
        </w:rPr>
        <w:t>Центральным элементом архитектуры выступает серверный узел на базе операционной системы Windows Server 2016. Выбор данной платформы обусловлен её надежностью, поддержкой современных стандартов безопасности и совместимостью с широким спектром корпоративного программного обеспечения. Сервер выполняет роль контроллера домена, обеспечивая централизованное управление учетными записями, политиками безопасности и ресурсами сети.</w:t>
      </w:r>
    </w:p>
    <w:p w14:paraId="25053787" w14:textId="0319E2FC" w:rsidR="00087198" w:rsidRPr="00087198" w:rsidRDefault="00087198" w:rsidP="00087198">
      <w:pPr>
        <w:pStyle w:val="Standard"/>
        <w:spacing w:before="120" w:after="240" w:line="360" w:lineRule="auto"/>
        <w:jc w:val="center"/>
        <w:rPr>
          <w:noProof/>
        </w:rPr>
      </w:pPr>
      <w:r w:rsidRPr="00087198">
        <w:rPr>
          <w:noProof/>
        </w:rPr>
        <w:t xml:space="preserve">Доменная инфраструктура построена на службе каталогов Active Directory с именем корневого домена practice.local. Данная служба реализует функции аутентификации пользователей </w:t>
      </w:r>
      <w:r w:rsidR="00C02ADC">
        <w:rPr>
          <w:noProof/>
        </w:rPr>
        <w:t xml:space="preserve">с помощью </w:t>
      </w:r>
      <w:r w:rsidRPr="00087198">
        <w:rPr>
          <w:noProof/>
        </w:rPr>
        <w:t>авторизации доступа к ресурсам и репликации данных между контроллерами домена. Архитектура предусматривает создание единого пространства имен, в котором все объекты имеют уникальные идентификаторы и могут быть централизованно администрированы.</w:t>
      </w:r>
    </w:p>
    <w:p w14:paraId="542FEA1E" w14:textId="77777777" w:rsidR="00087198" w:rsidRPr="00087198" w:rsidRDefault="00087198" w:rsidP="00087198">
      <w:pPr>
        <w:pStyle w:val="Standard"/>
        <w:spacing w:before="120" w:after="240" w:line="360" w:lineRule="auto"/>
        <w:jc w:val="center"/>
        <w:rPr>
          <w:noProof/>
        </w:rPr>
      </w:pPr>
      <w:r w:rsidRPr="00087198">
        <w:rPr>
          <w:noProof/>
        </w:rPr>
        <w:t>Сетевая архитектура реализована по принципу сегментации трафика с использованием двух логических интерфейсов на сервере. Первый интерфейс работает в режиме NAT, обеспечивая выход во внешнюю сеть для загрузки обновлений и взаимодействия с внешними ресурсами. Второй интерфейс подключен к внутренней сети «intnet», которая объединяет сервер и клиентские рабочие станции в изолированный контур. Такое разделение повышает безопасность системы, скрывая внутреннюю структуру сети от внешних угроз и минимизируя поверхность атаки.</w:t>
      </w:r>
    </w:p>
    <w:p w14:paraId="4D3563F4" w14:textId="356145E5" w:rsidR="00087198" w:rsidRPr="00087198" w:rsidRDefault="00087198" w:rsidP="00087198">
      <w:pPr>
        <w:pStyle w:val="Standard"/>
        <w:spacing w:before="120" w:after="240" w:line="360" w:lineRule="auto"/>
        <w:jc w:val="center"/>
        <w:rPr>
          <w:noProof/>
        </w:rPr>
      </w:pPr>
      <w:r w:rsidRPr="00087198">
        <w:rPr>
          <w:noProof/>
        </w:rPr>
        <w:t xml:space="preserve">Клиентский сегмент архитектуры состоит из рабочих станций, присоединенных к домену. Взаимодействие клиентов с сервером строится на принципе доверия: после ввода учетных данных запрос на аутентификацию передается контроллеру домена, который проверяет подлинность пользователя и возвращает маркер доступа. </w:t>
      </w:r>
    </w:p>
    <w:p w14:paraId="1448666E" w14:textId="36E39C70" w:rsidR="00087198" w:rsidRPr="00087198" w:rsidRDefault="00087198" w:rsidP="00087198">
      <w:pPr>
        <w:pStyle w:val="Standard"/>
        <w:spacing w:before="120" w:after="240" w:line="360" w:lineRule="auto"/>
        <w:jc w:val="center"/>
        <w:rPr>
          <w:noProof/>
        </w:rPr>
      </w:pPr>
      <w:r w:rsidRPr="00087198">
        <w:rPr>
          <w:noProof/>
        </w:rPr>
        <w:t>Уровень безопасности архитектуры обеспечивается встроенным брандмауэром Windows, настроенным на фильтрацию входящего и исходящего трафика. Для разных типов сетей</w:t>
      </w:r>
      <w:r w:rsidR="00C02ADC">
        <w:rPr>
          <w:noProof/>
        </w:rPr>
        <w:t xml:space="preserve"> </w:t>
      </w:r>
      <w:r w:rsidRPr="00087198">
        <w:rPr>
          <w:noProof/>
        </w:rPr>
        <w:t xml:space="preserve">применены соответствующие профили защиты, блокирующие несанкционированные </w:t>
      </w:r>
      <w:r w:rsidRPr="00087198">
        <w:rPr>
          <w:noProof/>
        </w:rPr>
        <w:lastRenderedPageBreak/>
        <w:t>подключения. Групповые политики используются для централизованного применения настроек безопасности, ограничений пользовательской среды и конфигурирования системных параметров на всех узлах домена.</w:t>
      </w:r>
    </w:p>
    <w:p w14:paraId="388E34D2" w14:textId="77777777" w:rsidR="00087198" w:rsidRPr="00087198" w:rsidRDefault="00087198" w:rsidP="00087198">
      <w:pPr>
        <w:pStyle w:val="Standard"/>
        <w:spacing w:before="120" w:after="240" w:line="360" w:lineRule="auto"/>
        <w:jc w:val="center"/>
        <w:rPr>
          <w:noProof/>
        </w:rPr>
      </w:pPr>
      <w:r w:rsidRPr="00087198">
        <w:rPr>
          <w:noProof/>
        </w:rPr>
        <w:t>Архитектура предусматривает возможность дальнейшего расширения функционала за счет установки дополнительных ролей и служб на сервер без нарушения работоспособности текущей инфраструктуры. Модульность подхода позволяет внедрять новые программные компоненты поэтапно, тестируя их совместимость на каждом этапе. Резервирование критических данных и конфигураций заложено в основу архитектуры как обязательное требование к отказоустойчивости системы.</w:t>
      </w:r>
    </w:p>
    <w:p w14:paraId="7666E410" w14:textId="77777777" w:rsidR="00B139E2" w:rsidRDefault="00B139E2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B139E2">
        <w:rPr>
          <w:noProof/>
        </w:rPr>
        <w:t>3.2 Создание плана управления конфигурацией ПО</w:t>
      </w:r>
    </w:p>
    <w:p w14:paraId="18B22A44" w14:textId="77777777" w:rsidR="00B139E2" w:rsidRDefault="00B139E2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B139E2">
        <w:rPr>
          <w:noProof/>
        </w:rPr>
        <w:t>План управления конфигурацией программного обеспечения разработан для обеспечения контроля над состоянием информационной системы на всех этапах её жизненного цикла. Документ регламентирует процессы идентификации, учета, изменения и аудита конфигурационных единиц, что позволяет поддерживать стабильность работы инфраструктуры и служит непосредственным руководством к действию при внедрении программных комплексов. На основе данного плана был сформирован пошаговый алгоритм развертывания, который лег в основу всех последующих работ по установке и настройке системного и прикладного программного обеспечения на эмулированном сервере.</w:t>
      </w:r>
    </w:p>
    <w:p w14:paraId="1B5B01CC" w14:textId="54612CDE" w:rsidR="00B139E2" w:rsidRDefault="00B139E2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B139E2">
        <w:rPr>
          <w:noProof/>
        </w:rPr>
        <w:t>План устанавливает строгую последовательность действий при развертывании нового программного обеспечения, исключающую хаотичную установку компонентов. Согласно утвержденному регламенту, процесс внедрения был разделен на логические этапы: подготовка операционной среды, установка системных зависимостей, развертывание серверных платформ, конфигурирование служб и финальное тестирование интеграции. Каждый этап выполнялся только после успешного завершения предыдущего и фиксации результата в журнале развертывания. Такой подход позволил локализовать возможные ошибки и обеспечить возможность отката к стабильному состоянию системы на любом шаге.</w:t>
      </w:r>
    </w:p>
    <w:p w14:paraId="3C53172E" w14:textId="785D18AA" w:rsidR="00B139E2" w:rsidRDefault="00B139E2" w:rsidP="00B139E2">
      <w:pPr>
        <w:pStyle w:val="Standard"/>
        <w:spacing w:before="120" w:after="240" w:line="360" w:lineRule="auto"/>
        <w:jc w:val="center"/>
        <w:rPr>
          <w:noProof/>
        </w:rPr>
      </w:pPr>
      <w:r w:rsidRPr="00B139E2">
        <w:rPr>
          <w:noProof/>
        </w:rPr>
        <w:t xml:space="preserve">Непосредственная реализация плана началась с подготовки серверной платформы. После установки ОС Windows Server 2016 и настройки базовых сетевых параметров была выполнена установка обязательных системных библиотек, необходимых для работы </w:t>
      </w:r>
      <w:r w:rsidRPr="00B139E2">
        <w:rPr>
          <w:noProof/>
        </w:rPr>
        <w:lastRenderedPageBreak/>
        <w:t>широкого класса корпоративных приложений. В частности, был успешно развернут пакет Microsoft Visual C++ 2015 Redistributable версии 14.0.24215, отсутствие которого сделало бы невозможным запуск многих современных серверных служб. Установка зависимостей стала фундаментом для размещения более сложных программных комплексов.</w:t>
      </w:r>
      <w:r>
        <w:rPr>
          <w:noProof/>
        </w:rPr>
        <w:t xml:space="preserve"> Установленный компонент показан на рисунке 13.</w:t>
      </w:r>
    </w:p>
    <w:p w14:paraId="52367902" w14:textId="66DE0FE1" w:rsidR="00B139E2" w:rsidRDefault="00B139E2" w:rsidP="00B139E2">
      <w:pPr>
        <w:pStyle w:val="Standard"/>
        <w:spacing w:before="120" w:after="240" w:line="360" w:lineRule="auto"/>
        <w:jc w:val="center"/>
        <w:rPr>
          <w:noProof/>
        </w:rPr>
      </w:pPr>
      <w:r w:rsidRPr="002F5AC3">
        <w:rPr>
          <w:noProof/>
        </w:rPr>
        <w:drawing>
          <wp:inline distT="0" distB="0" distL="0" distR="0" wp14:anchorId="701426E4" wp14:editId="5024F835">
            <wp:extent cx="4620270" cy="2857899"/>
            <wp:effectExtent l="0" t="0" r="8890" b="0"/>
            <wp:docPr id="393927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27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A6C9" w14:textId="54AB574B" w:rsidR="00B139E2" w:rsidRDefault="00B139E2" w:rsidP="00B139E2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t xml:space="preserve">Рисунок 13 – Установленный пакет </w:t>
      </w:r>
      <w:r>
        <w:rPr>
          <w:noProof/>
          <w:lang w:val="en-US"/>
        </w:rPr>
        <w:t>C</w:t>
      </w:r>
      <w:r w:rsidRPr="001C117C">
        <w:rPr>
          <w:noProof/>
        </w:rPr>
        <w:t>++</w:t>
      </w:r>
    </w:p>
    <w:p w14:paraId="53BBBEA8" w14:textId="751B02F1" w:rsidR="00B139E2" w:rsidRDefault="00B139E2" w:rsidP="00B139E2">
      <w:pPr>
        <w:pStyle w:val="Standard"/>
        <w:spacing w:before="120" w:after="240" w:line="360" w:lineRule="auto"/>
        <w:jc w:val="center"/>
        <w:rPr>
          <w:noProof/>
        </w:rPr>
      </w:pPr>
      <w:r w:rsidRPr="00B139E2">
        <w:rPr>
          <w:noProof/>
        </w:rPr>
        <w:t>Следующим критически важным этапом, предусмотренным планом, стало развертывание сервера баз данных и приложений 1С:Предприятие. Выбор компонентов производился в строгом соответствии с архитектурными требованиями: были активированы только серверные модули, в то время как клиентские части были исключены из установки на данном узле.</w:t>
      </w:r>
      <w:r>
        <w:rPr>
          <w:noProof/>
        </w:rPr>
        <w:t xml:space="preserve"> Выбранные компоненты видны на рисунке 14.</w:t>
      </w:r>
    </w:p>
    <w:p w14:paraId="279911E1" w14:textId="77777777" w:rsidR="00B139E2" w:rsidRPr="00B139E2" w:rsidRDefault="00B139E2" w:rsidP="00B139E2">
      <w:pPr>
        <w:pStyle w:val="Standard"/>
        <w:spacing w:before="120" w:after="240" w:line="360" w:lineRule="auto"/>
        <w:jc w:val="center"/>
        <w:rPr>
          <w:noProof/>
        </w:rPr>
      </w:pPr>
    </w:p>
    <w:p w14:paraId="632E66AD" w14:textId="60B19BC8" w:rsidR="00DD46FB" w:rsidRDefault="00DD46FB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F06992">
        <w:rPr>
          <w:noProof/>
          <w:lang w:val="en-US"/>
        </w:rPr>
        <w:lastRenderedPageBreak/>
        <w:drawing>
          <wp:inline distT="0" distB="0" distL="0" distR="0" wp14:anchorId="4678C43B" wp14:editId="220CE7BF">
            <wp:extent cx="4782217" cy="3639058"/>
            <wp:effectExtent l="0" t="0" r="0" b="0"/>
            <wp:docPr id="181065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536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A7B6" w14:textId="413DEA01" w:rsidR="00DD46FB" w:rsidRDefault="00DD46FB" w:rsidP="004B6C57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t>Рисунок 1</w:t>
      </w:r>
      <w:r w:rsidR="00B139E2">
        <w:rPr>
          <w:noProof/>
        </w:rPr>
        <w:t>4</w:t>
      </w:r>
      <w:r>
        <w:rPr>
          <w:noProof/>
        </w:rPr>
        <w:t xml:space="preserve"> – Окно выбора компонентов</w:t>
      </w:r>
    </w:p>
    <w:p w14:paraId="32FEF1B8" w14:textId="07C0D7B5" w:rsidR="00B139E2" w:rsidRDefault="00B139E2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B139E2">
        <w:rPr>
          <w:noProof/>
        </w:rPr>
        <w:t>Путь инсталляции был стандартизирован (C:\Program Files (x86)\1cv8\8.5.1.1150), а служба настроена на запуск от имени выделенной учетной записи USR1CV8 для повышения уровня безопасности. Данная процедура продемонстрировала применимость плана управления конфигурацией на практике, обеспечив корректную интеграцию сложного прикладного ПО в доменную среду.</w:t>
      </w:r>
      <w:r>
        <w:rPr>
          <w:noProof/>
        </w:rPr>
        <w:t xml:space="preserve"> Выбор учетной записи был показан на рисунке 15.</w:t>
      </w:r>
    </w:p>
    <w:p w14:paraId="37733319" w14:textId="597C25C4" w:rsidR="00B139E2" w:rsidRDefault="00B139E2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F06992">
        <w:rPr>
          <w:noProof/>
          <w:lang w:val="en-US"/>
        </w:rPr>
        <w:lastRenderedPageBreak/>
        <w:drawing>
          <wp:inline distT="0" distB="0" distL="0" distR="0" wp14:anchorId="0AC1A853" wp14:editId="42631CA5">
            <wp:extent cx="4963218" cy="3820058"/>
            <wp:effectExtent l="0" t="0" r="8890" b="9525"/>
            <wp:docPr id="387487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878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CE14" w14:textId="1396976F" w:rsidR="00B139E2" w:rsidRDefault="00B139E2" w:rsidP="004B6C57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t>Рисунок 15 – Выбор учетной записи</w:t>
      </w:r>
    </w:p>
    <w:p w14:paraId="0CCC6FD3" w14:textId="464573BB" w:rsidR="00B139E2" w:rsidRDefault="00B139E2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B139E2">
        <w:rPr>
          <w:noProof/>
        </w:rPr>
        <w:t>Для обеспечения корректной работы серверных служб была выполнена проверка и настройка системных сервисов Windows. В частности, через консоль управления службами подтверждено состояние сервиса «Вторичный вход в систему», который находится в состоянии «Выполняется» с типом запуска «Вручную». Данная служба критически важна для работы сервера 1С, поскольку позволяет запускать процессы от имени других пользователей — в частности, от имени созданной учетной записи USR1CV8. Без активного вторичного входа система не сможет инициировать серверные сессии в контексте безопасности выделенного пользователя.</w:t>
      </w:r>
      <w:r>
        <w:rPr>
          <w:noProof/>
        </w:rPr>
        <w:t xml:space="preserve"> Включенная служба показана на рисунке 16.</w:t>
      </w:r>
    </w:p>
    <w:p w14:paraId="1E947FC6" w14:textId="41F68B52" w:rsidR="00B139E2" w:rsidRDefault="00B139E2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F06992">
        <w:rPr>
          <w:noProof/>
        </w:rPr>
        <w:lastRenderedPageBreak/>
        <w:drawing>
          <wp:inline distT="0" distB="0" distL="0" distR="0" wp14:anchorId="2A4BB211" wp14:editId="55AFC1C3">
            <wp:extent cx="5940425" cy="4330065"/>
            <wp:effectExtent l="0" t="0" r="3175" b="0"/>
            <wp:docPr id="18573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2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0FBC" w14:textId="664D9917" w:rsidR="00B139E2" w:rsidRDefault="00B139E2" w:rsidP="004B6C57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t>Рисунок 16 – Включенная служба</w:t>
      </w:r>
    </w:p>
    <w:p w14:paraId="3ADAA52F" w14:textId="7FEAFBF5" w:rsidR="001C117C" w:rsidRDefault="001C117C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1C117C">
        <w:rPr>
          <w:noProof/>
        </w:rPr>
        <w:t>Завершающим этапом настройки стала регистрация служебных модулей через утилиту RegSvr32. Было выполнено успешное выполнение DllRegisterServer и DllInstall для модуля radmin.dll, что обеспечило корректную интеграцию компонента удаленного администрирования в системный реестр. Этот шаг позволил получить возможность дистанционного управления сервером 1С через оснастку MMC, что является необходимым условием для последующего конфигурирования кластера серверов и мониторинга его состояния в рамках плана управления конфигурацией.</w:t>
      </w:r>
      <w:r>
        <w:rPr>
          <w:noProof/>
        </w:rPr>
        <w:t xml:space="preserve"> Результат виден на рисунке 17.</w:t>
      </w:r>
    </w:p>
    <w:p w14:paraId="1E881AB2" w14:textId="6674DE93" w:rsidR="001C117C" w:rsidRDefault="001C117C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2F5AC3">
        <w:rPr>
          <w:noProof/>
        </w:rPr>
        <w:lastRenderedPageBreak/>
        <w:drawing>
          <wp:inline distT="0" distB="0" distL="0" distR="0" wp14:anchorId="2C8BAB49" wp14:editId="770C2A38">
            <wp:extent cx="5940425" cy="3213100"/>
            <wp:effectExtent l="0" t="0" r="3175" b="6350"/>
            <wp:docPr id="183096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655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A9BD" w14:textId="635A4450" w:rsidR="001C117C" w:rsidRDefault="001C117C" w:rsidP="004B6C57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t>Рисунок 17 – Запуск сервера 1С</w:t>
      </w:r>
    </w:p>
    <w:p w14:paraId="3E25B88C" w14:textId="10938C61" w:rsidR="001C117C" w:rsidRDefault="001C117C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1C117C">
        <w:rPr>
          <w:noProof/>
        </w:rPr>
        <w:t>После успешного развертывания платформы 1С:Предприятие в соответствии с планом управления конфигурацией было выполнено внедрение системы управления базами данных PostgreSQL. Выбор данной СУБД обусловлен её надежностью, открытым исходным кодом и полной совместимостью с сервером 1С:Предприятие для хранения информационных баз. Установка PostgreSQL прошла успешно, о чем свидетельствует сообщение мастера установки "Installation complete!". Система была готова к дальнейшей настройке и созданию баз данных для нужд предприятия.</w:t>
      </w:r>
      <w:r>
        <w:rPr>
          <w:noProof/>
        </w:rPr>
        <w:t xml:space="preserve"> Окно окончания установки продемонстрировано на рисунке 18.</w:t>
      </w:r>
    </w:p>
    <w:p w14:paraId="7B6ADE06" w14:textId="4DD4850A" w:rsidR="001C117C" w:rsidRDefault="001C117C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2F5AC3">
        <w:rPr>
          <w:noProof/>
        </w:rPr>
        <w:lastRenderedPageBreak/>
        <w:drawing>
          <wp:inline distT="0" distB="0" distL="0" distR="0" wp14:anchorId="6D00AA05" wp14:editId="4D877668">
            <wp:extent cx="4725059" cy="3639058"/>
            <wp:effectExtent l="0" t="0" r="0" b="0"/>
            <wp:docPr id="1599050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50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C46F" w14:textId="6CDA7B92" w:rsidR="001C117C" w:rsidRDefault="001C117C" w:rsidP="004B6C57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t>Рисунок 18 – Окно окончания установки</w:t>
      </w:r>
    </w:p>
    <w:p w14:paraId="52C8FB24" w14:textId="58617F65" w:rsidR="001C117C" w:rsidRDefault="001C117C" w:rsidP="001C117C">
      <w:pPr>
        <w:pStyle w:val="Standard"/>
        <w:spacing w:before="120" w:after="240" w:line="360" w:lineRule="auto"/>
        <w:jc w:val="center"/>
        <w:rPr>
          <w:noProof/>
        </w:rPr>
      </w:pPr>
      <w:r w:rsidRPr="001C117C">
        <w:rPr>
          <w:noProof/>
        </w:rPr>
        <w:t>Для администрирования созданных баз данных и управления подключениями к различным источникам данных был установлен универсальный менеджер баз данных DBeaver Community версии 26.0.0. При выборе компонентов установки были активированы ключевые функции: включение Java-среды выполнения, ассоциация SQL-файлов для удобной работы с скриптами</w:t>
      </w:r>
      <w:r>
        <w:rPr>
          <w:noProof/>
        </w:rPr>
        <w:t xml:space="preserve"> </w:t>
      </w:r>
      <w:r w:rsidRPr="001C117C">
        <w:rPr>
          <w:noProof/>
        </w:rPr>
        <w:t xml:space="preserve">и добавление исключения в антивирус Microsoft Defender для предотвращения ложных срабатываний при работе с базами данных. </w:t>
      </w:r>
      <w:r>
        <w:rPr>
          <w:noProof/>
        </w:rPr>
        <w:t>Окно выбора компонентов показано на рисунке 19.</w:t>
      </w:r>
    </w:p>
    <w:p w14:paraId="60B1B9B4" w14:textId="1D2E0B14" w:rsidR="001C117C" w:rsidRDefault="001C117C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2F5AC3">
        <w:rPr>
          <w:noProof/>
        </w:rPr>
        <w:lastRenderedPageBreak/>
        <w:drawing>
          <wp:inline distT="0" distB="0" distL="0" distR="0" wp14:anchorId="0A6BCC32" wp14:editId="64854A0B">
            <wp:extent cx="4858428" cy="3667637"/>
            <wp:effectExtent l="0" t="0" r="0" b="9525"/>
            <wp:docPr id="192804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427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3DFA" w14:textId="7EFB11BC" w:rsidR="001C117C" w:rsidRDefault="001C117C" w:rsidP="004B6C57">
      <w:pPr>
        <w:pStyle w:val="Standard"/>
        <w:spacing w:before="120" w:after="240" w:line="360" w:lineRule="auto"/>
        <w:jc w:val="center"/>
        <w:rPr>
          <w:noProof/>
        </w:rPr>
      </w:pPr>
      <w:r>
        <w:rPr>
          <w:noProof/>
        </w:rPr>
        <w:t>Рисунок 19 – Окно выбора компонентов</w:t>
      </w:r>
    </w:p>
    <w:p w14:paraId="69725E29" w14:textId="2F23117D" w:rsidR="001C117C" w:rsidRDefault="001C117C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1C117C">
        <w:rPr>
          <w:noProof/>
        </w:rPr>
        <w:t>Финальным этапом внедрения согласно плану стала проверка работоспособности кластера серверов 1С:Предприятие через консоль управления. В оснастке MMC отображена структура локального кластера на сервере ServerBVM: разделы "Информационные базы", "Рабочие серверы", "Администраторы", "Менеджеры кластера", "Рабочие процессы", "Сеансы" и другие элементы управления. На момент проверки количество информационных баз равно нулю, что соответствует начальному состоянию системы перед созданием первых баз данных. Консоль подтверждает успешную регистрацию сервера 1С в системе и готовность к созданию и настройке информационных баз для последующей работы предприятия.</w:t>
      </w:r>
      <w:r>
        <w:rPr>
          <w:noProof/>
        </w:rPr>
        <w:t xml:space="preserve"> Оснастка ММС показана на рисунке 20.</w:t>
      </w:r>
    </w:p>
    <w:p w14:paraId="3772E913" w14:textId="67464A3E" w:rsidR="001C117C" w:rsidRDefault="001C117C" w:rsidP="004B6C57">
      <w:pPr>
        <w:pStyle w:val="Standard"/>
        <w:spacing w:before="120" w:after="240" w:line="360" w:lineRule="auto"/>
        <w:jc w:val="center"/>
        <w:rPr>
          <w:noProof/>
        </w:rPr>
      </w:pPr>
      <w:r w:rsidRPr="002F5AC3">
        <w:rPr>
          <w:noProof/>
        </w:rPr>
        <w:lastRenderedPageBreak/>
        <w:drawing>
          <wp:inline distT="0" distB="0" distL="0" distR="0" wp14:anchorId="0E9B2503" wp14:editId="517F876B">
            <wp:extent cx="5940425" cy="2815590"/>
            <wp:effectExtent l="0" t="0" r="3175" b="3810"/>
            <wp:docPr id="1689695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950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551E" w14:textId="447282AA" w:rsidR="001C117C" w:rsidRPr="001C117C" w:rsidRDefault="001C117C" w:rsidP="004B6C57">
      <w:pPr>
        <w:pStyle w:val="Standard"/>
        <w:spacing w:before="120" w:after="240" w:line="360" w:lineRule="auto"/>
        <w:jc w:val="center"/>
        <w:rPr>
          <w:noProof/>
          <w:lang w:val="en-US"/>
        </w:rPr>
      </w:pPr>
      <w:r>
        <w:rPr>
          <w:noProof/>
        </w:rPr>
        <w:t>Рисунок 20 – Оснастка 1С серверов</w:t>
      </w:r>
    </w:p>
    <w:p w14:paraId="38527240" w14:textId="77777777" w:rsidR="00D03A67" w:rsidRPr="0011013D" w:rsidRDefault="00D03A67" w:rsidP="004B6C57">
      <w:pPr>
        <w:pStyle w:val="Standard"/>
        <w:spacing w:before="120" w:after="240" w:line="360" w:lineRule="auto"/>
        <w:jc w:val="center"/>
        <w:rPr>
          <w:noProof/>
        </w:rPr>
      </w:pPr>
    </w:p>
    <w:sectPr w:rsidR="00D03A67" w:rsidRPr="0011013D" w:rsidSect="00A33D21">
      <w:footerReference w:type="default" r:id="rId27"/>
      <w:pgSz w:w="11906" w:h="16838"/>
      <w:pgMar w:top="1134" w:right="850" w:bottom="1191" w:left="1701" w:header="720" w:footer="113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49658" w14:textId="77777777" w:rsidR="00A92868" w:rsidRDefault="00A92868">
      <w:r>
        <w:separator/>
      </w:r>
    </w:p>
  </w:endnote>
  <w:endnote w:type="continuationSeparator" w:id="0">
    <w:p w14:paraId="01BB2434" w14:textId="77777777" w:rsidR="00A92868" w:rsidRDefault="00A92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74680" w14:textId="77777777" w:rsidR="00FA45D5" w:rsidRPr="0082210E" w:rsidRDefault="00210805" w:rsidP="0082210E">
    <w:pPr>
      <w:pStyle w:val="a5"/>
      <w:jc w:val="right"/>
      <w:rPr>
        <w:rFonts w:ascii="Times New Roman" w:hAnsi="Times New Roman" w:cs="Times New Roman"/>
      </w:rPr>
    </w:pPr>
    <w:r w:rsidRPr="0082210E">
      <w:rPr>
        <w:rFonts w:ascii="Times New Roman" w:hAnsi="Times New Roman" w:cs="Times New Roman"/>
      </w:rPr>
      <w:fldChar w:fldCharType="begin"/>
    </w:r>
    <w:r w:rsidRPr="0082210E">
      <w:rPr>
        <w:rFonts w:ascii="Times New Roman" w:hAnsi="Times New Roman" w:cs="Times New Roman"/>
      </w:rPr>
      <w:instrText xml:space="preserve"> PAGE </w:instrText>
    </w:r>
    <w:r w:rsidRPr="0082210E">
      <w:rPr>
        <w:rFonts w:ascii="Times New Roman" w:hAnsi="Times New Roman" w:cs="Times New Roman"/>
      </w:rPr>
      <w:fldChar w:fldCharType="separate"/>
    </w:r>
    <w:r w:rsidR="00F8182B" w:rsidRPr="0082210E">
      <w:rPr>
        <w:rFonts w:ascii="Times New Roman" w:hAnsi="Times New Roman" w:cs="Times New Roman"/>
        <w:noProof/>
      </w:rPr>
      <w:t>6</w:t>
    </w:r>
    <w:r w:rsidRPr="0082210E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C8090" w14:textId="77777777" w:rsidR="00A92868" w:rsidRDefault="00A92868">
      <w:r>
        <w:rPr>
          <w:color w:val="000000"/>
        </w:rPr>
        <w:separator/>
      </w:r>
    </w:p>
  </w:footnote>
  <w:footnote w:type="continuationSeparator" w:id="0">
    <w:p w14:paraId="2385CDFF" w14:textId="77777777" w:rsidR="00A92868" w:rsidRDefault="00A928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171C2"/>
    <w:multiLevelType w:val="hybridMultilevel"/>
    <w:tmpl w:val="05CA7B96"/>
    <w:lvl w:ilvl="0" w:tplc="1AFA28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20A5CE1"/>
    <w:multiLevelType w:val="multilevel"/>
    <w:tmpl w:val="DA9C2AD4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144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18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21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25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288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324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3600" w:hanging="360"/>
      </w:pPr>
      <w:rPr>
        <w:sz w:val="24"/>
        <w:szCs w:val="24"/>
      </w:rPr>
    </w:lvl>
  </w:abstractNum>
  <w:abstractNum w:abstractNumId="2" w15:restartNumberingAfterBreak="0">
    <w:nsid w:val="6B1A08DE"/>
    <w:multiLevelType w:val="multilevel"/>
    <w:tmpl w:val="CD8A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87300">
    <w:abstractNumId w:val="1"/>
  </w:num>
  <w:num w:numId="2" w16cid:durableId="1295717257">
    <w:abstractNumId w:val="2"/>
  </w:num>
  <w:num w:numId="3" w16cid:durableId="905989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6EB"/>
    <w:rsid w:val="00087198"/>
    <w:rsid w:val="000D4CD7"/>
    <w:rsid w:val="0011013D"/>
    <w:rsid w:val="001C117C"/>
    <w:rsid w:val="001C5488"/>
    <w:rsid w:val="00210805"/>
    <w:rsid w:val="00281B35"/>
    <w:rsid w:val="0036411F"/>
    <w:rsid w:val="003B0881"/>
    <w:rsid w:val="00451784"/>
    <w:rsid w:val="004B6C57"/>
    <w:rsid w:val="004E4E31"/>
    <w:rsid w:val="005507C3"/>
    <w:rsid w:val="0065583E"/>
    <w:rsid w:val="00677CE3"/>
    <w:rsid w:val="0082210E"/>
    <w:rsid w:val="00903D63"/>
    <w:rsid w:val="009C714A"/>
    <w:rsid w:val="00A33D21"/>
    <w:rsid w:val="00A92868"/>
    <w:rsid w:val="00AE1A9E"/>
    <w:rsid w:val="00B00914"/>
    <w:rsid w:val="00B125D1"/>
    <w:rsid w:val="00B139E2"/>
    <w:rsid w:val="00BB7C5C"/>
    <w:rsid w:val="00C02ADC"/>
    <w:rsid w:val="00CB777B"/>
    <w:rsid w:val="00D03A67"/>
    <w:rsid w:val="00D576EB"/>
    <w:rsid w:val="00DD000D"/>
    <w:rsid w:val="00DD46FB"/>
    <w:rsid w:val="00E5739E"/>
    <w:rsid w:val="00F408FC"/>
    <w:rsid w:val="00F8182B"/>
    <w:rsid w:val="00FA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3FF30"/>
  <w15:docId w15:val="{6ACB788D-5EFE-48D2-A2B2-50BAD109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Tahoma" w:hAnsi="Liberation Serif" w:cs="Droid Sans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914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677"/>
        <w:tab w:val="right" w:pos="9355"/>
      </w:tabs>
    </w:pPr>
  </w:style>
  <w:style w:type="paragraph" w:styleId="a5">
    <w:name w:val="footer"/>
    <w:basedOn w:val="HeaderandFooter"/>
  </w:style>
  <w:style w:type="character" w:customStyle="1" w:styleId="StrongEmphasis">
    <w:name w:val="Strong Emphasis"/>
    <w:rPr>
      <w:b/>
      <w:bCs/>
    </w:rPr>
  </w:style>
  <w:style w:type="character" w:customStyle="1" w:styleId="NumberingSymbols">
    <w:name w:val="Numbering Symbols"/>
    <w:rPr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A33D21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Верхний колонтитул Знак"/>
    <w:basedOn w:val="a0"/>
    <w:link w:val="a6"/>
    <w:uiPriority w:val="99"/>
    <w:rsid w:val="00A33D21"/>
    <w:rPr>
      <w:rFonts w:cs="Mangal"/>
      <w:szCs w:val="21"/>
    </w:rPr>
  </w:style>
  <w:style w:type="character" w:customStyle="1" w:styleId="20">
    <w:name w:val="Заголовок 2 Знак"/>
    <w:basedOn w:val="a0"/>
    <w:link w:val="2"/>
    <w:uiPriority w:val="9"/>
    <w:semiHidden/>
    <w:rsid w:val="00B00914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30</Pages>
  <Words>6077</Words>
  <Characters>34643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Владислав Белокрылов</cp:lastModifiedBy>
  <cp:revision>10</cp:revision>
  <dcterms:created xsi:type="dcterms:W3CDTF">2026-03-26T10:08:00Z</dcterms:created>
  <dcterms:modified xsi:type="dcterms:W3CDTF">2026-03-28T13:46:00Z</dcterms:modified>
</cp:coreProperties>
</file>