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5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ГОСУДАРСТВЕННОЕ БЮДЖЕТНОЕ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ОБРАЗОВАТЕЛЬНОЕ УЧРЕЖДЕНИЕ РЕСПУБЛИКИ ХАКАСИЯ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iCs/>
          <w:smallCaps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ПМ.02. </w:t>
      </w:r>
      <w:r>
        <w:rPr>
          <w:rFonts w:eastAsia="Times New Roman" w:cs="Times New Roman" w:ascii="Times New Roman" w:hAnsi="Times New Roman"/>
          <w:b/>
          <w:bCs/>
          <w:smallCaps/>
          <w:sz w:val="20"/>
          <w:szCs w:val="20"/>
        </w:rPr>
        <w:t>ОСУЩЕСТВЛЕНИЕ ИНТЕГРАЦИИ ПРОГРАММНЫХ МОДУЛЕЙ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</w:rPr>
        <w:t xml:space="preserve">09.02.07 Информационные системы и программирование </w:t>
        <w:br/>
        <w:t>Квалификация Администратор баз данных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W w:w="9606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681"/>
        <w:gridCol w:w="567"/>
        <w:gridCol w:w="1692"/>
        <w:gridCol w:w="436"/>
        <w:gridCol w:w="3543"/>
      </w:tblGrid>
      <w:tr>
        <w:trPr/>
        <w:tc>
          <w:tcPr>
            <w:tcW w:w="168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</w:t>
            </w:r>
          </w:p>
        </w:tc>
        <w:tc>
          <w:tcPr>
            <w:tcW w:w="168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ИС(АБД)-31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6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shd w:fill="auto" w:val="clear"/>
              </w:rPr>
              <w:t>Белокрылов В. М.</w:t>
            </w:r>
          </w:p>
        </w:tc>
      </w:tr>
      <w:tr>
        <w:trPr/>
        <w:tc>
          <w:tcPr>
            <w:tcW w:w="168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81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2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W w:w="9889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235"/>
        <w:gridCol w:w="237"/>
        <w:gridCol w:w="1541"/>
        <w:gridCol w:w="287"/>
        <w:gridCol w:w="1379"/>
        <w:gridCol w:w="238"/>
        <w:gridCol w:w="2879"/>
      </w:tblGrid>
      <w:tr>
        <w:trPr/>
        <w:tc>
          <w:tcPr>
            <w:tcW w:w="2091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bookmarkStart w:id="0" w:name="_heading=h.gjdgxs"/>
            <w:bookmarkEnd w:id="0"/>
            <w:r>
              <w:rPr>
                <w:rFonts w:eastAsia="Times New Roman" w:cs="Times New Roman" w:ascii="Times New Roman" w:hAnsi="Times New Roman"/>
              </w:rPr>
              <w:t>Руководитель практики</w:t>
            </w:r>
          </w:p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7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8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</w:rPr>
              <w:t>Заливаха А.В./ Иванова А.Р.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8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Фамилия И.О.</w:t>
            </w:r>
          </w:p>
        </w:tc>
      </w:tr>
      <w:tr>
        <w:trPr/>
        <w:tc>
          <w:tcPr>
            <w:tcW w:w="2091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bookmarkStart w:id="1" w:name="_heading=h.gjdgxs_Копия_2"/>
            <w:bookmarkEnd w:id="1"/>
            <w:r>
              <w:rPr>
                <w:rFonts w:eastAsia="Times New Roman" w:cs="Times New Roman" w:ascii="Times New Roman" w:hAnsi="Times New Roman"/>
              </w:rPr>
              <w:t>Руководитель практики</w:t>
            </w:r>
          </w:p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7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8" w:type="dxa"/>
            <w:tcBorders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</w:rPr>
              <w:t>Головина Е.А./ Остроушко Ю.А.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8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Абакан 2026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238" w:after="238"/>
            <w:jc w:val="center"/>
            <w:rPr>
              <w:rFonts w:ascii="Times New Roman" w:hAnsi="Times New Roman"/>
              <w:caps/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/>
              <w:caps/>
              <w:sz w:val="28"/>
              <w:szCs w:val="28"/>
            </w:rPr>
            <w:t>Содержание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fldChar w:fldCharType="begin"/>
          </w:r>
          <w:r>
            <w:rPr>
              <w:sz w:val="24"/>
              <w:kern w:val="0"/>
              <w:szCs w:val="24"/>
              <w:rFonts w:eastAsia="Calibri" w:cs="Calibri" w:ascii="Times New Roman" w:hAnsi="Times New Roman"/>
              <w:color w:val="auto"/>
              <w:lang w:val="ru-RU" w:eastAsia="ru-RU" w:bidi="ar-SA"/>
            </w:rPr>
            <w:instrText xml:space="preserve"> TOC \f \o "1-9" \h</w:instrText>
          </w:r>
          <w:r>
            <w:rPr>
              <w:sz w:val="24"/>
              <w:kern w:val="0"/>
              <w:szCs w:val="24"/>
              <w:rFonts w:eastAsia="Calibri" w:cs="Calibri" w:ascii="Times New Roman" w:hAnsi="Times New Roman"/>
              <w:color w:val="auto"/>
              <w:lang w:val="ru-RU" w:eastAsia="ru-RU" w:bidi="ar-SA"/>
            </w:rPr>
            <w:fldChar w:fldCharType="separate"/>
          </w: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Введение</w:t>
            <w:tab/>
            <w:t>3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1 Анализ программных решений</w:t>
            <w:tab/>
            <w:t>4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1.1 Описание предметной области</w:t>
            <w:tab/>
            <w:t>4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1.2 Анализ существующих решений</w:t>
            <w:tab/>
            <w:t>7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2 Проектирование программного модуля</w:t>
            <w:tab/>
            <w:t>11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2.1 Разработка графических спецификаций программного модуля.</w:t>
            <w:tab/>
            <w:t>11</w:t>
          </w:r>
        </w:p>
        <w:p>
          <w:pPr>
            <w:pStyle w:val="TOC1"/>
            <w:widowControl/>
            <w:tabs>
              <w:tab w:val="clear" w:pos="720"/>
              <w:tab w:val="right" w:pos="9920" w:leader="dot"/>
            </w:tabs>
            <w:suppressAutoHyphens w:val="true"/>
            <w:bidi w:val="0"/>
            <w:spacing w:before="0" w:after="0"/>
            <w:jc w:val="left"/>
            <w:rPr>
              <w:rFonts w:ascii="Times New Roman" w:hAnsi="Times New Roman" w:eastAsia="Calibri" w:cs="Calibri"/>
              <w:color w:val="auto"/>
              <w:kern w:val="0"/>
              <w:sz w:val="24"/>
              <w:szCs w:val="24"/>
              <w:lang w:val="ru-RU" w:eastAsia="ru-RU" w:bidi="ar-SA"/>
            </w:rPr>
          </w:pPr>
          <w:r>
            <w:rPr>
              <w:rFonts w:eastAsia="Calibri" w:cs="Calibri" w:ascii="Times New Roman" w:hAnsi="Times New Roman"/>
              <w:color w:val="auto"/>
              <w:kern w:val="0"/>
              <w:sz w:val="24"/>
              <w:szCs w:val="24"/>
              <w:lang w:val="ru-RU" w:eastAsia="ru-RU" w:bidi="ar-SA"/>
            </w:rPr>
            <w:t>2.2 Проектирование диаграммы базы данных</w:t>
            <w:tab/>
            <w:t>13</w:t>
          </w:r>
          <w:r>
            <w:rPr>
              <w:sz w:val="24"/>
              <w:kern w:val="0"/>
              <w:szCs w:val="24"/>
              <w:rFonts w:eastAsia="Calibri" w:cs="Calibri" w:ascii="Times New Roman" w:hAnsi="Times New Roman"/>
              <w:color w:val="auto"/>
              <w:lang w:val="ru-RU" w:eastAsia="ru-RU" w:bidi="ar-SA"/>
            </w:rPr>
            <w:fldChar w:fldCharType="end"/>
          </w:r>
        </w:p>
      </w:sdtContent>
    </w:sdt>
    <w:p>
      <w:pPr>
        <w:pStyle w:val="Heading1"/>
        <w:spacing w:lineRule="auto" w:line="360" w:before="238" w:after="238"/>
        <w:ind w:hanging="0" w:left="0"/>
        <w:jc w:val="center"/>
        <w:rPr>
          <w:rFonts w:ascii="Times New Roman" w:hAnsi="Times New Roman"/>
          <w:caps/>
          <w:sz w:val="28"/>
          <w:szCs w:val="28"/>
        </w:rPr>
      </w:pPr>
      <w:r>
        <w:br w:type="page"/>
      </w:r>
      <w:bookmarkStart w:id="2" w:name="__RefHeading___Toc5545_3673161715"/>
      <w:bookmarkEnd w:id="2"/>
      <w:r>
        <w:rPr>
          <w:rFonts w:ascii="Times New Roman" w:hAnsi="Times New Roman"/>
          <w:caps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современных условиях цифровизации образования возрастает потребность в автоматизации процессов управления учебной деятельностью. Особенно актуальной становится задача эффективного учета и сопровождения образовательных процессов, включая управление курсами, студентами и их учебным прогрессом. Традиционные методы ведения документации и мониторинга успеваемости уже не обеспечивают необходимую оперативность, точность и удобство обработки данных, что обуславливает необходимость разработки специализированных программных решений.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Актуальность данной темы обусловлена ростом объёмов учебной информации и необходимостью её структурированного хранения и обработки. Разработка программного модуля для управления курсами, студентами и их прогрессом позволяет автоматизировать ключевые процессы образовательной организации, повысить прозрачность учебного процесса и упростить взаимодействие между участниками образовательной системы. Внедрение подобных систем также способствует снижению трудозатрат преподавателей и администраторов, а также повышению качества контроля успеваемости студентов.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Целью данной работы является разработка программного модуля для управления курсами, студентами и их учебным прогрессом, обеспечивающего удобное хранение, обработку и визуализацию учебной информации.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достижения поставленной цели необходимо провести анализ предметной области управления учебным процессом, изучить существующие программные решения, выполнить проектирование программного модуля, разработать графические спецификации и диаграммы базы данных, а также создать макеты экранных форм пользовательского интерфейса. Помимо этого, требуется реализовать программный модуль, разработать объекты базы данных и описать полученное программное решение.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Объектом исследования является процесс управления курсами, студентами и их учебным прогрессом в образовательной организации. Предметом исследования выступают методы и средства разработки программного модуля, обеспечивающего автоматизацию учета и сопровождения учебного процесса, включая работу с данными о курсах, студентах и их успеваемости.</w:t>
      </w:r>
      <w:r>
        <w:br w:type="page"/>
      </w:r>
    </w:p>
    <w:p>
      <w:pPr>
        <w:pStyle w:val="Heading1"/>
        <w:spacing w:lineRule="auto" w:line="360" w:before="0" w:after="238"/>
        <w:ind w:hanging="0" w:left="0"/>
        <w:jc w:val="center"/>
        <w:rPr>
          <w:rFonts w:ascii="Times New Roman" w:hAnsi="Times New Roman"/>
          <w:sz w:val="28"/>
          <w:szCs w:val="28"/>
        </w:rPr>
      </w:pPr>
      <w:bookmarkStart w:id="3" w:name="__RefHeading___Toc5073_3673161715"/>
      <w:bookmarkEnd w:id="3"/>
      <w:r>
        <w:rPr>
          <w:rFonts w:ascii="Times New Roman" w:hAnsi="Times New Roman"/>
          <w:sz w:val="28"/>
          <w:szCs w:val="28"/>
        </w:rPr>
        <w:t>1 Анализ программных решений</w:t>
      </w:r>
    </w:p>
    <w:p>
      <w:pPr>
        <w:pStyle w:val="Heading1"/>
        <w:spacing w:lineRule="auto" w:line="360" w:before="238" w:after="238"/>
        <w:ind w:firstLine="709" w:left="0"/>
        <w:rPr>
          <w:rFonts w:ascii="Times New Roman" w:hAnsi="Times New Roman"/>
          <w:b w:val="false"/>
          <w:bCs w:val="false"/>
          <w:sz w:val="28"/>
          <w:szCs w:val="28"/>
        </w:rPr>
      </w:pPr>
      <w:bookmarkStart w:id="4" w:name="__RefHeading___Toc5075_3673161715"/>
      <w:bookmarkEnd w:id="4"/>
      <w:r>
        <w:rPr>
          <w:rFonts w:ascii="Times New Roman" w:hAnsi="Times New Roman"/>
          <w:b w:val="false"/>
          <w:bCs w:val="false"/>
          <w:sz w:val="28"/>
          <w:szCs w:val="28"/>
        </w:rPr>
        <w:t>1.1 Описание</w:t>
      </w:r>
      <w:r>
        <w:rPr>
          <w:rFonts w:ascii="Times New Roman" w:hAnsi="Times New Roman"/>
          <w:b w:val="false"/>
          <w:bCs w:val="false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предметной</w:t>
      </w:r>
      <w:r>
        <w:rPr>
          <w:rFonts w:ascii="Times New Roman" w:hAnsi="Times New Roman"/>
          <w:b w:val="false"/>
          <w:bCs w:val="false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Предметная область охватывает процессы организации и сопровождения образовательной деятельности в учебном заведении, включая управление учебными курсами, контингентом обучающихся и мониторинг их академического прогресса. Взаимодействие участников образовательного процесса выстроено в соответствии с академическим календарём и регламентируется внутренними нормативными документами учебного заведения.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Преподаватели ведут учебную работу в рамках закреплённых дисциплин на протяжении всего семестра. На этапе подготовки к курсу преподаватель разрабатывает рабочую программу, формирует тематическое планирование, готовит лекционные и методические материалы, составляет задания для практических занятий и контрольных мероприятий. В процессе обучения преподаватель проводит занятия, принимает выполненные работы, осуществляет проверку и оценивание результатов учебной деятельности, ведёт журнал посещаемости и фиксирует промежуточные достижения студентов. По итогам дисциплины преподаватель формирует ведомость успеваемости, анализирует образовательные результаты и вносит предложения по совершенствованию содержания курса.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Студенты включаются в образовательный процесс после официального зачисления на дисциплину. Обучающиеся знакомятся с учебными материалами, выполняют практические и контрольные задания в установленные сроки, участвуют в очных и дистанционных формах занятий, обращаются к преподавателю за консультациями при возникновении вопросов. Студенты самостоятельно отслеживают свои академические показатели, своевременно ликвидируют задолженности и готовят необходимые документы для прохождения промежуточной и итоговой аттестации.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Информационное взаимодействие участников образовательного процесса осуществляется в соответствии с утверждёнными регламентами обмена данными. Документы и отчётность формируются в стандартизированных форматах, обеспечивающих совместимость с корпоративными учётными системами учебного заведения.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Временные рамки деятельности участников строго привязаны к академическому календарю. Начало семестра характеризуется формированием контингента, утверждением расписания и открытием доступа к учебным материалам. Основной период обучения сопровождается регулярным обновлением контента, фиксацией текущих результатов и оперативным реагированием на отклонения от учебного графика. Завершающий этап семестра включает проведение итоговых контрольных мероприятий, формирование итоговой документации и подготовку данных для анализа эффективности образовательного процесса.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Управление учебными курсами, студентами и их академическим прогрессом является составной частью образовательной деятельности учебного заведения, регламентируется учебными планами.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обобщения сведений об образовательном процессе использована модель IDEF0 для управления курсами, студентами и их прогрессом, представленная на рисунке 1. IDEF0 – это методология функционального моделирования, которая позволяет представить деятельность в виде набора взаимосвязанных функций.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172710" cy="318071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1 - Контекстная диаграмма «Управление курсами, студентами и их прогрессом»</w:t>
      </w:r>
    </w:p>
    <w:p>
      <w:pPr>
        <w:pStyle w:val="Normal"/>
        <w:spacing w:lineRule="auto" w:line="360" w:before="0" w:after="238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Описание компонентов процесса контекстной диаграммы в таблице 1.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Таблица 1 - Описание компонентов процесса контекстной диаграммы А-0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80"/>
        <w:gridCol w:w="2478"/>
        <w:gridCol w:w="2480"/>
        <w:gridCol w:w="2482"/>
      </w:tblGrid>
      <w:tr>
        <w:trPr>
          <w:trHeight w:val="405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Входы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Управление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Механизмы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Выходы</w:t>
            </w:r>
          </w:p>
        </w:tc>
      </w:tr>
      <w:tr>
        <w:trPr/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Персональные данные студентов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Образовательные стандарты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Сведения об успеваемости</w:t>
            </w:r>
          </w:p>
        </w:tc>
      </w:tr>
      <w:tr>
        <w:trPr/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Учебные материалы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Учебные планы и программы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Информационная система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Аналитические отчеты</w:t>
            </w:r>
          </w:p>
        </w:tc>
      </w:tr>
      <w:tr>
        <w:trPr/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Результаты выполнения заданий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Регламент обработки данных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часть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Статусы и метаданные курсов</w:t>
            </w:r>
          </w:p>
        </w:tc>
      </w:tr>
      <w:tr>
        <w:trPr/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Академический календарь</w:t>
            </w:r>
          </w:p>
        </w:tc>
        <w:tc>
          <w:tcPr>
            <w:tcW w:w="2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>
      <w:pPr>
        <w:pStyle w:val="Normal"/>
        <w:spacing w:lineRule="auto" w:line="360" w:before="238" w:after="0"/>
        <w:ind w:firstLine="709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На рисунке 2 представлена диаграмма декомпозиции A0 которая позволяет наглядно разделить механизм управления на ключевые функции, обеспечивая четкое понимание их взаимодействия. Разобьем механизм на 4 ключевых блока: «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A1: Формирование учебных курсов», «A2: Зачисление студентов на курсы», «A3: Отслеживание академического прогресса», «A4: Генерация отчётности и аналитики». 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321935" cy="378015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2 - Диаграмма декомпозиции «A0: Механизм управления курсами, студентами и их прогрессом»</w:t>
      </w:r>
    </w:p>
    <w:p>
      <w:pPr>
        <w:pStyle w:val="Normal"/>
        <w:spacing w:lineRule="auto" w:line="360" w:before="238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Диаграмма декомпозиции помогает систематизировать процессы. Описание компонентов процесса диаграммы декомпозиции в таблице 2.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Таблица 2 - Описание компонентов процесса диаграммы декомпозиции А0</w:t>
      </w:r>
    </w:p>
    <w:tbl>
      <w:tblPr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84"/>
        <w:gridCol w:w="1984"/>
        <w:gridCol w:w="1984"/>
        <w:gridCol w:w="1984"/>
        <w:gridCol w:w="2039"/>
      </w:tblGrid>
      <w:tr>
        <w:trPr/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Ключевые блоки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Управление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Механизмы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Выходы</w:t>
            </w:r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А1: Формирование учебных курсов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Учебные материалы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Образовательные стандарты, Учебные планы и программы, Академический календарь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Преподаватели, Информационная система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Список курсов, Структура курсов, Статусы и метаданные курсов</w:t>
            </w:r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А2: Зачисление студентов на курсы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Список курсов, Персональные данные студентов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Регламенты обработки данных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Информационная система, Учебная часть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Профили и группы</w:t>
            </w:r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А3: Отслеживание академического прогресса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Профили и группы, Результаты выполнения заданий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Учебные планы и программы, Академический календарь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Информационная система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Метрики успеваемости, Сведения об успеваемости</w:t>
            </w:r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А4: Генерация отчетности и аналитики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Метрики успеваемости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Регламенты обработки данных, Образовательные стандарты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Преподаватели, Информационная система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Аналитические отчеты</w:t>
            </w:r>
          </w:p>
        </w:tc>
      </w:tr>
    </w:tbl>
    <w:p>
      <w:pPr>
        <w:pStyle w:val="Heading1"/>
        <w:suppressAutoHyphens w:val="true"/>
        <w:bidi w:val="0"/>
        <w:spacing w:lineRule="auto" w:line="360" w:before="238" w:after="238"/>
        <w:ind w:firstLine="709" w:left="0"/>
        <w:jc w:val="left"/>
        <w:rPr/>
      </w:pPr>
      <w:bookmarkStart w:id="5" w:name="__RefHeading___Toc5077_3673161715"/>
      <w:bookmarkEnd w:id="5"/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  <w:lang w:val="ru-RU" w:eastAsia="ru-RU" w:bidi="ar-SA"/>
        </w:rPr>
        <w:t>1.2 Анализ существующих решений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D1D1F"/>
          <w:spacing w:val="0"/>
          <w:sz w:val="24"/>
          <w:szCs w:val="24"/>
        </w:rPr>
        <w:t>Moodle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sz w:val="24"/>
          <w:szCs w:val="24"/>
        </w:rPr>
        <w:t xml:space="preserve"> — это система управления обучением, которая используется для создания онлайн-курсов, тестирования и отслеживания успеваемости студентов. Она широко применяется в университетах и компаниях благодаря гибкости и поддержке дистанционного обучения. Главная страница показана на рисунке 3.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6299835" cy="3989070"/>
            <wp:effectExtent l="0" t="0" r="0" b="0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8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3 — Главная страница Moodle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sz w:val="24"/>
          <w:szCs w:val="24"/>
        </w:rPr>
        <w:t>Достоинства: Moodle бесплатная и гибкая платформа с большим количеством настроек и расширений, которая подходит для школ, вузов и корпоративного обучения.</w:t>
        <w:br/>
        <w:t>Недостатки: интерфейс может показаться сложным для новичков, а для полноценной настройки и администрирования часто требуются технические навыки.</w:t>
      </w:r>
    </w:p>
    <w:p>
      <w:pPr>
        <w:pStyle w:val="BodyText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D1D1F"/>
          <w:spacing w:val="0"/>
          <w:sz w:val="24"/>
          <w:szCs w:val="24"/>
        </w:rPr>
        <w:t xml:space="preserve">Google Classroom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1D1D1F"/>
          <w:spacing w:val="0"/>
          <w:sz w:val="24"/>
          <w:szCs w:val="24"/>
        </w:rPr>
        <w:t>— это бесплатная платформа для организации учебного процесса, которая позволяет преподавателям создавать курсы, выдавать задания, проверять работы и общаться со студентами. Она тесно интегрирована с сервисами Google, что упрощает совместную работу. Главная страница представлена на рисунке 4.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866130" cy="2940685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4 — Главная страница Google classroom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sz w:val="24"/>
          <w:szCs w:val="24"/>
        </w:rPr>
        <w:t>Достоинства: простой и понятный интерфейс, быстрая настройка и удобная интеграция с экосистемой Google. Недостатки: ограниченные возможности настройки и аналитики, а также недостаточная гибкость для сложных образовательных сценариев.</w:t>
      </w:r>
    </w:p>
    <w:p>
      <w:pPr>
        <w:pStyle w:val="BodyText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D1D1F"/>
          <w:spacing w:val="0"/>
          <w:sz w:val="24"/>
          <w:szCs w:val="24"/>
        </w:rPr>
        <w:t>ЯКласс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sz w:val="24"/>
          <w:szCs w:val="24"/>
        </w:rPr>
        <w:t xml:space="preserve"> — это образовательная онлайн-платформа, которая помогает школьникам изучать предметы, выполнять задания и проходить автоматическую проверку работ. Учителя могут создавать задания, отслеживать результаты и использовать готовую базу упражнений по различным дисциплинам. Главная страница показана на рисунке 5.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337810" cy="353504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53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5 — Главная страница ЯКласс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kern w:val="0"/>
          <w:sz w:val="24"/>
          <w:szCs w:val="24"/>
          <w:lang w:val="ru-RU" w:eastAsia="ru-RU" w:bidi="ar-SA"/>
        </w:rPr>
        <w:t>Достоинства: большая библиотека заданий с автоматической проверкой и понятная структура для школьного обучения. Недостатки: ограниченная гибкость для нестандартных образовательных сценариев и меньше возможностей для глубокого анализа прогресса.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kern w:val="0"/>
          <w:sz w:val="24"/>
          <w:szCs w:val="24"/>
          <w:lang w:val="ru-RU" w:eastAsia="ru-RU" w:bidi="ar-SA"/>
        </w:rPr>
        <w:t>Планируется разработка функций, таких как: создание учебных курсов; загрузка, хранение и управление учебными материалами; ведение журнала оценок обучающихся; отслеживание и анализ прогресса обучения; организация системы комментариев по заданиям; Для их реализации будут использованы примеры из программ-аналогов. Список функций взятый из каждого приложения отдельно показан в таблице 3.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0"/>
          <w:kern w:val="0"/>
          <w:sz w:val="24"/>
          <w:szCs w:val="24"/>
          <w:lang w:val="ru-RU" w:eastAsia="ru-RU" w:bidi="ar-SA"/>
        </w:rPr>
        <w:t>Таблица 3 — Список заимствованных функций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60"/>
        <w:gridCol w:w="4960"/>
      </w:tblGrid>
      <w:tr>
        <w:trPr/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Программа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</w:t>
            </w:r>
          </w:p>
        </w:tc>
      </w:tr>
      <w:tr>
        <w:trPr/>
        <w:tc>
          <w:tcPr>
            <w:tcW w:w="4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Moodle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курсов обучения</w:t>
              <w:br/>
              <w:t>Загрузка и хранение учебных материалов</w:t>
            </w:r>
          </w:p>
        </w:tc>
      </w:tr>
      <w:tr>
        <w:trPr>
          <w:trHeight w:val="941" w:hRule="atLeast"/>
        </w:trPr>
        <w:tc>
          <w:tcPr>
            <w:tcW w:w="4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Google Classroom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Отслеживание прогресса обучения</w:t>
            </w:r>
          </w:p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Комментарии к заданиям</w:t>
            </w:r>
          </w:p>
        </w:tc>
      </w:tr>
      <w:tr>
        <w:trPr/>
        <w:tc>
          <w:tcPr>
            <w:tcW w:w="4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ЯКласс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Журнал оценок</w:t>
            </w:r>
          </w:p>
        </w:tc>
      </w:tr>
    </w:tbl>
    <w:p>
      <w:pPr>
        <w:pStyle w:val="Heading1"/>
        <w:suppressAutoHyphens w:val="true"/>
        <w:bidi w:val="0"/>
        <w:spacing w:lineRule="auto" w:line="360" w:before="238" w:after="238"/>
        <w:ind w:hanging="0" w:left="0"/>
        <w:jc w:val="center"/>
        <w:rPr/>
      </w:pPr>
      <w:r>
        <w:br w:type="page"/>
      </w:r>
      <w:bookmarkStart w:id="6" w:name="__RefHeading___Toc5079_3673161715"/>
      <w:bookmarkEnd w:id="6"/>
      <w:r>
        <w:rPr>
          <w:rStyle w:val="Strong"/>
          <w:rFonts w:ascii="Times New Roman" w:hAnsi="Times New Roman"/>
          <w:b/>
          <w:bCs/>
          <w:color w:val="auto"/>
          <w:sz w:val="28"/>
          <w:szCs w:val="28"/>
          <w:lang w:val="ru-RU" w:eastAsia="ru-RU" w:bidi="ar-SA"/>
        </w:rPr>
        <w:t>2 Проектирование программного модуля</w:t>
      </w:r>
    </w:p>
    <w:p>
      <w:pPr>
        <w:pStyle w:val="Heading1"/>
        <w:suppressAutoHyphens w:val="true"/>
        <w:bidi w:val="0"/>
        <w:spacing w:lineRule="auto" w:line="360" w:before="238" w:after="238"/>
        <w:ind w:firstLine="709" w:left="0"/>
        <w:jc w:val="left"/>
        <w:rPr/>
      </w:pPr>
      <w:bookmarkStart w:id="7" w:name="__RefHeading___Toc5081_3673161715"/>
      <w:bookmarkEnd w:id="7"/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  <w:lang w:val="ru-RU" w:eastAsia="ru-RU" w:bidi="ar-SA"/>
        </w:rPr>
        <w:t>2.1 Разработка графических спецификаций программного модуля.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 xml:space="preserve">В процессе проектирования программного модуля была разработана </w:t>
      </w:r>
      <w:r>
        <w:rPr>
          <w:rStyle w:val="Strong"/>
          <w:rFonts w:eastAsia="Calibri" w:cs="Calibri" w:ascii="Times New Roman" w:hAnsi="Times New Roman"/>
          <w:b/>
          <w:bCs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диаграмма вариантов использования</w:t>
      </w: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, отражающая взаимодействие пользователей системы с ее основными функциям. Диаграмма показана на рисунке 6.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2907665" cy="390906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65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6 — Диаграмма вариантов использования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 xml:space="preserve">В системе выделены три основных актера: администратор, преподаватель и студент. Каждый из них обладает определенным набором функций. Администратор выполняет функции управления системой системой, включая создание пользователей, настройку прав доступа и формирование отчетов. Преподаватель отвечает за организацию учебного процесса: создает курсы, проверяет задания и формирует отчеты. Процесс создания курса может быть расширен дополнительными действиями — загрузкой материалов и созданием тестов, что отражено связью типа extend. Студент взаимодействует с системой через просмотр заданий, отправку ответов и анализ собственной успеваемости. 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/>
          <w:bCs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Диаграмма деятельности</w:t>
      </w: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 xml:space="preserve"> отражает процесс добавления студента на курс администратором с участием системы. Диаграмма представлена на рисунке 7.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2367280" cy="381381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381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7 — Диаграмма деятельности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 xml:space="preserve">Процесс начинается с открытия формы добавления студента, после чего администратор настраивает фильтр и выбирает одного или нескольких студентов. Система проверяет, выбран ли хотя бы один студент. Если выбор не выполнен, выводится предупреждение о пустом значении, а если выполнен — выполняется операция добавления студента на курс. Далее система проверяет успешность добавления. В случае ошибки выводится соответствующее сообщение, после чего администратор может исправить ошибку и повторить попытку. При успешном выполнении операции система отображает сообщение о том, что студент добавлен на курс, после чего процесс завершается. 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/>
          <w:bCs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Диаграмма последовательности</w:t>
      </w: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 xml:space="preserve"> отражает процесс просмотра студентом прогресса по курсу.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Диаграмма показана на рисунке 8.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541645" cy="381508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81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Рисунок 8 — Диаграмма последовательности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Студент открывает страницу прогресса, затем выбирает курс, после чего веб-интерфейс отправляет запрос в базу данных и получает данные. В диаграмме используется комбинированный фрагмент alt, который показывает два возможных варианта развития событий: при наличии данных отображается прогресс, при их отсутствии выводится сообщение «нет данных».</w:t>
      </w:r>
    </w:p>
    <w:p>
      <w:pPr>
        <w:pStyle w:val="Heading1"/>
        <w:suppressAutoHyphens w:val="true"/>
        <w:bidi w:val="0"/>
        <w:spacing w:lineRule="auto" w:line="360" w:before="238" w:after="238"/>
        <w:ind w:firstLine="709" w:left="0"/>
        <w:jc w:val="left"/>
        <w:rPr/>
      </w:pPr>
      <w:bookmarkStart w:id="8" w:name="__RefHeading___Toc5083_3673161715"/>
      <w:bookmarkEnd w:id="8"/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  <w:lang w:val="ru-RU" w:eastAsia="ru-RU" w:bidi="ar-SA"/>
        </w:rPr>
        <w:t>2.2 Проектирование диаграммы базы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Style w:val="Strong"/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1D1D1F"/>
          <w:spacing w:val="-2"/>
          <w:kern w:val="0"/>
          <w:sz w:val="24"/>
          <w:szCs w:val="24"/>
          <w:lang w:val="ru-RU" w:eastAsia="ru-RU" w:bidi="ar-SA"/>
        </w:rPr>
        <w:t>Далее необходимо построить логическую модель данных, или нотацию. В данном случае использовалась упрощенная нотация Питера Чена, т.е. без атрибутов и описания связей, из-за их чрезмерно большого количества. Модель показана на рисунке 9.</w:t>
      </w:r>
    </w:p>
    <w:p>
      <w:pPr>
        <w:pStyle w:val="BodyText"/>
        <w:widowControl/>
        <w:suppressAutoHyphens w:val="true"/>
        <w:bidi w:val="0"/>
        <w:spacing w:lineRule="auto" w:line="360" w:before="238" w:after="0"/>
        <w:ind w:hanging="0" w:left="0" w:right="0"/>
        <w:jc w:val="center"/>
        <w:rPr/>
      </w:pPr>
      <w:r>
        <w:rPr/>
        <w:drawing>
          <wp:inline distT="0" distB="0" distL="0" distR="0">
            <wp:extent cx="5247005" cy="302958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02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uppressAutoHyphens w:val="true"/>
        <w:bidi w:val="0"/>
        <w:spacing w:lineRule="auto" w:line="360" w:before="0" w:after="238"/>
        <w:ind w:hanging="0" w:left="0" w:right="0"/>
        <w:jc w:val="center"/>
        <w:rPr/>
      </w:pPr>
      <w:r>
        <w:rPr>
          <w:rStyle w:val="Strong"/>
          <w:rFonts w:eastAsia="Calibri" w:cs="Calibri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ru-RU" w:bidi="ar-SA"/>
        </w:rPr>
        <w:t>Рисунок 9 — Логическая модель данных или нотация Чена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8" w:right="567" w:gutter="0" w:header="0" w:top="851" w:footer="1418" w:bottom="1977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swiss"/>
    <w:pitch w:val="variable"/>
    <w:embedRegular r:id="rId13" w:fontKey="{0D014A78-CABC-4EF0-12AC-5CD89AEFDE0D}"/>
    <w:embedBold r:id="rId14" w:fontKey="{0E014A78-CABC-4EF0-12AC-5CD89AEFDE0E}"/>
  </w:font>
  <w:font w:name="Cambria">
    <w:charset w:val="01"/>
    <w:family w:val="roman"/>
    <w:pitch w:val="variable"/>
    <w:embedBold r:id="rId15" w:fontKey="{0F014A78-CABC-4EF0-12AC-5CD89AEFDE0F}"/>
  </w:font>
  <w:font w:name="Calibri Light">
    <w:charset w:val="01"/>
    <w:family w:val="swiss"/>
    <w:pitch w:val="variable"/>
    <w:embedRegular r:id="rId16" w:fontKey="{10014A78-CABC-4EF0-12AC-5CD89AEFDE10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ahoma">
    <w:charset w:val="01"/>
    <w:family w:val="swiss"/>
    <w:pitch w:val="variable"/>
    <w:embedRegular r:id="rId17" w:fontKey="{11014A78-CABC-4EF0-12AC-5CD89AEFDE11}"/>
  </w:font>
  <w:font w:name="Liberation Sans">
    <w:altName w:val="Arial"/>
    <w:charset w:val="0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/>
        <w:sz w:val="24"/>
        <w:szCs w:val="24"/>
      </w:rPr>
    </w:pPr>
    <w:bookmarkStart w:id="9" w:name="PageNumWizard_FOOTER_Базовый1_Копия_1"/>
    <w:r>
      <w:rPr>
        <w:rFonts w:ascii="Times New Roman" w:hAnsi="Times New Roman"/>
        <w:sz w:val="24"/>
        <w:szCs w:val="24"/>
      </w:rPr>
      <w:fldChar w:fldCharType="begin"/>
    </w:r>
    <w:r>
      <w:rPr>
        <w:sz w:val="24"/>
        <w:szCs w:val="24"/>
        <w:rFonts w:ascii="Times New Roman" w:hAnsi="Times New Roman"/>
      </w:rPr>
      <w:instrText xml:space="preserve"> PAGE </w:instrText>
    </w:r>
    <w:r>
      <w:rPr>
        <w:sz w:val="24"/>
        <w:szCs w:val="24"/>
        <w:rFonts w:ascii="Times New Roman" w:hAnsi="Times New Roman"/>
      </w:rPr>
      <w:fldChar w:fldCharType="separate"/>
    </w:r>
    <w:r>
      <w:rPr>
        <w:sz w:val="24"/>
        <w:szCs w:val="24"/>
        <w:rFonts w:ascii="Times New Roman" w:hAnsi="Times New Roman"/>
      </w:rPr>
      <w:t>2</w:t>
    </w:r>
    <w:r>
      <w:rPr>
        <w:sz w:val="24"/>
        <w:szCs w:val="24"/>
        <w:rFonts w:ascii="Times New Roman" w:hAnsi="Times New Roman"/>
      </w:rPr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widowControl w:val="false"/>
      <w:spacing w:lineRule="auto" w:line="240"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200" w:after="0"/>
      <w:outlineLvl w:val="4"/>
    </w:pPr>
    <w:rPr>
      <w:rFonts w:ascii="Calibri Light" w:hAnsi="Calibri Light" w:eastAsia="Calibri" w:cs="Calibri"/>
      <w:color w:themeColor="accent1" w:themeShade="7f" w:val="1F3763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2">
    <w:name w:val="Основной текст (2)_"/>
    <w:basedOn w:val="DefaultParagraphFont"/>
    <w:link w:val="22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21">
    <w:name w:val="Основной текст 2 Знак"/>
    <w:basedOn w:val="DefaultParagraphFont"/>
    <w:link w:val="BodyText2"/>
    <w:qFormat/>
    <w:rPr>
      <w:rFonts w:ascii="Times New Roman" w:hAnsi="Times New Roman" w:eastAsia="Times New Roman" w:cs="Times New Roman"/>
    </w:rPr>
  </w:style>
  <w:style w:type="character" w:styleId="5">
    <w:name w:val="Заголовок 5 Знак"/>
    <w:basedOn w:val="DefaultParagraphFont"/>
    <w:qFormat/>
    <w:rPr>
      <w:rFonts w:ascii="Calibri Light" w:hAnsi="Calibri Light" w:eastAsia="Calibri" w:cs="Calibri"/>
      <w:color w:themeColor="accent1" w:themeShade="7f" w:val="1F3763"/>
    </w:rPr>
  </w:style>
  <w:style w:type="character" w:styleId="FontStyle35">
    <w:name w:val="Font Style35"/>
    <w:qFormat/>
    <w:rPr>
      <w:rFonts w:ascii="Times New Roman" w:hAnsi="Times New Roman" w:cs="Times New Roman"/>
      <w:sz w:val="18"/>
      <w:szCs w:val="18"/>
    </w:rPr>
  </w:style>
  <w:style w:type="character" w:styleId="Style8">
    <w:name w:val="Абзац списка Знак"/>
    <w:basedOn w:val="DefaultParagraphFont"/>
    <w:link w:val="ListParagraph"/>
    <w:qFormat/>
    <w:rPr>
      <w:rFonts w:ascii="Calibri" w:hAnsi="Calibri" w:eastAsia="Calibri" w:cs="Times New Roma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9">
    <w:name w:val="Верхний колонтитул Знак"/>
    <w:basedOn w:val="DefaultParagraphFont"/>
    <w:qFormat/>
    <w:rPr/>
  </w:style>
  <w:style w:type="character" w:styleId="Style10">
    <w:name w:val="Нижний колонтитул Знак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yle11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yle12">
    <w:name w:val="Основной текст Знак"/>
    <w:basedOn w:val="DefaultParagraphFont"/>
    <w:qFormat/>
    <w:rPr/>
  </w:style>
  <w:style w:type="character" w:styleId="Style13">
    <w:name w:val="Текст сноски Знак"/>
    <w:basedOn w:val="DefaultParagraphFont"/>
    <w:qFormat/>
    <w:rPr>
      <w:rFonts w:ascii="Times New Roman" w:hAnsi="Times New Roman" w:eastAsia="Calibri" w:cs="Times New Roman"/>
      <w:sz w:val="20"/>
      <w:szCs w:val="20"/>
      <w:lang w:val="en-US"/>
    </w:rPr>
  </w:style>
  <w:style w:type="character" w:styleId="Style14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>
    <w:name w:val="Без интервала Знак"/>
    <w:basedOn w:val="DefaultParagraphFont"/>
    <w:link w:val="NoSpacing"/>
    <w:qFormat/>
    <w:rPr>
      <w:rFonts w:ascii="Times New Roman" w:hAnsi="Times New Roman" w:eastAsia="Calibri" w:cs="Times New Roman"/>
      <w:color w:val="000000"/>
      <w:sz w:val="20"/>
      <w:szCs w:val="20"/>
    </w:rPr>
  </w:style>
  <w:style w:type="character" w:styleId="Emphasis">
    <w:name w:val="Emphasis"/>
    <w:basedOn w:val="DefaultParagraphFont"/>
    <w:qFormat/>
    <w:rPr>
      <w:i/>
    </w:rPr>
  </w:style>
  <w:style w:type="character" w:styleId="ft922">
    <w:name w:val="ft922"/>
    <w:basedOn w:val="DefaultParagraphFont"/>
    <w:qFormat/>
    <w:rPr/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link w:val="Style12"/>
    <w:pPr>
      <w:spacing w:before="0" w:after="120"/>
    </w:pPr>
    <w:rPr/>
  </w:style>
  <w:style w:type="paragraph" w:styleId="List">
    <w:name w:val="List"/>
    <w:basedOn w:val="Normal"/>
    <w:pPr>
      <w:widowControl w:val="false"/>
      <w:spacing w:lineRule="auto" w:line="240" w:before="0" w:after="0"/>
      <w:ind w:hanging="283" w:left="283"/>
    </w:pPr>
    <w:rPr>
      <w:rFonts w:ascii="Times New Roman" w:hAnsi="Times New Roman" w:eastAsia="Times New Roman" w:cs="Times New Roman"/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TOC1">
    <w:name w:val="toc 1"/>
    <w:basedOn w:val="Normal"/>
    <w:next w:val="Normal"/>
    <w:autoRedefine/>
    <w:pPr>
      <w:spacing w:lineRule="auto" w:line="360" w:before="0" w:after="0"/>
    </w:pPr>
    <w:rPr/>
  </w:style>
  <w:style w:type="paragraph" w:styleId="211">
    <w:name w:val="Список 21"/>
    <w:basedOn w:val="Normal"/>
    <w:qFormat/>
    <w:pPr>
      <w:suppressAutoHyphens w:val="true"/>
      <w:spacing w:lineRule="auto" w:line="240" w:before="0" w:after="0"/>
      <w:ind w:hanging="283" w:left="566"/>
    </w:pPr>
    <w:rPr>
      <w:rFonts w:ascii="Arial" w:hAnsi="Arial" w:eastAsia="Times New Roman" w:cs="Arial"/>
      <w:sz w:val="24"/>
      <w:szCs w:val="28"/>
    </w:rPr>
  </w:style>
  <w:style w:type="paragraph" w:styleId="22">
    <w:name w:val="Основной текст (2)"/>
    <w:basedOn w:val="Normal"/>
    <w:link w:val="2"/>
    <w:qFormat/>
    <w:pPr>
      <w:widowControl w:val="false"/>
      <w:shd w:val="clear" w:fill="FFFFFF"/>
      <w:spacing w:before="360" w:after="0"/>
      <w:ind w:hanging="720"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BodyText2">
    <w:name w:val="Body Text 2"/>
    <w:basedOn w:val="Normal"/>
    <w:link w:val="21"/>
    <w:qFormat/>
    <w:pPr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ConsPlusNormal">
    <w:name w:val="ConsPlusNormal"/>
    <w:qFormat/>
    <w:pPr>
      <w:widowControl w:val="false"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4"/>
      <w:szCs w:val="24"/>
      <w:lang w:val="ru-RU" w:eastAsia="ru-RU" w:bidi="ar-SA"/>
    </w:rPr>
  </w:style>
  <w:style w:type="paragraph" w:styleId="FR2">
    <w:name w:val="FR2"/>
    <w:qFormat/>
    <w:pPr>
      <w:widowControl w:val="false"/>
      <w:suppressAutoHyphens w:val="true"/>
      <w:overflowPunct w:val="false"/>
      <w:bidi w:val="0"/>
      <w:spacing w:lineRule="auto" w:line="240" w:before="20" w:after="0"/>
      <w:ind w:left="40"/>
      <w:jc w:val="center"/>
    </w:pPr>
    <w:rPr>
      <w:rFonts w:ascii="Arial" w:hAnsi="Arial" w:eastAsia="Times New Roman" w:cs="Arial"/>
      <w:i/>
      <w:iCs/>
      <w:color w:val="auto"/>
      <w:kern w:val="0"/>
      <w:sz w:val="28"/>
      <w:szCs w:val="28"/>
      <w:lang w:val="ru-RU" w:eastAsia="ru-RU" w:bidi="ar-SA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Style8"/>
    <w:qFormat/>
    <w:pPr>
      <w:spacing w:lineRule="auto" w:line="276" w:before="0" w:after="200"/>
      <w:ind w:left="720"/>
      <w:contextualSpacing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1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Style13"/>
    <w:pPr>
      <w:spacing w:lineRule="auto" w:line="240" w:before="0" w:after="0"/>
    </w:pPr>
    <w:rPr>
      <w:rFonts w:ascii="Times New Roman" w:hAnsi="Times New Roman" w:eastAsia="Calibri" w:cs="Times New Roman"/>
      <w:sz w:val="20"/>
      <w:szCs w:val="20"/>
      <w:lang w:val="en-US"/>
    </w:rPr>
  </w:style>
  <w:style w:type="paragraph" w:styleId="NoSpacing">
    <w:name w:val="No Spacing"/>
    <w:link w:val="Style15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0"/>
      <w:szCs w:val="20"/>
      <w:lang w:val="ru-RU" w:eastAsia="ru-RU" w:bidi="ar-SA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both">
    <w:name w:val="pbot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use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numbering" w:styleId="Style21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LibreOffice/24.8.5.2$Linux_X86_64 LibreOffice_project/480$Build-2</Application>
  <AppVersion>15.0000</AppVersion>
  <Pages>14</Pages>
  <Words>1516</Words>
  <Characters>11616</Characters>
  <CharactersWithSpaces>13016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2019-08-22T05:59:00Z</dcterms:created>
  <dc:creator>PC</dc:creator>
  <dc:description/>
  <dc:language>ru-RU</dc:language>
  <cp:lastModifiedBy/>
  <dcterms:modified xsi:type="dcterms:W3CDTF">2026-05-13T12:25:19Z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