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fn-p001-財務管理程序"/>
    <w:p>
      <w:pPr>
        <w:pStyle w:val="Heading1"/>
      </w:pPr>
      <w:r>
        <w:t xml:space="preserve">FN-P001 </w:t>
      </w:r>
      <w:r>
        <w:rPr>
          <w:rFonts w:hint="eastAsia"/>
        </w:rPr>
        <w:t xml:space="preserve">財務管理程序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t xml:space="preserve">FN-P001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版次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財務管理程序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頁次</w:t>
            </w:r>
          </w:p>
        </w:tc>
        <w:tc>
          <w:tcPr/>
          <w:p>
            <w:pPr>
              <w:pStyle w:val="Compact"/>
            </w:pPr>
            <w:r>
              <w:t xml:space="preserve">1/4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目的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適用範圍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權責">
        <w:r>
          <w:rPr>
            <w:rStyle w:val="Hyperlink"/>
            <w:rFonts w:hint="eastAsia"/>
          </w:rPr>
          <w:t xml:space="preserve">權責</w:t>
        </w:r>
      </w:hyperlink>
    </w:p>
    <w:p>
      <w:pPr>
        <w:pStyle w:val="Compact"/>
        <w:numPr>
          <w:ilvl w:val="0"/>
          <w:numId w:val="1001"/>
        </w:numPr>
      </w:pPr>
      <w:hyperlink w:anchor="定義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程序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1"/>
          <w:numId w:val="1002"/>
        </w:numPr>
      </w:pPr>
      <w:r>
        <w:t xml:space="preserve">5.1 </w:t>
      </w:r>
      <w:r>
        <w:rPr>
          <w:rFonts w:hint="eastAsia"/>
        </w:rPr>
        <w:t xml:space="preserve">預算管理</w:t>
      </w:r>
    </w:p>
    <w:p>
      <w:pPr>
        <w:pStyle w:val="Compact"/>
        <w:numPr>
          <w:ilvl w:val="1"/>
          <w:numId w:val="1002"/>
        </w:numPr>
      </w:pPr>
      <w:r>
        <w:t xml:space="preserve">5.2 </w:t>
      </w:r>
      <w:r>
        <w:rPr>
          <w:rFonts w:hint="eastAsia"/>
        </w:rPr>
        <w:t xml:space="preserve">收入管理</w:t>
      </w:r>
    </w:p>
    <w:p>
      <w:pPr>
        <w:pStyle w:val="Compact"/>
        <w:numPr>
          <w:ilvl w:val="1"/>
          <w:numId w:val="1002"/>
        </w:numPr>
      </w:pPr>
      <w:r>
        <w:t xml:space="preserve">5.3 </w:t>
      </w:r>
      <w:r>
        <w:rPr>
          <w:rFonts w:hint="eastAsia"/>
        </w:rPr>
        <w:t xml:space="preserve">支出管理</w:t>
      </w:r>
    </w:p>
    <w:p>
      <w:pPr>
        <w:pStyle w:val="Compact"/>
        <w:numPr>
          <w:ilvl w:val="1"/>
          <w:numId w:val="1002"/>
        </w:numPr>
      </w:pPr>
      <w:r>
        <w:t xml:space="preserve">5.4 </w:t>
      </w:r>
      <w:r>
        <w:rPr>
          <w:rFonts w:hint="eastAsia"/>
        </w:rPr>
        <w:t xml:space="preserve">資產管理</w:t>
      </w:r>
    </w:p>
    <w:p>
      <w:pPr>
        <w:pStyle w:val="Compact"/>
        <w:numPr>
          <w:ilvl w:val="1"/>
          <w:numId w:val="1002"/>
        </w:numPr>
      </w:pPr>
      <w:r>
        <w:t xml:space="preserve">5.5 </w:t>
      </w:r>
      <w:r>
        <w:rPr>
          <w:rFonts w:hint="eastAsia"/>
        </w:rPr>
        <w:t xml:space="preserve">財務報表與分析</w:t>
      </w:r>
    </w:p>
    <w:p>
      <w:pPr>
        <w:pStyle w:val="Compact"/>
        <w:numPr>
          <w:ilvl w:val="1"/>
          <w:numId w:val="1002"/>
        </w:numPr>
      </w:pPr>
      <w:r>
        <w:t xml:space="preserve">5.6 </w:t>
      </w:r>
      <w:r>
        <w:rPr>
          <w:rFonts w:hint="eastAsia"/>
        </w:rPr>
        <w:t xml:space="preserve">內部審計與監控</w:t>
      </w:r>
    </w:p>
    <w:p>
      <w:pPr>
        <w:pStyle w:val="Compact"/>
        <w:numPr>
          <w:ilvl w:val="0"/>
          <w:numId w:val="1001"/>
        </w:numPr>
      </w:pPr>
      <w:hyperlink w:anchor="相關文件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本程序旨在規範Ohealth物理治療體系的財務管理活動，確保財務資源的合理配置與有效利用，提供準確、及時的財務資訊，促進經營決策的科學性，保障機構資產安全與財務穩健運營。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本程序適用於Ohealth物理治療體系所有院所的財務活動管理，包括預算編制、收支管理、資產管理、財務報表編制與分析、內部審計與財務風險控制等。</w:t>
      </w:r>
    </w:p>
    <w:bookmarkEnd w:id="22"/>
    <w:bookmarkStart w:id="28" w:name="權責"/>
    <w:p>
      <w:pPr>
        <w:pStyle w:val="Heading2"/>
      </w:pPr>
      <w:r>
        <w:t xml:space="preserve">3. </w:t>
      </w:r>
      <w:r>
        <w:rPr>
          <w:rFonts w:hint="eastAsia"/>
        </w:rPr>
        <w:t xml:space="preserve">權責</w:t>
      </w:r>
      <w:r>
        <w:t xml:space="preserve"> 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審批年度財務預算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審核重大財務決策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監督財務管理系統運行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審批年度財務報表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評估財務績效指標達成情況</w:t>
      </w:r>
    </w:p>
    <w:bookmarkEnd w:id="23"/>
    <w:bookmarkStart w:id="24" w:name="財務主管"/>
    <w:p>
      <w:pPr>
        <w:pStyle w:val="Heading3"/>
      </w:pPr>
      <w:r>
        <w:t xml:space="preserve">3.2 </w:t>
      </w:r>
      <w:r>
        <w:rPr>
          <w:rFonts w:hint="eastAsia"/>
        </w:rPr>
        <w:t xml:space="preserve">財務主管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制定財務管理政策與流程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組織編制年度預算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管理整體財務活動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監督財務控制系統運行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審核各類財務報表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分析財務數據及提出建議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風險識別與財務風險控制</w:t>
      </w:r>
    </w:p>
    <w:bookmarkEnd w:id="24"/>
    <w:bookmarkStart w:id="25" w:name="會計人員"/>
    <w:p>
      <w:pPr>
        <w:pStyle w:val="Heading3"/>
      </w:pPr>
      <w:r>
        <w:t xml:space="preserve">3.3 </w:t>
      </w:r>
      <w:r>
        <w:rPr>
          <w:rFonts w:hint="eastAsia"/>
        </w:rPr>
        <w:t xml:space="preserve">會計人員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執行日常會計記錄與處理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編制各類財務報表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執行資金收支管理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維護會計檔案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協助預算編制與執行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提供財務分析數據</w:t>
      </w:r>
    </w:p>
    <w:bookmarkEnd w:id="25"/>
    <w:bookmarkStart w:id="26" w:name="出納人員"/>
    <w:p>
      <w:pPr>
        <w:pStyle w:val="Heading3"/>
      </w:pPr>
      <w:r>
        <w:t xml:space="preserve">3.4 </w:t>
      </w:r>
      <w:r>
        <w:rPr>
          <w:rFonts w:hint="eastAsia"/>
        </w:rPr>
        <w:t xml:space="preserve">出納人員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負責現金與銀行賬戶管理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執行收款與付款操作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管理現金流動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保管各類票據與單據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定期核對賬目</w:t>
      </w:r>
    </w:p>
    <w:bookmarkEnd w:id="26"/>
    <w:bookmarkStart w:id="27" w:name="各部門主管"/>
    <w:p>
      <w:pPr>
        <w:pStyle w:val="Heading3"/>
      </w:pPr>
      <w:r>
        <w:t xml:space="preserve">3.5 </w:t>
      </w:r>
      <w:r>
        <w:rPr>
          <w:rFonts w:hint="eastAsia"/>
        </w:rPr>
        <w:t xml:space="preserve">各部門主管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參與部門預算編制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負責部門預算執行與控制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審核部門相關支出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提供部門業務與財務資訊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落實部門財務管理要求</w:t>
      </w:r>
    </w:p>
    <w:bookmarkEnd w:id="27"/>
    <w:bookmarkEnd w:id="28"/>
    <w:bookmarkStart w:id="35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  <w:r>
        <w:t xml:space="preserve"> </w:t>
      </w:r>
    </w:p>
    <w:bookmarkStart w:id="29" w:name="預算"/>
    <w:p>
      <w:pPr>
        <w:pStyle w:val="Heading3"/>
      </w:pPr>
      <w:r>
        <w:t xml:space="preserve">4.1 </w:t>
      </w:r>
      <w:r>
        <w:rPr>
          <w:rFonts w:hint="eastAsia"/>
        </w:rPr>
        <w:t xml:space="preserve">預算</w:t>
      </w:r>
    </w:p>
    <w:p>
      <w:pPr>
        <w:pStyle w:val="FirstParagraph"/>
      </w:pPr>
      <w:r>
        <w:rPr>
          <w:rFonts w:hint="eastAsia"/>
        </w:rPr>
        <w:t xml:space="preserve">對未來一定期間內的經營活動、收支計劃、資金需求與來源等進行的財務預測與安排。</w:t>
      </w:r>
    </w:p>
    <w:bookmarkEnd w:id="29"/>
    <w:bookmarkStart w:id="30" w:name="收入"/>
    <w:p>
      <w:pPr>
        <w:pStyle w:val="Heading3"/>
      </w:pPr>
      <w:r>
        <w:t xml:space="preserve">4.2 </w:t>
      </w:r>
      <w:r>
        <w:rPr>
          <w:rFonts w:hint="eastAsia"/>
        </w:rPr>
        <w:t xml:space="preserve">收入</w:t>
      </w:r>
    </w:p>
    <w:p>
      <w:pPr>
        <w:pStyle w:val="FirstParagraph"/>
      </w:pPr>
      <w:r>
        <w:rPr>
          <w:rFonts w:hint="eastAsia"/>
        </w:rPr>
        <w:t xml:space="preserve">機構在提供服務過程中取得的經濟利益總流入，包括但不限於治療收入、諮詢費用、保險給付等。</w:t>
      </w:r>
    </w:p>
    <w:bookmarkEnd w:id="30"/>
    <w:bookmarkStart w:id="31" w:name="支出"/>
    <w:p>
      <w:pPr>
        <w:pStyle w:val="Heading3"/>
      </w:pPr>
      <w:r>
        <w:t xml:space="preserve">4.3 </w:t>
      </w:r>
      <w:r>
        <w:rPr>
          <w:rFonts w:hint="eastAsia"/>
        </w:rPr>
        <w:t xml:space="preserve">支出</w:t>
      </w:r>
    </w:p>
    <w:p>
      <w:pPr>
        <w:pStyle w:val="FirstParagraph"/>
      </w:pPr>
      <w:r>
        <w:rPr>
          <w:rFonts w:hint="eastAsia"/>
        </w:rPr>
        <w:t xml:space="preserve">機構為獲取收入而發生的各種經濟利益流出，包括薪資支出、設備採購、日常運營費用等。</w:t>
      </w:r>
    </w:p>
    <w:bookmarkEnd w:id="31"/>
    <w:bookmarkStart w:id="32" w:name="資產"/>
    <w:p>
      <w:pPr>
        <w:pStyle w:val="Heading3"/>
      </w:pPr>
      <w:r>
        <w:t xml:space="preserve">4.4 </w:t>
      </w:r>
      <w:r>
        <w:rPr>
          <w:rFonts w:hint="eastAsia"/>
        </w:rPr>
        <w:t xml:space="preserve">資產</w:t>
      </w:r>
    </w:p>
    <w:p>
      <w:pPr>
        <w:pStyle w:val="FirstParagraph"/>
      </w:pPr>
      <w:r>
        <w:rPr>
          <w:rFonts w:hint="eastAsia"/>
        </w:rPr>
        <w:t xml:space="preserve">機構擁有或控制的，能夠帶來未來經濟利益的資源，包括固定資產、流動資產、無形資產等。</w:t>
      </w:r>
    </w:p>
    <w:bookmarkEnd w:id="32"/>
    <w:bookmarkStart w:id="33" w:name="財務報表"/>
    <w:p>
      <w:pPr>
        <w:pStyle w:val="Heading3"/>
      </w:pPr>
      <w:r>
        <w:t xml:space="preserve">4.5 </w:t>
      </w:r>
      <w:r>
        <w:rPr>
          <w:rFonts w:hint="eastAsia"/>
        </w:rPr>
        <w:t xml:space="preserve">財務報表</w:t>
      </w:r>
    </w:p>
    <w:p>
      <w:pPr>
        <w:pStyle w:val="FirstParagraph"/>
      </w:pPr>
      <w:r>
        <w:rPr>
          <w:rFonts w:hint="eastAsia"/>
        </w:rPr>
        <w:t xml:space="preserve">反映機構財務狀況、經營成果和現金流量的會計報表，主要包括資產負債表、損益表和現金流量表。</w:t>
      </w:r>
    </w:p>
    <w:bookmarkEnd w:id="33"/>
    <w:bookmarkStart w:id="34" w:name="內部控制"/>
    <w:p>
      <w:pPr>
        <w:pStyle w:val="Heading3"/>
      </w:pPr>
      <w:r>
        <w:t xml:space="preserve">4.6 </w:t>
      </w:r>
      <w:r>
        <w:rPr>
          <w:rFonts w:hint="eastAsia"/>
        </w:rPr>
        <w:t xml:space="preserve">內部控制</w:t>
      </w:r>
    </w:p>
    <w:p>
      <w:pPr>
        <w:pStyle w:val="FirstParagraph"/>
      </w:pPr>
      <w:r>
        <w:rPr>
          <w:rFonts w:hint="eastAsia"/>
        </w:rPr>
        <w:t xml:space="preserve">為保證經營活動的有效性、財務報告的可靠性、法律法規的遵循性而採取的各種政策和程序。</w:t>
      </w:r>
    </w:p>
    <w:bookmarkEnd w:id="34"/>
    <w:bookmarkEnd w:id="35"/>
    <w:bookmarkStart w:id="69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  <w:r>
        <w:t xml:space="preserve"> </w:t>
      </w:r>
    </w:p>
    <w:bookmarkStart w:id="41" w:name="預算管理"/>
    <w:p>
      <w:pPr>
        <w:pStyle w:val="Heading3"/>
      </w:pPr>
      <w:r>
        <w:t xml:space="preserve">5.1 </w:t>
      </w:r>
      <w:r>
        <w:rPr>
          <w:rFonts w:hint="eastAsia"/>
        </w:rPr>
        <w:t xml:space="preserve">預算管理</w:t>
      </w:r>
    </w:p>
    <w:bookmarkStart w:id="36" w:name="預算編制流程"/>
    <w:p>
      <w:pPr>
        <w:pStyle w:val="Heading4"/>
      </w:pPr>
      <w:r>
        <w:t xml:space="preserve">5.1.1 </w:t>
      </w:r>
      <w:r>
        <w:rPr>
          <w:rFonts w:hint="eastAsia"/>
        </w:rPr>
        <w:t xml:space="preserve">預算編制流程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財務部門制定預算編制指引與時間表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各部門提交本部門預算需求與計劃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財務部門整合各部門預算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財務主管審核預算初稿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總院長審批年度預算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財務部門分解並下達預算</w:t>
      </w:r>
    </w:p>
    <w:bookmarkEnd w:id="36"/>
    <w:bookmarkStart w:id="37" w:name="預算編制原則"/>
    <w:p>
      <w:pPr>
        <w:pStyle w:val="Heading4"/>
      </w:pPr>
      <w:r>
        <w:t xml:space="preserve">5.1.2 </w:t>
      </w:r>
      <w:r>
        <w:rPr>
          <w:rFonts w:hint="eastAsia"/>
        </w:rPr>
        <w:t xml:space="preserve">預算編制原則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目標導向：與機構戰略目標相一致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全面性：涵蓋所有業務與運營活動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可行性：基於合理預測，切實可行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彈性：保留適當調整空間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參與性：各部門充分參與制定過程</w:t>
      </w:r>
    </w:p>
    <w:bookmarkEnd w:id="37"/>
    <w:bookmarkStart w:id="38" w:name="預算項目"/>
    <w:p>
      <w:pPr>
        <w:pStyle w:val="Heading4"/>
      </w:pPr>
      <w:r>
        <w:t xml:space="preserve">5.1.3 </w:t>
      </w:r>
      <w:r>
        <w:rPr>
          <w:rFonts w:hint="eastAsia"/>
        </w:rPr>
        <w:t xml:space="preserve">預算項目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收入預算：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治療服務收入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諮詢評估收入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其他服務收入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支出預算：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人力資源支出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設備採購與維護支出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場地租賃支出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行政及運營支出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市場推廣支出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教育培訓支出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資本預算：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設備更新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裝修工程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信息系統投資</w:t>
      </w:r>
    </w:p>
    <w:bookmarkEnd w:id="38"/>
    <w:bookmarkStart w:id="39" w:name="預算執行與監控"/>
    <w:p>
      <w:pPr>
        <w:pStyle w:val="Heading4"/>
      </w:pPr>
      <w:r>
        <w:t xml:space="preserve">5.1.4 </w:t>
      </w:r>
      <w:r>
        <w:rPr>
          <w:rFonts w:hint="eastAsia"/>
        </w:rPr>
        <w:t xml:space="preserve">預算執行與監控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各部門依據批准的預算執行財務活動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財務部門每月編制預算執行報告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分析預算差異原因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必要時調整預算實施計劃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重大預算調整需執行審批程序</w:t>
      </w:r>
    </w:p>
    <w:bookmarkEnd w:id="39"/>
    <w:bookmarkStart w:id="40" w:name="年度預算評估"/>
    <w:p>
      <w:pPr>
        <w:pStyle w:val="Heading4"/>
      </w:pPr>
      <w:r>
        <w:t xml:space="preserve">5.1.5 </w:t>
      </w:r>
      <w:r>
        <w:rPr>
          <w:rFonts w:hint="eastAsia"/>
        </w:rPr>
        <w:t xml:space="preserve">年度預算評估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年度終了進行預算完成情況評估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分析預算與實際差異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評估預算編制的準確性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總結經驗並改進預算管理流程</w:t>
      </w:r>
    </w:p>
    <w:bookmarkEnd w:id="40"/>
    <w:bookmarkEnd w:id="41"/>
    <w:bookmarkStart w:id="47" w:name="收入管理"/>
    <w:p>
      <w:pPr>
        <w:pStyle w:val="Heading3"/>
      </w:pPr>
      <w:r>
        <w:t xml:space="preserve">5.2 </w:t>
      </w:r>
      <w:r>
        <w:rPr>
          <w:rFonts w:hint="eastAsia"/>
        </w:rPr>
        <w:t xml:space="preserve">收入管理</w:t>
      </w:r>
    </w:p>
    <w:bookmarkStart w:id="42" w:name="收費標準制定"/>
    <w:p>
      <w:pPr>
        <w:pStyle w:val="Heading4"/>
      </w:pPr>
      <w:r>
        <w:t xml:space="preserve">5.2.1 </w:t>
      </w:r>
      <w:r>
        <w:rPr>
          <w:rFonts w:hint="eastAsia"/>
        </w:rPr>
        <w:t xml:space="preserve">收費標準制定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根據服務成本、市場情況制定收費標準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制定各類服務項目價格表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收費標準調整需經審批流程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確保符合相關法規要求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定期評估和優化收費結構</w:t>
      </w:r>
    </w:p>
    <w:bookmarkEnd w:id="42"/>
    <w:bookmarkStart w:id="43" w:name="收費與收款流程"/>
    <w:p>
      <w:pPr>
        <w:pStyle w:val="Heading4"/>
      </w:pPr>
      <w:r>
        <w:t xml:space="preserve">5.2.2 </w:t>
      </w:r>
      <w:r>
        <w:rPr>
          <w:rFonts w:hint="eastAsia"/>
        </w:rPr>
        <w:t xml:space="preserve">收費與收款流程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前台根據服務項目開具收費單據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患者可選擇現金、信用卡或移動支付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每筆收款即時錄入系統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出納清點現金並與系統記錄核對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開具正式收據給患者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每日營業結束結算當日收入</w:t>
      </w:r>
    </w:p>
    <w:bookmarkEnd w:id="43"/>
    <w:bookmarkStart w:id="44" w:name="保險給付申請與管理"/>
    <w:p>
      <w:pPr>
        <w:pStyle w:val="Heading4"/>
      </w:pPr>
      <w:r>
        <w:t xml:space="preserve">5.2.3 </w:t>
      </w:r>
      <w:r>
        <w:rPr>
          <w:rFonts w:hint="eastAsia"/>
        </w:rPr>
        <w:t xml:space="preserve">保險給付申請與管理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確認患者保險適用範圍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準確填寫保險理賠資料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按規定時限提交保險申請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保險給付款項核對與記錄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跟蹤保險給付進度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處理保險拒付或爭議</w:t>
      </w:r>
    </w:p>
    <w:bookmarkEnd w:id="44"/>
    <w:bookmarkStart w:id="45" w:name="收入確認與記錄"/>
    <w:p>
      <w:pPr>
        <w:pStyle w:val="Heading4"/>
      </w:pPr>
      <w:r>
        <w:t xml:space="preserve">5.2.4 </w:t>
      </w:r>
      <w:r>
        <w:rPr>
          <w:rFonts w:hint="eastAsia"/>
        </w:rPr>
        <w:t xml:space="preserve">收入確認與記錄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服務提供完成後確認收入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按權責發生制原則進行會計處理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定期與業務系統數據核對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嚴格區分不同類別收入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妥善保存收入相關單據</w:t>
      </w:r>
    </w:p>
    <w:bookmarkEnd w:id="45"/>
    <w:bookmarkStart w:id="46" w:name="應收賬款管理"/>
    <w:p>
      <w:pPr>
        <w:pStyle w:val="Heading4"/>
      </w:pPr>
      <w:r>
        <w:t xml:space="preserve">5.2.5 </w:t>
      </w:r>
      <w:r>
        <w:rPr>
          <w:rFonts w:hint="eastAsia"/>
        </w:rPr>
        <w:t xml:space="preserve">應收賬款管理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建立應收賬款台帳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定期進行賬齡分析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制定催收措施與流程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定期與債務人核對賬目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評估壞賬風險並計提準備金</w:t>
      </w:r>
    </w:p>
    <w:bookmarkEnd w:id="46"/>
    <w:bookmarkEnd w:id="47"/>
    <w:bookmarkStart w:id="53" w:name="支出管理"/>
    <w:p>
      <w:pPr>
        <w:pStyle w:val="Heading3"/>
      </w:pPr>
      <w:r>
        <w:t xml:space="preserve">5.3 </w:t>
      </w:r>
      <w:r>
        <w:rPr>
          <w:rFonts w:hint="eastAsia"/>
        </w:rPr>
        <w:t xml:space="preserve">支出管理</w:t>
      </w:r>
    </w:p>
    <w:bookmarkStart w:id="48" w:name="採購與支付授權"/>
    <w:p>
      <w:pPr>
        <w:pStyle w:val="Heading4"/>
      </w:pPr>
      <w:r>
        <w:t xml:space="preserve">5.3.1 </w:t>
      </w:r>
      <w:r>
        <w:rPr>
          <w:rFonts w:hint="eastAsia"/>
        </w:rPr>
        <w:t xml:space="preserve">採購與支付授權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制定不同層級的採購與支付權限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建立採購申請與審批流程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重大採購需執行招標程序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按規定簽署採購合同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建立供應商評估機制</w:t>
      </w:r>
    </w:p>
    <w:bookmarkEnd w:id="48"/>
    <w:bookmarkStart w:id="49" w:name="費用報銷管理"/>
    <w:p>
      <w:pPr>
        <w:pStyle w:val="Heading4"/>
      </w:pPr>
      <w:r>
        <w:t xml:space="preserve">5.3.2 </w:t>
      </w:r>
      <w:r>
        <w:rPr>
          <w:rFonts w:hint="eastAsia"/>
        </w:rPr>
        <w:t xml:space="preserve">費用報銷管理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制定費用報銷標準與流程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費用報銷需提供合法票據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按權限進行逐級審批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明確報銷時限要求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確保報銷費用符合預算</w:t>
      </w:r>
    </w:p>
    <w:bookmarkEnd w:id="49"/>
    <w:bookmarkStart w:id="50" w:name="薪資管理"/>
    <w:p>
      <w:pPr>
        <w:pStyle w:val="Heading4"/>
      </w:pPr>
      <w:r>
        <w:t xml:space="preserve">5.3.3 </w:t>
      </w:r>
      <w:r>
        <w:rPr>
          <w:rFonts w:hint="eastAsia"/>
        </w:rPr>
        <w:t xml:space="preserve">薪資管理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建立薪資結構與計算標準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定期核算薪資並記錄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按時發放薪資並確認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嚴格執行扣繳稅款與保險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確保薪資資料保密</w:t>
      </w:r>
    </w:p>
    <w:bookmarkEnd w:id="50"/>
    <w:bookmarkStart w:id="51" w:name="稅務管理"/>
    <w:p>
      <w:pPr>
        <w:pStyle w:val="Heading4"/>
      </w:pPr>
      <w:r>
        <w:t xml:space="preserve">5.3.4 </w:t>
      </w:r>
      <w:r>
        <w:rPr>
          <w:rFonts w:hint="eastAsia"/>
        </w:rPr>
        <w:t xml:space="preserve">稅務管理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按規定進行稅務登記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依法計算各類稅費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按時申報與繳納稅款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保存完整的稅務記錄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定期接受稅務檢查</w:t>
      </w:r>
    </w:p>
    <w:bookmarkEnd w:id="51"/>
    <w:bookmarkStart w:id="52" w:name="支出分析與控制"/>
    <w:p>
      <w:pPr>
        <w:pStyle w:val="Heading4"/>
      </w:pPr>
      <w:r>
        <w:t xml:space="preserve">5.3.5 </w:t>
      </w:r>
      <w:r>
        <w:rPr>
          <w:rFonts w:hint="eastAsia"/>
        </w:rPr>
        <w:t xml:space="preserve">支出分析與控制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定期分析各類支出情況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與預算進行比較分析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識別異常支出並調查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提出成本控制建議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制定成本優化措施</w:t>
      </w:r>
    </w:p>
    <w:bookmarkEnd w:id="52"/>
    <w:bookmarkEnd w:id="53"/>
    <w:bookmarkStart w:id="58" w:name="資產管理"/>
    <w:p>
      <w:pPr>
        <w:pStyle w:val="Heading3"/>
      </w:pPr>
      <w:r>
        <w:t xml:space="preserve">5.4 </w:t>
      </w:r>
      <w:r>
        <w:rPr>
          <w:rFonts w:hint="eastAsia"/>
        </w:rPr>
        <w:t xml:space="preserve">資產管理</w:t>
      </w:r>
    </w:p>
    <w:bookmarkStart w:id="54" w:name="固定資產管理"/>
    <w:p>
      <w:pPr>
        <w:pStyle w:val="Heading4"/>
      </w:pPr>
      <w:r>
        <w:t xml:space="preserve">5.4.1 </w:t>
      </w:r>
      <w:r>
        <w:rPr>
          <w:rFonts w:hint="eastAsia"/>
        </w:rPr>
        <w:t xml:space="preserve">固定資產管理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制定固定資產分類與編碼標準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建立固定資產台帳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執行固定資產定期盤點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規範資產轉移與報廢流程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按規定計提折舊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定期評估資產使用效率</w:t>
      </w:r>
    </w:p>
    <w:bookmarkEnd w:id="54"/>
    <w:bookmarkStart w:id="55" w:name="庫存管理"/>
    <w:p>
      <w:pPr>
        <w:pStyle w:val="Heading4"/>
      </w:pPr>
      <w:r>
        <w:t xml:space="preserve">5.4.2 </w:t>
      </w:r>
      <w:r>
        <w:rPr>
          <w:rFonts w:hint="eastAsia"/>
        </w:rPr>
        <w:t xml:space="preserve">庫存管理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建立庫存材料分類與編碼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制定庫存管理流程與制度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定期盤點庫存並核對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分析庫存周轉情況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控制庫存水平，避免積壓</w:t>
      </w:r>
    </w:p>
    <w:bookmarkEnd w:id="55"/>
    <w:bookmarkStart w:id="56" w:name="現金與銀行存款管理"/>
    <w:p>
      <w:pPr>
        <w:pStyle w:val="Heading4"/>
      </w:pPr>
      <w:r>
        <w:t xml:space="preserve">5.4.3 </w:t>
      </w:r>
      <w:r>
        <w:rPr>
          <w:rFonts w:hint="eastAsia"/>
        </w:rPr>
        <w:t xml:space="preserve">現金與銀行存款管理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制定現金限額與保管標準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規範現金收付與保管流程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定期核對銀行賬戶餘額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嚴格控制銀行賬戶的開立與使用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定期進行銀行對賬</w:t>
      </w:r>
    </w:p>
    <w:bookmarkEnd w:id="56"/>
    <w:bookmarkStart w:id="57" w:name="無形資產管理"/>
    <w:p>
      <w:pPr>
        <w:pStyle w:val="Heading4"/>
      </w:pPr>
      <w:r>
        <w:t xml:space="preserve">5.4.4 </w:t>
      </w:r>
      <w:r>
        <w:rPr>
          <w:rFonts w:hint="eastAsia"/>
        </w:rPr>
        <w:t xml:space="preserve">無形資產管理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識別與記錄無形資產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評估無形資產價值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保護知識產權與商譽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按規定進行攤銷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定期評估無形資產狀況</w:t>
      </w:r>
    </w:p>
    <w:bookmarkEnd w:id="57"/>
    <w:bookmarkEnd w:id="58"/>
    <w:bookmarkStart w:id="63" w:name="財務報表與分析"/>
    <w:p>
      <w:pPr>
        <w:pStyle w:val="Heading3"/>
      </w:pPr>
      <w:r>
        <w:t xml:space="preserve">5.5 </w:t>
      </w:r>
      <w:r>
        <w:rPr>
          <w:rFonts w:hint="eastAsia"/>
        </w:rPr>
        <w:t xml:space="preserve">財務報表與分析</w:t>
      </w:r>
    </w:p>
    <w:bookmarkStart w:id="59" w:name="財務報表編制"/>
    <w:p>
      <w:pPr>
        <w:pStyle w:val="Heading4"/>
      </w:pPr>
      <w:r>
        <w:t xml:space="preserve">5.5.1 </w:t>
      </w:r>
      <w:r>
        <w:rPr>
          <w:rFonts w:hint="eastAsia"/>
        </w:rPr>
        <w:t xml:space="preserve">財務報表編制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按月編制財務報表，包括：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資產負債表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損益表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現金流量表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預算執行報告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確保報表準確、及時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嚴格執行會計準則要求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保存完整的編制依據和過程資料</w:t>
      </w:r>
    </w:p>
    <w:bookmarkEnd w:id="59"/>
    <w:bookmarkStart w:id="60" w:name="財務分析"/>
    <w:p>
      <w:pPr>
        <w:pStyle w:val="Heading4"/>
      </w:pPr>
      <w:r>
        <w:t xml:space="preserve">5.5.2 </w:t>
      </w:r>
      <w:r>
        <w:rPr>
          <w:rFonts w:hint="eastAsia"/>
        </w:rPr>
        <w:t xml:space="preserve">財務分析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進行財務比率分析：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盈利能力分析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償債能力分析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營運能力分析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成長能力分析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進行趨勢分析與同業比較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識別重要財務指標變化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分析業務與財務的關聯性</w:t>
      </w:r>
    </w:p>
    <w:bookmarkEnd w:id="60"/>
    <w:bookmarkStart w:id="61" w:name="管理報表"/>
    <w:p>
      <w:pPr>
        <w:pStyle w:val="Heading4"/>
      </w:pPr>
      <w:r>
        <w:t xml:space="preserve">5.5.3 </w:t>
      </w:r>
      <w:r>
        <w:rPr>
          <w:rFonts w:hint="eastAsia"/>
        </w:rPr>
        <w:t xml:space="preserve">管理報表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設計並生成各類管理分析報表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提供各部門所需財務數據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定期向管理層提交財務分析報告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為經營決策提供財務參考</w:t>
      </w:r>
    </w:p>
    <w:bookmarkEnd w:id="61"/>
    <w:bookmarkStart w:id="62" w:name="財務報告發布"/>
    <w:p>
      <w:pPr>
        <w:pStyle w:val="Heading4"/>
      </w:pPr>
      <w:r>
        <w:t xml:space="preserve">5.5.4 </w:t>
      </w:r>
      <w:r>
        <w:rPr>
          <w:rFonts w:hint="eastAsia"/>
        </w:rPr>
        <w:t xml:space="preserve">財務報告發布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按規定向相關方提供財務報告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確保財務資訊披露的合規性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保持財務報告的一致性與可比性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保護敏感財務資訊的安全</w:t>
      </w:r>
    </w:p>
    <w:bookmarkEnd w:id="62"/>
    <w:bookmarkEnd w:id="63"/>
    <w:bookmarkStart w:id="68" w:name="內部審計與監控"/>
    <w:p>
      <w:pPr>
        <w:pStyle w:val="Heading3"/>
      </w:pPr>
      <w:r>
        <w:t xml:space="preserve">5.6 </w:t>
      </w:r>
      <w:r>
        <w:rPr>
          <w:rFonts w:hint="eastAsia"/>
        </w:rPr>
        <w:t xml:space="preserve">內部審計與監控</w:t>
      </w:r>
    </w:p>
    <w:bookmarkStart w:id="64" w:name="內部控制體系"/>
    <w:p>
      <w:pPr>
        <w:pStyle w:val="Heading4"/>
      </w:pPr>
      <w:r>
        <w:t xml:space="preserve">5.6.1 </w:t>
      </w:r>
      <w:r>
        <w:rPr>
          <w:rFonts w:hint="eastAsia"/>
        </w:rPr>
        <w:t xml:space="preserve">內部控制體系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建立健全的內部控制制度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明確各崗位職責與權限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實行關鍵崗位職責分離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建立審核與監督機制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定期評估內控體系有效性</w:t>
      </w:r>
    </w:p>
    <w:bookmarkEnd w:id="64"/>
    <w:bookmarkStart w:id="65" w:name="內部審計"/>
    <w:p>
      <w:pPr>
        <w:pStyle w:val="Heading4"/>
      </w:pPr>
      <w:r>
        <w:t xml:space="preserve">5.6.2 </w:t>
      </w:r>
      <w:r>
        <w:rPr>
          <w:rFonts w:hint="eastAsia"/>
        </w:rPr>
        <w:t xml:space="preserve">內部審計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制定年度內部審計計劃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定期進行財務專項審計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對重點領域進行風險評估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提出內部控制改進建議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跟蹤審計發現問題的改進情況</w:t>
      </w:r>
    </w:p>
    <w:bookmarkEnd w:id="65"/>
    <w:bookmarkStart w:id="66" w:name="風險管理"/>
    <w:p>
      <w:pPr>
        <w:pStyle w:val="Heading4"/>
      </w:pPr>
      <w:r>
        <w:t xml:space="preserve">5.6.3 </w:t>
      </w:r>
      <w:r>
        <w:rPr>
          <w:rFonts w:hint="eastAsia"/>
        </w:rPr>
        <w:t xml:space="preserve">風險管理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識別主要財務風險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評估風險發生可能性與影響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制定風險應對策略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建立財務風險預警機制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</w:rPr>
        <w:t xml:space="preserve">定期檢討風險管理成效</w:t>
      </w:r>
    </w:p>
    <w:bookmarkEnd w:id="66"/>
    <w:bookmarkStart w:id="67" w:name="反舞弊機制"/>
    <w:p>
      <w:pPr>
        <w:pStyle w:val="Heading4"/>
      </w:pPr>
      <w:r>
        <w:t xml:space="preserve">5.6.4 </w:t>
      </w:r>
      <w:r>
        <w:rPr>
          <w:rFonts w:hint="eastAsia"/>
        </w:rPr>
        <w:t xml:space="preserve">反舞弊機制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建立財務舞弊防控制度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實施重點環節監控措施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設立舉報渠道與處理機制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開展反舞弊宣導與培訓</w:t>
      </w:r>
    </w:p>
    <w:p>
      <w:pPr>
        <w:pStyle w:val="Compact"/>
        <w:numPr>
          <w:ilvl w:val="0"/>
          <w:numId w:val="1039"/>
        </w:numPr>
      </w:pPr>
      <w:r>
        <w:rPr>
          <w:rFonts w:hint="eastAsia"/>
        </w:rPr>
        <w:t xml:space="preserve">及時調查處理舞弊事件</w:t>
      </w:r>
    </w:p>
    <w:bookmarkEnd w:id="67"/>
    <w:bookmarkEnd w:id="68"/>
    <w:bookmarkEnd w:id="69"/>
    <w:bookmarkStart w:id="74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  <w:r>
        <w:t xml:space="preserve"> </w:t>
      </w:r>
    </w:p>
    <w:bookmarkStart w:id="70" w:name="上階文件"/>
    <w:p>
      <w:pPr>
        <w:pStyle w:val="Heading3"/>
      </w:pPr>
      <w:r>
        <w:t xml:space="preserve">6.1 </w:t>
      </w:r>
      <w:r>
        <w:rPr>
          <w:rFonts w:hint="eastAsia"/>
        </w:rPr>
        <w:t xml:space="preserve">上階文件</w:t>
      </w:r>
    </w:p>
    <w:p>
      <w:pPr>
        <w:pStyle w:val="Compact"/>
        <w:numPr>
          <w:ilvl w:val="0"/>
          <w:numId w:val="1040"/>
        </w:numPr>
      </w:pPr>
      <w:r>
        <w:t xml:space="preserve">QM-M001 </w:t>
      </w:r>
      <w:r>
        <w:rPr>
          <w:rFonts w:hint="eastAsia"/>
        </w:rPr>
        <w:t xml:space="preserve">Ohealth品質手冊</w:t>
      </w:r>
    </w:p>
    <w:bookmarkEnd w:id="70"/>
    <w:bookmarkStart w:id="71" w:name="平行文件"/>
    <w:p>
      <w:pPr>
        <w:pStyle w:val="Heading3"/>
      </w:pPr>
      <w:r>
        <w:t xml:space="preserve">6.2 </w:t>
      </w:r>
      <w:r>
        <w:rPr>
          <w:rFonts w:hint="eastAsia"/>
        </w:rPr>
        <w:t xml:space="preserve">平行文件</w:t>
      </w:r>
    </w:p>
    <w:p>
      <w:pPr>
        <w:pStyle w:val="Compact"/>
        <w:numPr>
          <w:ilvl w:val="0"/>
          <w:numId w:val="1041"/>
        </w:numPr>
      </w:pPr>
      <w:r>
        <w:t xml:space="preserve">QM-P001 </w:t>
      </w:r>
      <w:r>
        <w:rPr>
          <w:rFonts w:hint="eastAsia"/>
        </w:rPr>
        <w:t xml:space="preserve">文件控制程序</w:t>
      </w:r>
    </w:p>
    <w:p>
      <w:pPr>
        <w:pStyle w:val="Compact"/>
        <w:numPr>
          <w:ilvl w:val="0"/>
          <w:numId w:val="1041"/>
        </w:numPr>
      </w:pPr>
      <w:r>
        <w:t xml:space="preserve">QM-P002 </w:t>
      </w:r>
      <w:r>
        <w:rPr>
          <w:rFonts w:hint="eastAsia"/>
        </w:rPr>
        <w:t xml:space="preserve">記錄控制程序</w:t>
      </w:r>
    </w:p>
    <w:p>
      <w:pPr>
        <w:pStyle w:val="Compact"/>
        <w:numPr>
          <w:ilvl w:val="0"/>
          <w:numId w:val="1041"/>
        </w:numPr>
      </w:pPr>
      <w:r>
        <w:t xml:space="preserve">QM-P006 </w:t>
      </w:r>
      <w:r>
        <w:rPr>
          <w:rFonts w:hint="eastAsia"/>
        </w:rPr>
        <w:t xml:space="preserve">管理審查程序</w:t>
      </w:r>
    </w:p>
    <w:p>
      <w:pPr>
        <w:pStyle w:val="Compact"/>
        <w:numPr>
          <w:ilvl w:val="0"/>
          <w:numId w:val="1041"/>
        </w:numPr>
      </w:pPr>
      <w:r>
        <w:t xml:space="preserve">QM-P007 </w:t>
      </w:r>
      <w:r>
        <w:rPr>
          <w:rFonts w:hint="eastAsia"/>
        </w:rPr>
        <w:t xml:space="preserve">設備管理程序</w:t>
      </w:r>
    </w:p>
    <w:bookmarkEnd w:id="71"/>
    <w:bookmarkStart w:id="72" w:name="下階文件"/>
    <w:p>
      <w:pPr>
        <w:pStyle w:val="Heading3"/>
      </w:pPr>
      <w:r>
        <w:t xml:space="preserve">6.3 </w:t>
      </w:r>
      <w:r>
        <w:rPr>
          <w:rFonts w:hint="eastAsia"/>
        </w:rPr>
        <w:t xml:space="preserve">下階文件</w:t>
      </w:r>
    </w:p>
    <w:p>
      <w:pPr>
        <w:pStyle w:val="Compact"/>
        <w:numPr>
          <w:ilvl w:val="0"/>
          <w:numId w:val="1042"/>
        </w:numPr>
      </w:pPr>
      <w:r>
        <w:t xml:space="preserve">FN-I001 </w:t>
      </w:r>
      <w:r>
        <w:rPr>
          <w:rFonts w:hint="eastAsia"/>
        </w:rPr>
        <w:t xml:space="preserve">預算編制指導書</w:t>
      </w:r>
    </w:p>
    <w:p>
      <w:pPr>
        <w:pStyle w:val="Compact"/>
        <w:numPr>
          <w:ilvl w:val="0"/>
          <w:numId w:val="1042"/>
        </w:numPr>
      </w:pPr>
      <w:r>
        <w:t xml:space="preserve">FN-I002 </w:t>
      </w:r>
      <w:r>
        <w:rPr>
          <w:rFonts w:hint="eastAsia"/>
        </w:rPr>
        <w:t xml:space="preserve">收費標準操作指導書</w:t>
      </w:r>
    </w:p>
    <w:p>
      <w:pPr>
        <w:pStyle w:val="Compact"/>
        <w:numPr>
          <w:ilvl w:val="0"/>
          <w:numId w:val="1042"/>
        </w:numPr>
      </w:pPr>
      <w:r>
        <w:t xml:space="preserve">FN-I003 </w:t>
      </w:r>
      <w:r>
        <w:rPr>
          <w:rFonts w:hint="eastAsia"/>
        </w:rPr>
        <w:t xml:space="preserve">費用報銷指導書</w:t>
      </w:r>
    </w:p>
    <w:p>
      <w:pPr>
        <w:pStyle w:val="Compact"/>
        <w:numPr>
          <w:ilvl w:val="0"/>
          <w:numId w:val="1042"/>
        </w:numPr>
      </w:pPr>
      <w:r>
        <w:t xml:space="preserve">FN-I004 </w:t>
      </w:r>
      <w:r>
        <w:rPr>
          <w:rFonts w:hint="eastAsia"/>
        </w:rPr>
        <w:t xml:space="preserve">固定資產管理指導書</w:t>
      </w:r>
    </w:p>
    <w:bookmarkEnd w:id="72"/>
    <w:bookmarkStart w:id="73" w:name="表單"/>
    <w:p>
      <w:pPr>
        <w:pStyle w:val="Heading3"/>
      </w:pPr>
      <w:r>
        <w:t xml:space="preserve">6.4 </w:t>
      </w:r>
      <w:r>
        <w:rPr>
          <w:rFonts w:hint="eastAsia"/>
        </w:rPr>
        <w:t xml:space="preserve">表單</w:t>
      </w:r>
    </w:p>
    <w:p>
      <w:pPr>
        <w:pStyle w:val="Compact"/>
        <w:numPr>
          <w:ilvl w:val="0"/>
          <w:numId w:val="1043"/>
        </w:numPr>
      </w:pPr>
      <w:r>
        <w:t xml:space="preserve">FN-F001 </w:t>
      </w:r>
      <w:r>
        <w:rPr>
          <w:rFonts w:hint="eastAsia"/>
        </w:rPr>
        <w:t xml:space="preserve">預算申請表</w:t>
      </w:r>
    </w:p>
    <w:p>
      <w:pPr>
        <w:pStyle w:val="Compact"/>
        <w:numPr>
          <w:ilvl w:val="0"/>
          <w:numId w:val="1043"/>
        </w:numPr>
      </w:pPr>
      <w:r>
        <w:t xml:space="preserve">FN-F002 </w:t>
      </w:r>
      <w:r>
        <w:rPr>
          <w:rFonts w:hint="eastAsia"/>
        </w:rPr>
        <w:t xml:space="preserve">預算調整申請表</w:t>
      </w:r>
    </w:p>
    <w:p>
      <w:pPr>
        <w:pStyle w:val="Compact"/>
        <w:numPr>
          <w:ilvl w:val="0"/>
          <w:numId w:val="1043"/>
        </w:numPr>
      </w:pPr>
      <w:r>
        <w:t xml:space="preserve">FN-F003 </w:t>
      </w:r>
      <w:r>
        <w:rPr>
          <w:rFonts w:hint="eastAsia"/>
        </w:rPr>
        <w:t xml:space="preserve">費用報銷單</w:t>
      </w:r>
    </w:p>
    <w:p>
      <w:pPr>
        <w:pStyle w:val="Compact"/>
        <w:numPr>
          <w:ilvl w:val="0"/>
          <w:numId w:val="1043"/>
        </w:numPr>
      </w:pPr>
      <w:r>
        <w:t xml:space="preserve">FN-F004 </w:t>
      </w:r>
      <w:r>
        <w:rPr>
          <w:rFonts w:hint="eastAsia"/>
        </w:rPr>
        <w:t xml:space="preserve">採購申請表</w:t>
      </w:r>
    </w:p>
    <w:p>
      <w:pPr>
        <w:pStyle w:val="Compact"/>
        <w:numPr>
          <w:ilvl w:val="0"/>
          <w:numId w:val="1043"/>
        </w:numPr>
      </w:pPr>
      <w:r>
        <w:t xml:space="preserve">FN-F005 </w:t>
      </w:r>
      <w:r>
        <w:rPr>
          <w:rFonts w:hint="eastAsia"/>
        </w:rPr>
        <w:t xml:space="preserve">固定資產登記表</w:t>
      </w:r>
    </w:p>
    <w:p>
      <w:pPr>
        <w:pStyle w:val="Compact"/>
        <w:numPr>
          <w:ilvl w:val="0"/>
          <w:numId w:val="1043"/>
        </w:numPr>
      </w:pPr>
      <w:r>
        <w:t xml:space="preserve">FN-F006 </w:t>
      </w:r>
      <w:r>
        <w:rPr>
          <w:rFonts w:hint="eastAsia"/>
        </w:rPr>
        <w:t xml:space="preserve">現金/銀行日報表</w:t>
      </w:r>
    </w:p>
    <w:p>
      <w:pPr>
        <w:pStyle w:val="Compact"/>
        <w:numPr>
          <w:ilvl w:val="0"/>
          <w:numId w:val="1043"/>
        </w:numPr>
      </w:pPr>
      <w:r>
        <w:t xml:space="preserve">FN-F007 </w:t>
      </w:r>
      <w:r>
        <w:rPr>
          <w:rFonts w:hint="eastAsia"/>
        </w:rPr>
        <w:t xml:space="preserve">財務分析報告模板</w:t>
      </w:r>
    </w:p>
    <w:bookmarkEnd w:id="73"/>
    <w:bookmarkEnd w:id="74"/>
    <w:bookmarkEnd w:id="7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2025-04-16T05:33:07Z</dcterms:created>
  <dcterms:modified xsi:type="dcterms:W3CDTF">2025-04-16T05:33:07Z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