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hr-p002-人員培訓程序"/>
    <w:p>
      <w:pPr>
        <w:pStyle w:val="Heading1"/>
      </w:pPr>
      <w:r>
        <w:t xml:space="preserve">HR-P002 </w:t>
      </w:r>
      <w:r>
        <w:rPr>
          <w:rFonts w:hint="eastAsia"/>
        </w:rPr>
        <w:t xml:space="preserve">人員培訓程序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HR-P002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人員培訓程序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程序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培訓需求分析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培訓計劃制定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培訓實施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培訓評估與記錄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培訓改進機制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本程序旨在規範Ohealth物理治療體系人員培訓工作，確保系統性地提升員工專業知識、技能和職業素養，滿足機構發展和服務品質提升的需求，建立學習型組織文化，提高員工職業成長與發展機會。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本程序適用於Ohealth物理治療體系所有院所的全體員工，包括新進人員培訓、在職人員專業培訓、管理培訓及外部進修等各類培訓活動。</w:t>
      </w:r>
    </w:p>
    <w:bookmarkEnd w:id="22"/>
    <w:bookmarkStart w:id="28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批准年度培訓計劃與預算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監督培訓體系的運行與發展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審核關鍵職位的培訓成效評估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參與重要培訓活動的規劃與決策</w:t>
      </w:r>
    </w:p>
    <w:bookmarkEnd w:id="23"/>
    <w:bookmarkStart w:id="24" w:name="人力資源部門"/>
    <w:p>
      <w:pPr>
        <w:pStyle w:val="Heading3"/>
      </w:pPr>
      <w:r>
        <w:t xml:space="preserve">3.2 </w:t>
      </w:r>
      <w:r>
        <w:rPr>
          <w:rFonts w:hint="eastAsia"/>
        </w:rPr>
        <w:t xml:space="preserve">人力資源部門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制定培訓管理政策與流程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統籌協調整體培訓工作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組織需求調查與分析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編制年度培訓計劃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管理培訓資源與預算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監督培訓實施過程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評估培訓成效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維護培訓檔案與記錄</w:t>
      </w:r>
    </w:p>
    <w:bookmarkEnd w:id="24"/>
    <w:bookmarkStart w:id="25" w:name="各部門主管"/>
    <w:p>
      <w:pPr>
        <w:pStyle w:val="Heading3"/>
      </w:pPr>
      <w:r>
        <w:t xml:space="preserve">3.3 </w:t>
      </w:r>
      <w:r>
        <w:rPr>
          <w:rFonts w:hint="eastAsia"/>
        </w:rPr>
        <w:t xml:space="preserve">各部門主管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識別本部門培訓需求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提出培訓建議與計劃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協助開發專業培訓內容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支持下屬參與培訓活動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評估本部門培訓效果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提供培訓改進建議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擔任內部講師或指導者</w:t>
      </w:r>
    </w:p>
    <w:bookmarkEnd w:id="25"/>
    <w:bookmarkStart w:id="26" w:name="培訓講師導師"/>
    <w:p>
      <w:pPr>
        <w:pStyle w:val="Heading3"/>
      </w:pPr>
      <w:r>
        <w:t xml:space="preserve">3.4 </w:t>
      </w:r>
      <w:r>
        <w:rPr>
          <w:rFonts w:hint="eastAsia"/>
        </w:rPr>
        <w:t xml:space="preserve">培訓講師/導師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開發和更新培訓教材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按計劃實施培訓活動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評估學員學習效果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提供學習指導與回饋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收集培訓改進意見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持續提升培訓能力</w:t>
      </w:r>
    </w:p>
    <w:bookmarkEnd w:id="26"/>
    <w:bookmarkStart w:id="27" w:name="員工"/>
    <w:p>
      <w:pPr>
        <w:pStyle w:val="Heading3"/>
      </w:pPr>
      <w:r>
        <w:t xml:space="preserve">3.5 </w:t>
      </w:r>
      <w:r>
        <w:rPr>
          <w:rFonts w:hint="eastAsia"/>
        </w:rPr>
        <w:t xml:space="preserve">員工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積極參與培訓活動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遵守培訓相關規範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應用所學知識與技能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提供培訓回饋意見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參與同儕學習與分享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主動提出個人發展需求</w:t>
      </w:r>
    </w:p>
    <w:bookmarkEnd w:id="27"/>
    <w:bookmarkEnd w:id="28"/>
    <w:bookmarkStart w:id="38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9" w:name="培訓"/>
    <w:p>
      <w:pPr>
        <w:pStyle w:val="Heading3"/>
      </w:pPr>
      <w:r>
        <w:t xml:space="preserve">4.1 </w:t>
      </w:r>
      <w:r>
        <w:rPr>
          <w:rFonts w:hint="eastAsia"/>
        </w:rPr>
        <w:t xml:space="preserve">培訓</w:t>
      </w:r>
    </w:p>
    <w:p>
      <w:pPr>
        <w:pStyle w:val="FirstParagraph"/>
      </w:pPr>
      <w:r>
        <w:rPr>
          <w:rFonts w:hint="eastAsia"/>
        </w:rPr>
        <w:t xml:space="preserve">為使員工獲得工作所需的知識、技能和能力而進行的有計劃、有組織的學習活動。</w:t>
      </w:r>
    </w:p>
    <w:bookmarkEnd w:id="29"/>
    <w:bookmarkStart w:id="30" w:name="新進人員培訓"/>
    <w:p>
      <w:pPr>
        <w:pStyle w:val="Heading3"/>
      </w:pPr>
      <w:r>
        <w:t xml:space="preserve">4.2 </w:t>
      </w:r>
      <w:r>
        <w:rPr>
          <w:rFonts w:hint="eastAsia"/>
        </w:rPr>
        <w:t xml:space="preserve">新進人員培訓</w:t>
      </w:r>
    </w:p>
    <w:p>
      <w:pPr>
        <w:pStyle w:val="FirstParagraph"/>
      </w:pPr>
      <w:r>
        <w:rPr>
          <w:rFonts w:hint="eastAsia"/>
        </w:rPr>
        <w:t xml:space="preserve">為新加入組織的員工提供的入職培訓，包括組織介紹、制度流程、基本技能等內容。</w:t>
      </w:r>
    </w:p>
    <w:bookmarkEnd w:id="30"/>
    <w:bookmarkStart w:id="31" w:name="專業技能培訓"/>
    <w:p>
      <w:pPr>
        <w:pStyle w:val="Heading3"/>
      </w:pPr>
      <w:r>
        <w:t xml:space="preserve">4.3 </w:t>
      </w:r>
      <w:r>
        <w:rPr>
          <w:rFonts w:hint="eastAsia"/>
        </w:rPr>
        <w:t xml:space="preserve">專業技能培訓</w:t>
      </w:r>
    </w:p>
    <w:p>
      <w:pPr>
        <w:pStyle w:val="FirstParagraph"/>
      </w:pPr>
      <w:r>
        <w:rPr>
          <w:rFonts w:hint="eastAsia"/>
        </w:rPr>
        <w:t xml:space="preserve">針對特定專業領域的知識與技能提升所設計的培訓活動。</w:t>
      </w:r>
    </w:p>
    <w:bookmarkEnd w:id="31"/>
    <w:bookmarkStart w:id="32" w:name="管理技能培訓"/>
    <w:p>
      <w:pPr>
        <w:pStyle w:val="Heading3"/>
      </w:pPr>
      <w:r>
        <w:t xml:space="preserve">4.4 </w:t>
      </w:r>
      <w:r>
        <w:rPr>
          <w:rFonts w:hint="eastAsia"/>
        </w:rPr>
        <w:t xml:space="preserve">管理技能培訓</w:t>
      </w:r>
    </w:p>
    <w:p>
      <w:pPr>
        <w:pStyle w:val="FirstParagraph"/>
      </w:pPr>
      <w:r>
        <w:rPr>
          <w:rFonts w:hint="eastAsia"/>
        </w:rPr>
        <w:t xml:space="preserve">針對管理職位人員領導力、決策力、溝通力等管理能力提升所設計的培訓活動。</w:t>
      </w:r>
    </w:p>
    <w:bookmarkEnd w:id="32"/>
    <w:bookmarkStart w:id="33" w:name="法規與標準培訓"/>
    <w:p>
      <w:pPr>
        <w:pStyle w:val="Heading3"/>
      </w:pPr>
      <w:r>
        <w:t xml:space="preserve">4.5 </w:t>
      </w:r>
      <w:r>
        <w:rPr>
          <w:rFonts w:hint="eastAsia"/>
        </w:rPr>
        <w:t xml:space="preserve">法規與標準培訓</w:t>
      </w:r>
    </w:p>
    <w:p>
      <w:pPr>
        <w:pStyle w:val="FirstParagraph"/>
      </w:pPr>
      <w:r>
        <w:rPr>
          <w:rFonts w:hint="eastAsia"/>
        </w:rPr>
        <w:t xml:space="preserve">關於醫療法規、品質標準、安全規範等必要合規知識的培訓。</w:t>
      </w:r>
    </w:p>
    <w:bookmarkEnd w:id="33"/>
    <w:bookmarkStart w:id="34" w:name="內部培訓"/>
    <w:p>
      <w:pPr>
        <w:pStyle w:val="Heading3"/>
      </w:pPr>
      <w:r>
        <w:t xml:space="preserve">4.6 </w:t>
      </w:r>
      <w:r>
        <w:rPr>
          <w:rFonts w:hint="eastAsia"/>
        </w:rPr>
        <w:t xml:space="preserve">內部培訓</w:t>
      </w:r>
    </w:p>
    <w:p>
      <w:pPr>
        <w:pStyle w:val="FirstParagraph"/>
      </w:pPr>
      <w:r>
        <w:rPr>
          <w:rFonts w:hint="eastAsia"/>
        </w:rPr>
        <w:t xml:space="preserve">由組織內部資源設計與實施的培訓活動。</w:t>
      </w:r>
    </w:p>
    <w:bookmarkEnd w:id="34"/>
    <w:bookmarkStart w:id="35" w:name="外部培訓"/>
    <w:p>
      <w:pPr>
        <w:pStyle w:val="Heading3"/>
      </w:pPr>
      <w:r>
        <w:t xml:space="preserve">4.7 </w:t>
      </w:r>
      <w:r>
        <w:rPr>
          <w:rFonts w:hint="eastAsia"/>
        </w:rPr>
        <w:t xml:space="preserve">外部培訓</w:t>
      </w:r>
    </w:p>
    <w:p>
      <w:pPr>
        <w:pStyle w:val="FirstParagraph"/>
      </w:pPr>
      <w:r>
        <w:rPr>
          <w:rFonts w:hint="eastAsia"/>
        </w:rPr>
        <w:t xml:space="preserve">委託外部培訓機構或專業人士進行的培訓活動。</w:t>
      </w:r>
    </w:p>
    <w:bookmarkEnd w:id="35"/>
    <w:bookmarkStart w:id="36" w:name="培訓需求分析"/>
    <w:p>
      <w:pPr>
        <w:pStyle w:val="Heading3"/>
      </w:pPr>
      <w:r>
        <w:t xml:space="preserve">4.8 </w:t>
      </w:r>
      <w:r>
        <w:rPr>
          <w:rFonts w:hint="eastAsia"/>
        </w:rPr>
        <w:t xml:space="preserve">培訓需求分析</w:t>
      </w:r>
    </w:p>
    <w:p>
      <w:pPr>
        <w:pStyle w:val="FirstParagraph"/>
      </w:pPr>
      <w:r>
        <w:rPr>
          <w:rFonts w:hint="eastAsia"/>
        </w:rPr>
        <w:t xml:space="preserve">識別組織、部門和個人培訓需求的系統性過程。</w:t>
      </w:r>
    </w:p>
    <w:bookmarkEnd w:id="36"/>
    <w:bookmarkStart w:id="37" w:name="培訓評估"/>
    <w:p>
      <w:pPr>
        <w:pStyle w:val="Heading3"/>
      </w:pPr>
      <w:r>
        <w:t xml:space="preserve">4.9 </w:t>
      </w:r>
      <w:r>
        <w:rPr>
          <w:rFonts w:hint="eastAsia"/>
        </w:rPr>
        <w:t xml:space="preserve">培訓評估</w:t>
      </w:r>
    </w:p>
    <w:p>
      <w:pPr>
        <w:pStyle w:val="FirstParagraph"/>
      </w:pPr>
      <w:r>
        <w:rPr>
          <w:rFonts w:hint="eastAsia"/>
        </w:rPr>
        <w:t xml:space="preserve">測量培訓活動效果和影響的過程。</w:t>
      </w:r>
    </w:p>
    <w:bookmarkEnd w:id="37"/>
    <w:bookmarkEnd w:id="38"/>
    <w:bookmarkStart w:id="66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  <w:r>
        <w:t xml:space="preserve"> </w:t>
      </w:r>
    </w:p>
    <w:bookmarkStart w:id="43" w:name="培訓需求分析-1"/>
    <w:p>
      <w:pPr>
        <w:pStyle w:val="Heading3"/>
      </w:pPr>
      <w:r>
        <w:t xml:space="preserve">5.1 </w:t>
      </w:r>
      <w:r>
        <w:rPr>
          <w:rFonts w:hint="eastAsia"/>
        </w:rPr>
        <w:t xml:space="preserve">培訓需求分析</w:t>
      </w:r>
    </w:p>
    <w:bookmarkStart w:id="39" w:name="組織層面需求分析"/>
    <w:p>
      <w:pPr>
        <w:pStyle w:val="Heading4"/>
      </w:pPr>
      <w:r>
        <w:t xml:space="preserve">5.1.1 </w:t>
      </w:r>
      <w:r>
        <w:rPr>
          <w:rFonts w:hint="eastAsia"/>
        </w:rPr>
        <w:t xml:space="preserve">組織層面需求分析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根據組織戰略目標、發展規劃確定培訓方向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分析機構服務品質與患者滿意度資料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考量外部法規要求與行業標準變化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識別組織層面的能力差距與發展需求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確定年度培訓重點方向</w:t>
      </w:r>
    </w:p>
    <w:bookmarkEnd w:id="39"/>
    <w:bookmarkStart w:id="40" w:name="部門層面需求分析"/>
    <w:p>
      <w:pPr>
        <w:pStyle w:val="Heading4"/>
      </w:pPr>
      <w:r>
        <w:t xml:space="preserve">5.1.2 </w:t>
      </w:r>
      <w:r>
        <w:rPr>
          <w:rFonts w:hint="eastAsia"/>
        </w:rPr>
        <w:t xml:space="preserve">部門層面需求分析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各部門主管填寫《部門培訓需求調查表》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分析部門業務目標與現有能力差距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考量部門工作流程優化需求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結合部門績效評估結果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識別關鍵崗位能力提升需求</w:t>
      </w:r>
    </w:p>
    <w:bookmarkEnd w:id="40"/>
    <w:bookmarkStart w:id="41" w:name="個人層面需求分析"/>
    <w:p>
      <w:pPr>
        <w:pStyle w:val="Heading4"/>
      </w:pPr>
      <w:r>
        <w:t xml:space="preserve">5.1.3 </w:t>
      </w:r>
      <w:r>
        <w:rPr>
          <w:rFonts w:hint="eastAsia"/>
        </w:rPr>
        <w:t xml:space="preserve">個人層面需求分析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通過績效評估識別個人發展需求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員工填寫《個人發展計劃表》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主管與員工進行發展面談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考量職業生涯規劃需求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分析特定崗位勝任力要求</w:t>
      </w:r>
    </w:p>
    <w:bookmarkEnd w:id="41"/>
    <w:bookmarkStart w:id="42" w:name="需求分析報告"/>
    <w:p>
      <w:pPr>
        <w:pStyle w:val="Heading4"/>
      </w:pPr>
      <w:r>
        <w:t xml:space="preserve">5.1.4 </w:t>
      </w:r>
      <w:r>
        <w:rPr>
          <w:rFonts w:hint="eastAsia"/>
        </w:rPr>
        <w:t xml:space="preserve">需求分析報告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人力資源部門整合各層面需求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對需求進行分類與優先級排序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形成年度培訓需求分析報告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提交管理層審核討論</w:t>
      </w:r>
    </w:p>
    <w:bookmarkEnd w:id="42"/>
    <w:bookmarkEnd w:id="43"/>
    <w:bookmarkStart w:id="48" w:name="培訓計劃制定"/>
    <w:p>
      <w:pPr>
        <w:pStyle w:val="Heading3"/>
      </w:pPr>
      <w:r>
        <w:t xml:space="preserve">5.2 </w:t>
      </w:r>
      <w:r>
        <w:rPr>
          <w:rFonts w:hint="eastAsia"/>
        </w:rPr>
        <w:t xml:space="preserve">培訓計劃制定</w:t>
      </w:r>
    </w:p>
    <w:bookmarkStart w:id="44" w:name="年度培訓計劃"/>
    <w:p>
      <w:pPr>
        <w:pStyle w:val="Heading4"/>
      </w:pPr>
      <w:r>
        <w:t xml:space="preserve">5.2.1 </w:t>
      </w:r>
      <w:r>
        <w:rPr>
          <w:rFonts w:hint="eastAsia"/>
        </w:rPr>
        <w:t xml:space="preserve">年度培訓計劃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依據需求分析報告制定年度培訓計劃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計劃內容包括：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培訓目標與重點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各類培訓項目安排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培訓對象與人數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培訓時間與頻率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培訓方式與資源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培訓預算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預期成效評估方式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計劃提交總院長審批</w:t>
      </w:r>
    </w:p>
    <w:bookmarkEnd w:id="44"/>
    <w:bookmarkStart w:id="45" w:name="培訓類別規劃"/>
    <w:p>
      <w:pPr>
        <w:pStyle w:val="Heading4"/>
      </w:pPr>
      <w:r>
        <w:t xml:space="preserve">5.2.2 </w:t>
      </w:r>
      <w:r>
        <w:rPr>
          <w:rFonts w:hint="eastAsia"/>
        </w:rPr>
        <w:t xml:space="preserve">培訓類別規劃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新進人員培訓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機構介紹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企業文化與價值觀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規章制度與流程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專業基礎培訓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安全與急救培訓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專業技術培訓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物理治療新技術培訓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專業標準與操作規範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專業評估與診斷技能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臨床推理能力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特殊治療技術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管理能力培訓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領導力發展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團隊管理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溝通與衝突管理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績效管理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決策與問題解決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服務品質培訓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患者溝通技巧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服務禮儀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投訴處理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患者體驗提升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法規與安全培訓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醫療法規更新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職業安全規範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患者隱私保護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風險管理</w:t>
      </w:r>
    </w:p>
    <w:bookmarkEnd w:id="45"/>
    <w:bookmarkStart w:id="46" w:name="培訓資源規劃"/>
    <w:p>
      <w:pPr>
        <w:pStyle w:val="Heading4"/>
      </w:pPr>
      <w:r>
        <w:t xml:space="preserve">5.2.3 </w:t>
      </w:r>
      <w:r>
        <w:rPr>
          <w:rFonts w:hint="eastAsia"/>
        </w:rPr>
        <w:t xml:space="preserve">培訓資源規劃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內部講師資源確認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外部培訓資源評估與選擇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培訓場地與設備準備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培訓教材與工具開發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培訓預算分配</w:t>
      </w:r>
    </w:p>
    <w:bookmarkEnd w:id="46"/>
    <w:bookmarkStart w:id="47" w:name="部門培訓計劃"/>
    <w:p>
      <w:pPr>
        <w:pStyle w:val="Heading4"/>
      </w:pPr>
      <w:r>
        <w:t xml:space="preserve">5.2.4 </w:t>
      </w:r>
      <w:r>
        <w:rPr>
          <w:rFonts w:hint="eastAsia"/>
        </w:rPr>
        <w:t xml:space="preserve">部門培訓計劃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各部門根據年度計劃制定本部門培訓實施計劃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明確部門內部培訓安排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確定各崗位培訓優先順序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協調培訓與工作時間安排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由部門主管審核後提交人力資源部門</w:t>
      </w:r>
    </w:p>
    <w:bookmarkEnd w:id="47"/>
    <w:bookmarkEnd w:id="48"/>
    <w:bookmarkStart w:id="54" w:name="培訓實施"/>
    <w:p>
      <w:pPr>
        <w:pStyle w:val="Heading3"/>
      </w:pPr>
      <w:r>
        <w:t xml:space="preserve">5.3 </w:t>
      </w:r>
      <w:r>
        <w:rPr>
          <w:rFonts w:hint="eastAsia"/>
        </w:rPr>
        <w:t xml:space="preserve">培訓實施</w:t>
      </w:r>
    </w:p>
    <w:bookmarkStart w:id="49" w:name="培訓前準備"/>
    <w:p>
      <w:pPr>
        <w:pStyle w:val="Heading4"/>
      </w:pPr>
      <w:r>
        <w:t xml:space="preserve">5.3.1 </w:t>
      </w:r>
      <w:r>
        <w:rPr>
          <w:rFonts w:hint="eastAsia"/>
        </w:rPr>
        <w:t xml:space="preserve">培訓前準備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制定具體培訓方案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培訓通知發布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培訓主題與目標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培訓時間與地點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培訓對象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培訓內容摘要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參訓準備事項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講師準備與協調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培訓材料編制與審核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培訓場地與設備檢查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參訓人員工作安排協調</w:t>
      </w:r>
    </w:p>
    <w:bookmarkEnd w:id="49"/>
    <w:bookmarkStart w:id="50" w:name="培訓方式選擇"/>
    <w:p>
      <w:pPr>
        <w:pStyle w:val="Heading4"/>
      </w:pPr>
      <w:r>
        <w:t xml:space="preserve">5.3.2 </w:t>
      </w:r>
      <w:r>
        <w:rPr>
          <w:rFonts w:hint="eastAsia"/>
        </w:rPr>
        <w:t xml:space="preserve">培訓方式選擇</w:t>
      </w:r>
    </w:p>
    <w:p>
      <w:pPr>
        <w:pStyle w:val="FirstParagraph"/>
      </w:pPr>
      <w:r>
        <w:rPr>
          <w:rFonts w:hint="eastAsia"/>
        </w:rPr>
        <w:t xml:space="preserve">根據培訓目標與內容選擇適當的培訓方式：</w:t>
      </w:r>
      <w:r>
        <w:t xml:space="preserve"> </w:t>
      </w:r>
      <w:r>
        <w:t xml:space="preserve">- </w:t>
      </w:r>
      <w:r>
        <w:rPr>
          <w:rFonts w:hint="eastAsia"/>
        </w:rPr>
        <w:t xml:space="preserve">課堂授課</w:t>
      </w:r>
      <w:r>
        <w:t xml:space="preserve"> </w:t>
      </w:r>
      <w:r>
        <w:t xml:space="preserve">- </w:t>
      </w:r>
      <w:r>
        <w:rPr>
          <w:rFonts w:hint="eastAsia"/>
        </w:rPr>
        <w:t xml:space="preserve">案例討論</w:t>
      </w:r>
      <w:r>
        <w:t xml:space="preserve"> </w:t>
      </w:r>
      <w:r>
        <w:t xml:space="preserve">- </w:t>
      </w:r>
      <w:r>
        <w:rPr>
          <w:rFonts w:hint="eastAsia"/>
        </w:rPr>
        <w:t xml:space="preserve">實際操作演示</w:t>
      </w:r>
      <w:r>
        <w:t xml:space="preserve"> </w:t>
      </w:r>
      <w:r>
        <w:t xml:space="preserve">- </w:t>
      </w:r>
      <w:r>
        <w:rPr>
          <w:rFonts w:hint="eastAsia"/>
        </w:rPr>
        <w:t xml:space="preserve">角色扮演</w:t>
      </w:r>
      <w:r>
        <w:t xml:space="preserve"> </w:t>
      </w:r>
      <w:r>
        <w:t xml:space="preserve">- </w:t>
      </w:r>
      <w:r>
        <w:rPr>
          <w:rFonts w:hint="eastAsia"/>
        </w:rPr>
        <w:t xml:space="preserve">模擬演練</w:t>
      </w:r>
      <w:r>
        <w:t xml:space="preserve"> </w:t>
      </w:r>
      <w:r>
        <w:t xml:space="preserve">- </w:t>
      </w:r>
      <w:r>
        <w:rPr>
          <w:rFonts w:hint="eastAsia"/>
        </w:rPr>
        <w:t xml:space="preserve">線上學習</w:t>
      </w:r>
      <w:r>
        <w:t xml:space="preserve"> </w:t>
      </w:r>
      <w:r>
        <w:t xml:space="preserve">- </w:t>
      </w:r>
      <w:r>
        <w:rPr>
          <w:rFonts w:hint="eastAsia"/>
        </w:rPr>
        <w:t xml:space="preserve">工作坊</w:t>
      </w:r>
      <w:r>
        <w:t xml:space="preserve"> </w:t>
      </w:r>
      <w:r>
        <w:t xml:space="preserve">- </w:t>
      </w:r>
      <w:r>
        <w:rPr>
          <w:rFonts w:hint="eastAsia"/>
        </w:rPr>
        <w:t xml:space="preserve">導師制/師徒制</w:t>
      </w:r>
      <w:r>
        <w:t xml:space="preserve"> </w:t>
      </w:r>
      <w:r>
        <w:t xml:space="preserve">- </w:t>
      </w:r>
      <w:r>
        <w:rPr>
          <w:rFonts w:hint="eastAsia"/>
        </w:rPr>
        <w:t xml:space="preserve">崗位輪換</w:t>
      </w:r>
      <w:r>
        <w:t xml:space="preserve"> </w:t>
      </w:r>
      <w:r>
        <w:t xml:space="preserve">- </w:t>
      </w:r>
      <w:r>
        <w:rPr>
          <w:rFonts w:hint="eastAsia"/>
        </w:rPr>
        <w:t xml:space="preserve">外部參訪學習</w:t>
      </w:r>
    </w:p>
    <w:bookmarkEnd w:id="50"/>
    <w:bookmarkStart w:id="51" w:name="內部培訓實施"/>
    <w:p>
      <w:pPr>
        <w:pStyle w:val="Heading4"/>
      </w:pPr>
      <w:r>
        <w:t xml:space="preserve">5.3.3 </w:t>
      </w:r>
      <w:r>
        <w:rPr>
          <w:rFonts w:hint="eastAsia"/>
        </w:rPr>
        <w:t xml:space="preserve">內部培訓實施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按計劃開展內部培訓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培訓講師按教案進行授課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做好簽到與出勤記錄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收集培訓過程反饋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解決培訓中出現的問題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適時調整培訓內容與方法</w:t>
      </w:r>
    </w:p>
    <w:bookmarkEnd w:id="51"/>
    <w:bookmarkStart w:id="52" w:name="外部培訓管理"/>
    <w:p>
      <w:pPr>
        <w:pStyle w:val="Heading4"/>
      </w:pPr>
      <w:r>
        <w:t xml:space="preserve">5.3.4 </w:t>
      </w:r>
      <w:r>
        <w:rPr>
          <w:rFonts w:hint="eastAsia"/>
        </w:rPr>
        <w:t xml:space="preserve">外部培訓管理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選擇合適的外部培訓項目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評估外部培訓機構資質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辦理參訓報名與審批手續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參訓人員簽訂培訓協議（必要時）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跟進參訓情況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要求參訓人員提交學習報告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組織學習分享活動</w:t>
      </w:r>
    </w:p>
    <w:bookmarkEnd w:id="52"/>
    <w:bookmarkStart w:id="53" w:name="在崗培訓"/>
    <w:p>
      <w:pPr>
        <w:pStyle w:val="Heading4"/>
      </w:pPr>
      <w:r>
        <w:t xml:space="preserve">5.3.5 </w:t>
      </w:r>
      <w:r>
        <w:rPr>
          <w:rFonts w:hint="eastAsia"/>
        </w:rPr>
        <w:t xml:space="preserve">在崗培訓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實施”師徒制”或導師制度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制定在崗培訓計劃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定期進行技能指導與評價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記錄培訓進展與成果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階段性評估學習成效</w:t>
      </w:r>
    </w:p>
    <w:bookmarkEnd w:id="53"/>
    <w:bookmarkEnd w:id="54"/>
    <w:bookmarkStart w:id="60" w:name="培訓評估與記錄"/>
    <w:p>
      <w:pPr>
        <w:pStyle w:val="Heading3"/>
      </w:pPr>
      <w:r>
        <w:t xml:space="preserve">5.4 </w:t>
      </w:r>
      <w:r>
        <w:rPr>
          <w:rFonts w:hint="eastAsia"/>
        </w:rPr>
        <w:t xml:space="preserve">培訓評估與記錄</w:t>
      </w:r>
    </w:p>
    <w:bookmarkStart w:id="55" w:name="培訓反應評估"/>
    <w:p>
      <w:pPr>
        <w:pStyle w:val="Heading4"/>
      </w:pPr>
      <w:r>
        <w:t xml:space="preserve">5.4.1 </w:t>
      </w:r>
      <w:r>
        <w:rPr>
          <w:rFonts w:hint="eastAsia"/>
        </w:rPr>
        <w:t xml:space="preserve">培訓反應評估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培訓結束後收集學員反饋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使用《培訓滿意度調查表》評估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評估內容包括：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培訓內容相關性與實用性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講師教學能力與效果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培訓方法與互動性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培訓組織與安排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培訓環境與設施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改進建議</w:t>
      </w:r>
    </w:p>
    <w:bookmarkEnd w:id="55"/>
    <w:bookmarkStart w:id="56" w:name="學習成效評估"/>
    <w:p>
      <w:pPr>
        <w:pStyle w:val="Heading4"/>
      </w:pPr>
      <w:r>
        <w:t xml:space="preserve">5.4.2 </w:t>
      </w:r>
      <w:r>
        <w:rPr>
          <w:rFonts w:hint="eastAsia"/>
        </w:rPr>
        <w:t xml:space="preserve">學習成效評估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根據培訓目標選擇適當的評估方法：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知識測試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技能操作考核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案例分析評估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模擬情境應用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專題報告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與培訓前水平進行比較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確定知識技能提升程度</w:t>
      </w:r>
    </w:p>
    <w:bookmarkEnd w:id="56"/>
    <w:bookmarkStart w:id="57" w:name="行為轉化評估"/>
    <w:p>
      <w:pPr>
        <w:pStyle w:val="Heading4"/>
      </w:pPr>
      <w:r>
        <w:t xml:space="preserve">5.4.3 </w:t>
      </w:r>
      <w:r>
        <w:rPr>
          <w:rFonts w:hint="eastAsia"/>
        </w:rPr>
        <w:t xml:space="preserve">行為轉化評估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培訓後1-3個月進行跟蹤評估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主管觀察並評價學員行為變化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評估培訓內容在工作中的應用情況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使用《培訓應用情況跟蹤表》記錄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收集同事與患者的反饋意見</w:t>
      </w:r>
    </w:p>
    <w:bookmarkEnd w:id="57"/>
    <w:bookmarkStart w:id="58" w:name="績效影響評估"/>
    <w:p>
      <w:pPr>
        <w:pStyle w:val="Heading4"/>
      </w:pPr>
      <w:r>
        <w:t xml:space="preserve">5.4.4 </w:t>
      </w:r>
      <w:r>
        <w:rPr>
          <w:rFonts w:hint="eastAsia"/>
        </w:rPr>
        <w:t xml:space="preserve">績效影響評估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評估培訓對關鍵績效指標的影響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可能的評估指標：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服務品質提升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患者滿意度改善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工作效率提高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錯誤或投訴減少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業務量增長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員工滿意度與留任率提升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分析培訓投資回報率</w:t>
      </w:r>
    </w:p>
    <w:bookmarkEnd w:id="58"/>
    <w:bookmarkStart w:id="59" w:name="培訓記錄管理"/>
    <w:p>
      <w:pPr>
        <w:pStyle w:val="Heading4"/>
      </w:pPr>
      <w:r>
        <w:t xml:space="preserve">5.4.5 </w:t>
      </w:r>
      <w:r>
        <w:rPr>
          <w:rFonts w:hint="eastAsia"/>
        </w:rPr>
        <w:t xml:space="preserve">培訓記錄管理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建立完整的培訓檔案，包括：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培訓計劃與通知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培訓簽到表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培訓教材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評估測試結果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滿意度調查結果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學習證書複印件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更新員工個人培訓記錄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定期統計培訓數據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妥善保存培訓記錄至少3年</w:t>
      </w:r>
    </w:p>
    <w:bookmarkEnd w:id="59"/>
    <w:bookmarkEnd w:id="60"/>
    <w:bookmarkStart w:id="65" w:name="培訓改進機制"/>
    <w:p>
      <w:pPr>
        <w:pStyle w:val="Heading3"/>
      </w:pPr>
      <w:r>
        <w:t xml:space="preserve">5.5 </w:t>
      </w:r>
      <w:r>
        <w:rPr>
          <w:rFonts w:hint="eastAsia"/>
        </w:rPr>
        <w:t xml:space="preserve">培訓改進機制</w:t>
      </w:r>
    </w:p>
    <w:bookmarkStart w:id="61" w:name="培訓質量分析"/>
    <w:p>
      <w:pPr>
        <w:pStyle w:val="Heading4"/>
      </w:pPr>
      <w:r>
        <w:t xml:space="preserve">5.5.1 </w:t>
      </w:r>
      <w:r>
        <w:rPr>
          <w:rFonts w:hint="eastAsia"/>
        </w:rPr>
        <w:t xml:space="preserve">培訓質量分析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定期分析培訓評估結果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識別培訓中的優勢與不足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分析各類培訓方式的效果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評估內外部培訓資源質量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形成培訓質量分析報告</w:t>
      </w:r>
    </w:p>
    <w:bookmarkEnd w:id="61"/>
    <w:bookmarkStart w:id="62" w:name="持續改進措施"/>
    <w:p>
      <w:pPr>
        <w:pStyle w:val="Heading4"/>
      </w:pPr>
      <w:r>
        <w:t xml:space="preserve">5.5.2 </w:t>
      </w:r>
      <w:r>
        <w:rPr>
          <w:rFonts w:hint="eastAsia"/>
        </w:rPr>
        <w:t xml:space="preserve">持續改進措施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根據分析結果提出改進建議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優化培訓內容與教材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提升講師授課能力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改進培訓方法與手段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調整培訓資源配置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完善培訓管理流程</w:t>
      </w:r>
    </w:p>
    <w:bookmarkEnd w:id="62"/>
    <w:bookmarkStart w:id="63" w:name="講師發展"/>
    <w:p>
      <w:pPr>
        <w:pStyle w:val="Heading4"/>
      </w:pPr>
      <w:r>
        <w:t xml:space="preserve">5.5.3 </w:t>
      </w:r>
      <w:r>
        <w:rPr>
          <w:rFonts w:hint="eastAsia"/>
        </w:rPr>
        <w:t xml:space="preserve">講師發展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建立內部講師選拔與認證制度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提供講師培訓技巧培訓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組織講師經驗交流活動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建立講師激勵機制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評估與反饋講師表現</w:t>
      </w:r>
    </w:p>
    <w:bookmarkEnd w:id="63"/>
    <w:bookmarkStart w:id="64" w:name="培訓創新"/>
    <w:p>
      <w:pPr>
        <w:pStyle w:val="Heading4"/>
      </w:pPr>
      <w:r>
        <w:t xml:space="preserve">5.5.4 </w:t>
      </w:r>
      <w:r>
        <w:rPr>
          <w:rFonts w:hint="eastAsia"/>
        </w:rPr>
        <w:t xml:space="preserve">培訓創新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引入新的培訓方法與技術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開發數字化學習資源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建立知識管理平台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促進跨部門學習與分享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鼓勵自主學習與發展</w:t>
      </w:r>
    </w:p>
    <w:bookmarkEnd w:id="64"/>
    <w:bookmarkEnd w:id="65"/>
    <w:bookmarkEnd w:id="66"/>
    <w:bookmarkStart w:id="71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67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40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67"/>
    <w:bookmarkStart w:id="68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41"/>
        </w:numPr>
      </w:pPr>
      <w:r>
        <w:t xml:space="preserve">HR-P001 </w:t>
      </w:r>
      <w:r>
        <w:rPr>
          <w:rFonts w:hint="eastAsia"/>
        </w:rPr>
        <w:t xml:space="preserve">人員招聘程序</w:t>
      </w:r>
    </w:p>
    <w:p>
      <w:pPr>
        <w:pStyle w:val="Compact"/>
        <w:numPr>
          <w:ilvl w:val="0"/>
          <w:numId w:val="1041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41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41"/>
        </w:numPr>
      </w:pPr>
      <w:r>
        <w:t xml:space="preserve">QM-P006 </w:t>
      </w:r>
      <w:r>
        <w:rPr>
          <w:rFonts w:hint="eastAsia"/>
        </w:rPr>
        <w:t xml:space="preserve">管理審查程序</w:t>
      </w:r>
    </w:p>
    <w:bookmarkEnd w:id="68"/>
    <w:bookmarkStart w:id="69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42"/>
        </w:numPr>
      </w:pPr>
      <w:r>
        <w:t xml:space="preserve">HR-I001 </w:t>
      </w:r>
      <w:r>
        <w:rPr>
          <w:rFonts w:hint="eastAsia"/>
        </w:rPr>
        <w:t xml:space="preserve">新進人員訓練指導書</w:t>
      </w:r>
    </w:p>
    <w:p>
      <w:pPr>
        <w:pStyle w:val="Compact"/>
        <w:numPr>
          <w:ilvl w:val="0"/>
          <w:numId w:val="1042"/>
        </w:numPr>
      </w:pPr>
      <w:r>
        <w:t xml:space="preserve">HR-I002 </w:t>
      </w:r>
      <w:r>
        <w:rPr>
          <w:rFonts w:hint="eastAsia"/>
        </w:rPr>
        <w:t xml:space="preserve">院長職務說明書</w:t>
      </w:r>
    </w:p>
    <w:p>
      <w:pPr>
        <w:pStyle w:val="Compact"/>
        <w:numPr>
          <w:ilvl w:val="0"/>
          <w:numId w:val="1042"/>
        </w:numPr>
      </w:pPr>
      <w:r>
        <w:t xml:space="preserve">HR-I003 </w:t>
      </w:r>
      <w:r>
        <w:rPr>
          <w:rFonts w:hint="eastAsia"/>
        </w:rPr>
        <w:t xml:space="preserve">物理治療組長職務說明書</w:t>
      </w:r>
    </w:p>
    <w:p>
      <w:pPr>
        <w:pStyle w:val="Compact"/>
        <w:numPr>
          <w:ilvl w:val="0"/>
          <w:numId w:val="1042"/>
        </w:numPr>
      </w:pPr>
      <w:r>
        <w:t xml:space="preserve">HR-I004 </w:t>
      </w:r>
      <w:r>
        <w:rPr>
          <w:rFonts w:hint="eastAsia"/>
        </w:rPr>
        <w:t xml:space="preserve">物理治療師職務說明書</w:t>
      </w:r>
    </w:p>
    <w:p>
      <w:pPr>
        <w:pStyle w:val="Compact"/>
        <w:numPr>
          <w:ilvl w:val="0"/>
          <w:numId w:val="1042"/>
        </w:numPr>
      </w:pPr>
      <w:r>
        <w:t xml:space="preserve">HR-I005 </w:t>
      </w:r>
      <w:r>
        <w:rPr>
          <w:rFonts w:hint="eastAsia"/>
        </w:rPr>
        <w:t xml:space="preserve">客服人員職務說明書</w:t>
      </w:r>
    </w:p>
    <w:bookmarkEnd w:id="69"/>
    <w:bookmarkStart w:id="70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43"/>
        </w:numPr>
      </w:pPr>
      <w:r>
        <w:t xml:space="preserve">HR-F002 </w:t>
      </w:r>
      <w:r>
        <w:rPr>
          <w:rFonts w:hint="eastAsia"/>
        </w:rPr>
        <w:t xml:space="preserve">教育訓練記錄表</w:t>
      </w:r>
    </w:p>
    <w:p>
      <w:pPr>
        <w:pStyle w:val="Compact"/>
        <w:numPr>
          <w:ilvl w:val="0"/>
          <w:numId w:val="1043"/>
        </w:numPr>
      </w:pPr>
      <w:r>
        <w:t xml:space="preserve">HR-F009 </w:t>
      </w:r>
      <w:r>
        <w:rPr>
          <w:rFonts w:hint="eastAsia"/>
        </w:rPr>
        <w:t xml:space="preserve">部門培訓需求調查表</w:t>
      </w:r>
    </w:p>
    <w:p>
      <w:pPr>
        <w:pStyle w:val="Compact"/>
        <w:numPr>
          <w:ilvl w:val="0"/>
          <w:numId w:val="1043"/>
        </w:numPr>
      </w:pPr>
      <w:r>
        <w:t xml:space="preserve">HR-F010 </w:t>
      </w:r>
      <w:r>
        <w:rPr>
          <w:rFonts w:hint="eastAsia"/>
        </w:rPr>
        <w:t xml:space="preserve">個人發展計劃表</w:t>
      </w:r>
    </w:p>
    <w:p>
      <w:pPr>
        <w:pStyle w:val="Compact"/>
        <w:numPr>
          <w:ilvl w:val="0"/>
          <w:numId w:val="1043"/>
        </w:numPr>
      </w:pPr>
      <w:r>
        <w:t xml:space="preserve">HR-F011 </w:t>
      </w:r>
      <w:r>
        <w:rPr>
          <w:rFonts w:hint="eastAsia"/>
        </w:rPr>
        <w:t xml:space="preserve">年度培訓計劃表</w:t>
      </w:r>
    </w:p>
    <w:p>
      <w:pPr>
        <w:pStyle w:val="Compact"/>
        <w:numPr>
          <w:ilvl w:val="0"/>
          <w:numId w:val="1043"/>
        </w:numPr>
      </w:pPr>
      <w:r>
        <w:t xml:space="preserve">HR-F012 </w:t>
      </w:r>
      <w:r>
        <w:rPr>
          <w:rFonts w:hint="eastAsia"/>
        </w:rPr>
        <w:t xml:space="preserve">培訓簽到表</w:t>
      </w:r>
    </w:p>
    <w:p>
      <w:pPr>
        <w:pStyle w:val="Compact"/>
        <w:numPr>
          <w:ilvl w:val="0"/>
          <w:numId w:val="1043"/>
        </w:numPr>
      </w:pPr>
      <w:r>
        <w:t xml:space="preserve">HR-F013 </w:t>
      </w:r>
      <w:r>
        <w:rPr>
          <w:rFonts w:hint="eastAsia"/>
        </w:rPr>
        <w:t xml:space="preserve">培訓滿意度調查表</w:t>
      </w:r>
    </w:p>
    <w:p>
      <w:pPr>
        <w:pStyle w:val="Compact"/>
        <w:numPr>
          <w:ilvl w:val="0"/>
          <w:numId w:val="1043"/>
        </w:numPr>
      </w:pPr>
      <w:r>
        <w:t xml:space="preserve">HR-F014 </w:t>
      </w:r>
      <w:r>
        <w:rPr>
          <w:rFonts w:hint="eastAsia"/>
        </w:rPr>
        <w:t xml:space="preserve">培訓應用情況跟蹤表</w:t>
      </w:r>
    </w:p>
    <w:p>
      <w:pPr>
        <w:pStyle w:val="Compact"/>
        <w:numPr>
          <w:ilvl w:val="0"/>
          <w:numId w:val="1043"/>
        </w:numPr>
      </w:pPr>
      <w:r>
        <w:t xml:space="preserve">HR-F015 </w:t>
      </w:r>
      <w:r>
        <w:rPr>
          <w:rFonts w:hint="eastAsia"/>
        </w:rPr>
        <w:t xml:space="preserve">培訓效果評估表</w:t>
      </w:r>
    </w:p>
    <w:bookmarkEnd w:id="70"/>
    <w:bookmarkEnd w:id="71"/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2025-04-16T05:33:08Z</dcterms:created>
  <dcterms:modified xsi:type="dcterms:W3CDTF">2025-04-16T05:33:08Z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