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pt-p005-出院與轉銜程序"/>
    <w:p>
      <w:pPr>
        <w:pStyle w:val="Heading1"/>
      </w:pPr>
      <w:r>
        <w:t xml:space="preserve">PT-P005 </w:t>
      </w:r>
      <w:r>
        <w:rPr>
          <w:rFonts w:hint="eastAsia"/>
        </w:rPr>
        <w:t xml:space="preserve">出院與轉銜程序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PT-P005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出院與轉銜程序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作業流程">
        <w:r>
          <w:rPr>
            <w:rStyle w:val="Hyperlink"/>
            <w:rFonts w:hint="eastAsia"/>
          </w:rPr>
          <w:t xml:space="preserve">作業流程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出院準備評估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出院計劃制定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出院前衛教與訓練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轉銜需求評估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轉銜計劃制定與執行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追蹤與回饋</w:t>
      </w:r>
    </w:p>
    <w:p>
      <w:pPr>
        <w:pStyle w:val="Compact"/>
        <w:numPr>
          <w:ilvl w:val="1"/>
          <w:numId w:val="1002"/>
        </w:numPr>
      </w:pPr>
      <w:r>
        <w:t xml:space="preserve">5.7 </w:t>
      </w:r>
      <w:r>
        <w:rPr>
          <w:rFonts w:hint="eastAsia"/>
        </w:rPr>
        <w:t xml:space="preserve">品質監控與改善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規範Ohealth物理治療體系中患者出院與轉銜的標準作業流程，確保患者從住院治療安全順利過渡至門診追蹤、居家照護或其他醫療機構，維持治療的連續性與有效性，減少復發，提高整體醫療服務品質，確保治療成果的持續性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本程序適用於Ohealth物理治療體系內所有住院患者的出院規劃與轉銜服務，包括但不限於以下情境：</w:t>
      </w:r>
      <w:r>
        <w:t xml:space="preserve"> </w:t>
      </w:r>
      <w:r>
        <w:t xml:space="preserve">- </w:t>
      </w:r>
      <w:r>
        <w:rPr>
          <w:rFonts w:hint="eastAsia"/>
        </w:rPr>
        <w:t xml:space="preserve">住院患者準備出院返家</w:t>
      </w:r>
      <w:r>
        <w:t xml:space="preserve"> </w:t>
      </w:r>
      <w:r>
        <w:t xml:space="preserve">- </w:t>
      </w:r>
      <w:r>
        <w:rPr>
          <w:rFonts w:hint="eastAsia"/>
        </w:rPr>
        <w:t xml:space="preserve">患者需從住院轉至門診繼續接受物理治療</w:t>
      </w:r>
      <w:r>
        <w:t xml:space="preserve"> </w:t>
      </w:r>
      <w:r>
        <w:t xml:space="preserve">- </w:t>
      </w:r>
      <w:r>
        <w:rPr>
          <w:rFonts w:hint="eastAsia"/>
        </w:rPr>
        <w:t xml:space="preserve">患者需轉介至其他醫療或照護機構</w:t>
      </w:r>
      <w:r>
        <w:t xml:space="preserve"> </w:t>
      </w:r>
      <w:r>
        <w:t xml:space="preserve">- </w:t>
      </w:r>
      <w:r>
        <w:rPr>
          <w:rFonts w:hint="eastAsia"/>
        </w:rPr>
        <w:t xml:space="preserve">患者需轉介至居家照護服務</w:t>
      </w:r>
      <w:r>
        <w:t xml:space="preserve"> </w:t>
      </w:r>
      <w:r>
        <w:t xml:space="preserve">- </w:t>
      </w:r>
      <w:r>
        <w:rPr>
          <w:rFonts w:hint="eastAsia"/>
        </w:rPr>
        <w:t xml:space="preserve">出院後的追蹤與評估服務</w:t>
      </w:r>
    </w:p>
    <w:bookmarkEnd w:id="22"/>
    <w:bookmarkStart w:id="30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物理治療部門主管"/>
    <w:p>
      <w:pPr>
        <w:pStyle w:val="Heading3"/>
      </w:pPr>
      <w:r>
        <w:t xml:space="preserve">3.1 </w:t>
      </w:r>
      <w:r>
        <w:rPr>
          <w:rFonts w:hint="eastAsia"/>
        </w:rPr>
        <w:t xml:space="preserve">物理治療部門主管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監督出院與轉銜程序的執行情況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審核複雜個案的出院與轉銜計劃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協調跨部門與跨機構的轉銜合作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解決出院與轉銜過程中的重大問題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確保出院與轉銜服務符合相關法規與標準</w:t>
      </w:r>
    </w:p>
    <w:bookmarkEnd w:id="23"/>
    <w:bookmarkStart w:id="24" w:name="住院物理治療師"/>
    <w:p>
      <w:pPr>
        <w:pStyle w:val="Heading3"/>
      </w:pPr>
      <w:r>
        <w:t xml:space="preserve">3.2 </w:t>
      </w:r>
      <w:r>
        <w:rPr>
          <w:rFonts w:hint="eastAsia"/>
        </w:rPr>
        <w:t xml:space="preserve">住院物理治療師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評估患者出院準備度與轉銜需求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制定個別化的出院計劃與轉銜方案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提供出院前衛教與訓練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完成出院摘要與轉銜文件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與相關醫療團隊成員協調合作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確保轉銜資訊的完整性與正確性</w:t>
      </w:r>
    </w:p>
    <w:bookmarkEnd w:id="24"/>
    <w:bookmarkStart w:id="25" w:name="門診物理治療師"/>
    <w:p>
      <w:pPr>
        <w:pStyle w:val="Heading3"/>
      </w:pPr>
      <w:r>
        <w:t xml:space="preserve">3.3 </w:t>
      </w:r>
      <w:r>
        <w:rPr>
          <w:rFonts w:hint="eastAsia"/>
        </w:rPr>
        <w:t xml:space="preserve">門診物理治療師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接收轉銜患者並審閱轉銜文件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依據轉銜計劃安排門診治療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評估患者轉銜後的進展情況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必要時調整治療計劃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回饋轉銜成效給原轉介單位</w:t>
      </w:r>
    </w:p>
    <w:bookmarkEnd w:id="25"/>
    <w:bookmarkStart w:id="26" w:name="個案管理師出院規劃師"/>
    <w:p>
      <w:pPr>
        <w:pStyle w:val="Heading3"/>
      </w:pPr>
      <w:r>
        <w:t xml:space="preserve">3.4 </w:t>
      </w:r>
      <w:r>
        <w:rPr>
          <w:rFonts w:hint="eastAsia"/>
        </w:rPr>
        <w:t xml:space="preserve">個案管理師/出院規劃師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協調多專業團隊的出院規劃會議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整合各專業的出院與轉銜建議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協助安排轉銜所需的各項資源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聯繫接收機構與服務提供者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追蹤轉銜過程及解決可能的障礙</w:t>
      </w:r>
    </w:p>
    <w:bookmarkEnd w:id="26"/>
    <w:bookmarkStart w:id="27" w:name="護理人員"/>
    <w:p>
      <w:pPr>
        <w:pStyle w:val="Heading3"/>
      </w:pPr>
      <w:r>
        <w:t xml:space="preserve">3.5 </w:t>
      </w:r>
      <w:r>
        <w:rPr>
          <w:rFonts w:hint="eastAsia"/>
        </w:rPr>
        <w:t xml:space="preserve">護理人員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協助評估患者出院準備度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配合執行出院前衛教與訓練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確認患者與家屬理解出院指導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協助準備出院所需的醫療用品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參與多專業出院規劃會議</w:t>
      </w:r>
    </w:p>
    <w:bookmarkEnd w:id="27"/>
    <w:bookmarkStart w:id="28" w:name="社工人員"/>
    <w:p>
      <w:pPr>
        <w:pStyle w:val="Heading3"/>
      </w:pPr>
      <w:r>
        <w:t xml:space="preserve">3.6 </w:t>
      </w:r>
      <w:r>
        <w:rPr>
          <w:rFonts w:hint="eastAsia"/>
        </w:rPr>
        <w:t xml:space="preserve">社工人員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評估患者的社會支持系統與資源需求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協助申請適當的社會資源與福利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提供患者與家屬心理支持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協助解決出院與轉銜的社會心理障礙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連結社區資源與支持系統</w:t>
      </w:r>
    </w:p>
    <w:bookmarkEnd w:id="28"/>
    <w:bookmarkStart w:id="29" w:name="品質管理人員"/>
    <w:p>
      <w:pPr>
        <w:pStyle w:val="Heading3"/>
      </w:pPr>
      <w:r>
        <w:t xml:space="preserve">3.7 </w:t>
      </w:r>
      <w:r>
        <w:rPr>
          <w:rFonts w:hint="eastAsia"/>
        </w:rPr>
        <w:t xml:space="preserve">品質管理人員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定期稽核出院與轉銜程序執行情況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收集與分析出院與轉銜相關品質指標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協助制定與實施改善計劃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監測轉銜失敗率與再入院率</w:t>
      </w:r>
    </w:p>
    <w:bookmarkEnd w:id="29"/>
    <w:bookmarkEnd w:id="30"/>
    <w:bookmarkStart w:id="38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31" w:name="出院"/>
    <w:p>
      <w:pPr>
        <w:pStyle w:val="Heading3"/>
      </w:pPr>
      <w:r>
        <w:t xml:space="preserve">4.1 </w:t>
      </w:r>
      <w:r>
        <w:rPr>
          <w:rFonts w:hint="eastAsia"/>
        </w:rPr>
        <w:t xml:space="preserve">出院</w:t>
      </w:r>
    </w:p>
    <w:p>
      <w:pPr>
        <w:pStyle w:val="FirstParagraph"/>
      </w:pPr>
      <w:r>
        <w:rPr>
          <w:rFonts w:hint="eastAsia"/>
        </w:rPr>
        <w:t xml:space="preserve">指患者完成住院治療，離開醫院返家或轉至其他照護機構的過程。包括出院評估、出院計劃制定、出院準備與出院後的追蹤。</w:t>
      </w:r>
    </w:p>
    <w:bookmarkEnd w:id="31"/>
    <w:bookmarkStart w:id="32" w:name="出院準備度評估"/>
    <w:p>
      <w:pPr>
        <w:pStyle w:val="Heading3"/>
      </w:pPr>
      <w:r>
        <w:t xml:space="preserve">4.2 </w:t>
      </w:r>
      <w:r>
        <w:rPr>
          <w:rFonts w:hint="eastAsia"/>
        </w:rPr>
        <w:t xml:space="preserve">出院準備度評估</w:t>
      </w:r>
    </w:p>
    <w:p>
      <w:pPr>
        <w:pStyle w:val="FirstParagraph"/>
      </w:pPr>
      <w:r>
        <w:rPr>
          <w:rFonts w:hint="eastAsia"/>
        </w:rPr>
        <w:t xml:space="preserve">指評估患者是否已達到安全出院的標準，包括病情穩定度、自我照顧能力、家庭支持系統、居住環境適合度等。</w:t>
      </w:r>
    </w:p>
    <w:bookmarkEnd w:id="32"/>
    <w:bookmarkStart w:id="33" w:name="轉銜"/>
    <w:p>
      <w:pPr>
        <w:pStyle w:val="Heading3"/>
      </w:pPr>
      <w:r>
        <w:t xml:space="preserve">4.3 </w:t>
      </w:r>
      <w:r>
        <w:rPr>
          <w:rFonts w:hint="eastAsia"/>
        </w:rPr>
        <w:t xml:space="preserve">轉銜</w:t>
      </w:r>
    </w:p>
    <w:p>
      <w:pPr>
        <w:pStyle w:val="FirstParagraph"/>
      </w:pPr>
      <w:r>
        <w:rPr>
          <w:rFonts w:hint="eastAsia"/>
        </w:rPr>
        <w:t xml:space="preserve">指患者從一種醫療照護模式或機構轉換至另一種模式或機構的過程，如從住院轉至門診、從急性照護轉至復健照護、從醫院轉至長期照護機構等。</w:t>
      </w:r>
    </w:p>
    <w:bookmarkEnd w:id="33"/>
    <w:bookmarkStart w:id="34" w:name="轉銜計劃"/>
    <w:p>
      <w:pPr>
        <w:pStyle w:val="Heading3"/>
      </w:pPr>
      <w:r>
        <w:t xml:space="preserve">4.4 </w:t>
      </w:r>
      <w:r>
        <w:rPr>
          <w:rFonts w:hint="eastAsia"/>
        </w:rPr>
        <w:t xml:space="preserve">轉銜計劃</w:t>
      </w:r>
    </w:p>
    <w:p>
      <w:pPr>
        <w:pStyle w:val="FirstParagraph"/>
      </w:pPr>
      <w:r>
        <w:rPr>
          <w:rFonts w:hint="eastAsia"/>
        </w:rPr>
        <w:t xml:space="preserve">指為確保患者在照護轉換過程中獲得連續性照護所制定的計劃，包括轉銜評估、轉銜準備、資訊交換、服務安排與追蹤等。</w:t>
      </w:r>
    </w:p>
    <w:bookmarkEnd w:id="34"/>
    <w:bookmarkStart w:id="35" w:name="多專業團隊"/>
    <w:p>
      <w:pPr>
        <w:pStyle w:val="Heading3"/>
      </w:pPr>
      <w:r>
        <w:t xml:space="preserve">4.5 </w:t>
      </w:r>
      <w:r>
        <w:rPr>
          <w:rFonts w:hint="eastAsia"/>
        </w:rPr>
        <w:t xml:space="preserve">多專業團隊</w:t>
      </w:r>
    </w:p>
    <w:p>
      <w:pPr>
        <w:pStyle w:val="FirstParagraph"/>
      </w:pPr>
      <w:r>
        <w:rPr>
          <w:rFonts w:hint="eastAsia"/>
        </w:rPr>
        <w:t xml:space="preserve">指由不同專業背景的醫療與照護人員組成的團隊，包括但不限於醫師、護理師、物理治療師、職能治療師、語言治療師、社工師、營養師等。</w:t>
      </w:r>
    </w:p>
    <w:bookmarkEnd w:id="35"/>
    <w:bookmarkStart w:id="36" w:name="出院摘要"/>
    <w:p>
      <w:pPr>
        <w:pStyle w:val="Heading3"/>
      </w:pPr>
      <w:r>
        <w:t xml:space="preserve">4.6 </w:t>
      </w:r>
      <w:r>
        <w:rPr>
          <w:rFonts w:hint="eastAsia"/>
        </w:rPr>
        <w:t xml:space="preserve">出院摘要</w:t>
      </w:r>
    </w:p>
    <w:p>
      <w:pPr>
        <w:pStyle w:val="FirstParagraph"/>
      </w:pPr>
      <w:r>
        <w:rPr>
          <w:rFonts w:hint="eastAsia"/>
        </w:rPr>
        <w:t xml:space="preserve">指總結患者住院期間治療評估結果、治療過程、達成目標與出院時功能狀態的書面文件，作為轉銜資訊交換的重要工具。</w:t>
      </w:r>
    </w:p>
    <w:bookmarkEnd w:id="36"/>
    <w:bookmarkStart w:id="37" w:name="再入院"/>
    <w:p>
      <w:pPr>
        <w:pStyle w:val="Heading3"/>
      </w:pPr>
      <w:r>
        <w:t xml:space="preserve">4.7 </w:t>
      </w:r>
      <w:r>
        <w:rPr>
          <w:rFonts w:hint="eastAsia"/>
        </w:rPr>
        <w:t xml:space="preserve">再入院</w:t>
      </w:r>
    </w:p>
    <w:p>
      <w:pPr>
        <w:pStyle w:val="FirstParagraph"/>
      </w:pPr>
      <w:r>
        <w:rPr>
          <w:rFonts w:hint="eastAsia"/>
        </w:rPr>
        <w:t xml:space="preserve">指患者出院後在特定時間內(通常為7天或30天)因相同或相關診斷再次入院。再入院率常被用作評估出院計劃適當性的品質指標。</w:t>
      </w:r>
    </w:p>
    <w:bookmarkEnd w:id="37"/>
    <w:bookmarkEnd w:id="38"/>
    <w:bookmarkStart w:id="66" w:name="作業流程"/>
    <w:p>
      <w:pPr>
        <w:pStyle w:val="Heading2"/>
      </w:pPr>
      <w:r>
        <w:t xml:space="preserve">5. </w:t>
      </w:r>
      <w:r>
        <w:rPr>
          <w:rFonts w:hint="eastAsia"/>
        </w:rPr>
        <w:t xml:space="preserve">作業流程</w:t>
      </w:r>
      <w:r>
        <w:t xml:space="preserve"> </w:t>
      </w:r>
    </w:p>
    <w:bookmarkStart w:id="42" w:name="出院準備評估"/>
    <w:p>
      <w:pPr>
        <w:pStyle w:val="Heading3"/>
      </w:pPr>
      <w:r>
        <w:t xml:space="preserve">5.1 </w:t>
      </w:r>
      <w:r>
        <w:rPr>
          <w:rFonts w:hint="eastAsia"/>
        </w:rPr>
        <w:t xml:space="preserve">出院準備評估</w:t>
      </w:r>
    </w:p>
    <w:bookmarkStart w:id="39" w:name="出院時機評估"/>
    <w:p>
      <w:pPr>
        <w:pStyle w:val="Heading4"/>
      </w:pPr>
      <w:r>
        <w:t xml:space="preserve">5.1.1 </w:t>
      </w:r>
      <w:r>
        <w:rPr>
          <w:rFonts w:hint="eastAsia"/>
        </w:rPr>
        <w:t xml:space="preserve">出院時機評估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評估患者治療目標達成情況：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複查住院治療計劃中設定的目標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評估目標達成的程度與品質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考量未達成目標的影響與風險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評估繼續住院治療的邊際效益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評估患者病情穩定度：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生命徵象穩定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疼痛控制情況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感染風險評估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其他醫療風險評估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功能性評估：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基本自理能力(如進食、盥洗、穿衣、如廁)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移動能力(如步行、轉位、上下樓梯)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平衡能力與跌倒風險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特定功能性活動能力(依個案需求)</w:t>
      </w:r>
    </w:p>
    <w:bookmarkEnd w:id="39"/>
    <w:bookmarkStart w:id="40" w:name="居家環境與支持系統評估"/>
    <w:p>
      <w:pPr>
        <w:pStyle w:val="Heading4"/>
      </w:pPr>
      <w:r>
        <w:t xml:space="preserve">5.1.2 </w:t>
      </w:r>
      <w:r>
        <w:rPr>
          <w:rFonts w:hint="eastAsia"/>
        </w:rPr>
        <w:t xml:space="preserve">居家環境與支持系統評估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家庭成員資源評估：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主要照顧者識別與能力評估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家庭成員支持度與配合度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家庭照顧者負荷評估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照顧知識與技能準備度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居家環境評估：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住家無障礙環境評估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安全風險評估(跌倒風險等)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環境適應需求評估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必要輔具與設備評估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社區資源評估：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可用的社區醫療資源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長期照護服務可及性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交通便利性評估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經濟支持與保險狀況</w:t>
      </w:r>
    </w:p>
    <w:bookmarkEnd w:id="40"/>
    <w:bookmarkStart w:id="41" w:name="轉銜需求初步評估"/>
    <w:p>
      <w:pPr>
        <w:pStyle w:val="Heading4"/>
      </w:pPr>
      <w:r>
        <w:t xml:space="preserve">5.1.3 </w:t>
      </w:r>
      <w:r>
        <w:rPr>
          <w:rFonts w:hint="eastAsia"/>
        </w:rPr>
        <w:t xml:space="preserve">轉銜需求初步評估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後續照護需求評估：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持續物理治療需求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其他專業治療需求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護理需求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藥物管理需求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營養與飲食需求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轉銜類型判定：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住院至門診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住院至居家照護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轉院至其他醫療或照護機構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出院後定期追蹤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多專業評估需求判定：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確認需要參與評估的專業人員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安排必要的專科會診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規劃多專業團隊會議</w:t>
      </w:r>
    </w:p>
    <w:bookmarkEnd w:id="41"/>
    <w:bookmarkEnd w:id="42"/>
    <w:bookmarkStart w:id="46" w:name="出院計劃制定"/>
    <w:p>
      <w:pPr>
        <w:pStyle w:val="Heading3"/>
      </w:pPr>
      <w:r>
        <w:t xml:space="preserve">5.2 </w:t>
      </w:r>
      <w:r>
        <w:rPr>
          <w:rFonts w:hint="eastAsia"/>
        </w:rPr>
        <w:t xml:space="preserve">出院計劃制定</w:t>
      </w:r>
    </w:p>
    <w:bookmarkStart w:id="43" w:name="多專業團隊會議"/>
    <w:p>
      <w:pPr>
        <w:pStyle w:val="Heading4"/>
      </w:pPr>
      <w:r>
        <w:t xml:space="preserve">5.2.1 </w:t>
      </w:r>
      <w:r>
        <w:rPr>
          <w:rFonts w:hint="eastAsia"/>
        </w:rPr>
        <w:t xml:space="preserve">多專業團隊會議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會議準備：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整合各專業評估結果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準備患者相關資料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邀請相關專業人員參與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安排患者與家屬參與(適當時)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會議內容：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各專業報告評估結果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討論出院安全考量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評估轉銜方案選擇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確認出院與轉銜時間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制定協調性照護計劃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任務分配：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確認各專業負責的出院準備項目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指定主要協調人員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設定任務時程與完成標準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確認溝通機制與追蹤方式</w:t>
      </w:r>
    </w:p>
    <w:bookmarkEnd w:id="43"/>
    <w:bookmarkStart w:id="44" w:name="個別化出院計劃編寫"/>
    <w:p>
      <w:pPr>
        <w:pStyle w:val="Heading4"/>
      </w:pPr>
      <w:r>
        <w:t xml:space="preserve">5.2.2 </w:t>
      </w:r>
      <w:r>
        <w:rPr>
          <w:rFonts w:hint="eastAsia"/>
        </w:rPr>
        <w:t xml:space="preserve">個別化出院計劃編寫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出院計劃內容：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出院目標與預期結果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出院時間與條件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出院後功能限制與注意事項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居家運動與自我管理計劃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輔具與適應性設備需求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家庭環境調整建議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出院後飲食與藥物指導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異常情況處理指導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複診與追蹤安排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計劃確認流程：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由主治醫師審核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物理治療部門主管審核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個案管理師/出院規劃師整合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與患者及家屬確認溝通</w:t>
      </w:r>
    </w:p>
    <w:bookmarkEnd w:id="44"/>
    <w:bookmarkStart w:id="45" w:name="出院計劃納入醫療記錄"/>
    <w:p>
      <w:pPr>
        <w:pStyle w:val="Heading4"/>
      </w:pPr>
      <w:r>
        <w:t xml:space="preserve">5.2.3 </w:t>
      </w:r>
      <w:r>
        <w:rPr>
          <w:rFonts w:hint="eastAsia"/>
        </w:rPr>
        <w:t xml:space="preserve">出院計劃納入醫療記錄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文件化流程：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將出院計劃存檔於病歷系統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確保所有團隊成員可以查閱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連結相關評估文件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更新患者總體照護計劃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出院時間確認：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根據計劃確定出院日期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通知相關人員與部門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安排必要的出院手續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確認轉銜準備完善</w:t>
      </w:r>
    </w:p>
    <w:bookmarkEnd w:id="45"/>
    <w:bookmarkEnd w:id="46"/>
    <w:bookmarkStart w:id="50" w:name="出院前衛教與訓練"/>
    <w:p>
      <w:pPr>
        <w:pStyle w:val="Heading3"/>
      </w:pPr>
      <w:r>
        <w:t xml:space="preserve">5.3 </w:t>
      </w:r>
      <w:r>
        <w:rPr>
          <w:rFonts w:hint="eastAsia"/>
        </w:rPr>
        <w:t xml:space="preserve">出院前衛教與訓練</w:t>
      </w:r>
    </w:p>
    <w:bookmarkStart w:id="47" w:name="患者與家屬衛教"/>
    <w:p>
      <w:pPr>
        <w:pStyle w:val="Heading4"/>
      </w:pPr>
      <w:r>
        <w:t xml:space="preserve">5.3.1 </w:t>
      </w:r>
      <w:r>
        <w:rPr>
          <w:rFonts w:hint="eastAsia"/>
        </w:rPr>
        <w:t xml:space="preserve">患者與家屬衛教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衛教內容：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疾病與功能障礙認識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出院後活動限制與注意事項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疼痛管理策略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異常狀況識別與處理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正確使用藥物指導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何時及如何尋求醫療協助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出院後複診安排說明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衛教方式：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一對一口頭指導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書面衛教資料提供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視聽媒體輔助教學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實際操作示範與回示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分階段進行以確保理解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衛教效果評估：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使用教學回饋技巧確認理解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請患者或家屬回示重要內容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以測驗或情境題評估理解程度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記錄衛教過程與成效</w:t>
      </w:r>
    </w:p>
    <w:bookmarkEnd w:id="47"/>
    <w:bookmarkStart w:id="48" w:name="居家運動與自我管理訓練"/>
    <w:p>
      <w:pPr>
        <w:pStyle w:val="Heading4"/>
      </w:pPr>
      <w:r>
        <w:t xml:space="preserve">5.3.2 </w:t>
      </w:r>
      <w:r>
        <w:rPr>
          <w:rFonts w:hint="eastAsia"/>
        </w:rPr>
        <w:t xml:space="preserve">居家運動與自我管理訓練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居家運動計劃制定：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根據患者能力與需求設計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確保安全性與可行性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設定適當運動強度與頻率</w:t>
      </w:r>
    </w:p>
    <w:p>
      <w:pPr>
        <w:pStyle w:val="Compact"/>
        <w:numPr>
          <w:ilvl w:val="1"/>
          <w:numId w:val="1037"/>
        </w:numPr>
      </w:pPr>
      <w:r>
        <w:rPr>
          <w:rFonts w:hint="eastAsia"/>
        </w:rPr>
        <w:t xml:space="preserve">提供漸進式進階計劃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運動技巧訓練：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詳細示範正確動作技巧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監督患者實際操作並給予回饋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糾正不當姿勢與技巧</w:t>
      </w:r>
    </w:p>
    <w:p>
      <w:pPr>
        <w:pStyle w:val="Compact"/>
        <w:numPr>
          <w:ilvl w:val="1"/>
          <w:numId w:val="1038"/>
        </w:numPr>
      </w:pPr>
      <w:r>
        <w:rPr>
          <w:rFonts w:hint="eastAsia"/>
        </w:rPr>
        <w:t xml:space="preserve">提供視覺輔助工具(如照片、影片)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自我管理能力培養：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症狀自我監測技巧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活動量自我調整方法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自我進展評估方法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設定適當的自我管理目標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解決問題能力培養</w:t>
      </w:r>
    </w:p>
    <w:bookmarkEnd w:id="48"/>
    <w:bookmarkStart w:id="49" w:name="輔具使用與環境適應訓練"/>
    <w:p>
      <w:pPr>
        <w:pStyle w:val="Heading4"/>
      </w:pPr>
      <w:r>
        <w:t xml:space="preserve">5.3.3 </w:t>
      </w:r>
      <w:r>
        <w:rPr>
          <w:rFonts w:hint="eastAsia"/>
        </w:rPr>
        <w:t xml:space="preserve">輔具使用與環境適應訓練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輔具選擇與取得：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評估適合的輔具類型與規格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提供取得輔具的資源資訊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協助申請補助或租借服務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確保輔具安全性與適合度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輔具使用訓練：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示範正確使用方法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監督患者實際操作並糾正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指導輔具的保養與檢查</w:t>
      </w:r>
    </w:p>
    <w:p>
      <w:pPr>
        <w:pStyle w:val="Compact"/>
        <w:numPr>
          <w:ilvl w:val="1"/>
          <w:numId w:val="1042"/>
        </w:numPr>
      </w:pPr>
      <w:r>
        <w:rPr>
          <w:rFonts w:hint="eastAsia"/>
        </w:rPr>
        <w:t xml:space="preserve">說明何時需要調整或更換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環境適應訓練：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居家環境中實際操作演練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模擬家庭生活情境的功能訓練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指導家庭環境的安全調整方法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跌倒預防策略訓練</w:t>
      </w:r>
    </w:p>
    <w:bookmarkEnd w:id="49"/>
    <w:bookmarkEnd w:id="50"/>
    <w:bookmarkStart w:id="54" w:name="轉銜需求評估"/>
    <w:p>
      <w:pPr>
        <w:pStyle w:val="Heading3"/>
      </w:pPr>
      <w:r>
        <w:t xml:space="preserve">5.4 </w:t>
      </w:r>
      <w:r>
        <w:rPr>
          <w:rFonts w:hint="eastAsia"/>
        </w:rPr>
        <w:t xml:space="preserve">轉銜需求評估</w:t>
      </w:r>
    </w:p>
    <w:bookmarkStart w:id="51" w:name="後續照護需求詳細評估"/>
    <w:p>
      <w:pPr>
        <w:pStyle w:val="Heading4"/>
      </w:pPr>
      <w:r>
        <w:t xml:space="preserve">5.4.1 </w:t>
      </w:r>
      <w:r>
        <w:rPr>
          <w:rFonts w:hint="eastAsia"/>
        </w:rPr>
        <w:t xml:space="preserve">後續照護需求詳細評估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物理治療後續需求評估：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評估持續物理治療的類型、頻率與期限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確定適合的物理治療模式(門診、居家、遠距)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評估專業需求與專科需求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評估設備與環境需求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多專業照護需求評估：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護理照護需求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職能治療需求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言語治療需求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營養諮詢需求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心理諮商需求</w:t>
      </w:r>
    </w:p>
    <w:p>
      <w:pPr>
        <w:pStyle w:val="Compact"/>
        <w:numPr>
          <w:ilvl w:val="1"/>
          <w:numId w:val="1046"/>
        </w:numPr>
      </w:pPr>
      <w:r>
        <w:rPr>
          <w:rFonts w:hint="eastAsia"/>
        </w:rPr>
        <w:t xml:space="preserve">其他專業介入需求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長期照護評估：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長照等級評估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日常生活活動需求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長期輔具需求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居家環境改造需求</w:t>
      </w:r>
    </w:p>
    <w:p>
      <w:pPr>
        <w:pStyle w:val="Compact"/>
        <w:numPr>
          <w:ilvl w:val="1"/>
          <w:numId w:val="1047"/>
        </w:numPr>
      </w:pPr>
      <w:r>
        <w:rPr>
          <w:rFonts w:hint="eastAsia"/>
        </w:rPr>
        <w:t xml:space="preserve">社會資源連結需求</w:t>
      </w:r>
    </w:p>
    <w:bookmarkEnd w:id="51"/>
    <w:bookmarkStart w:id="52" w:name="轉銜資源評估"/>
    <w:p>
      <w:pPr>
        <w:pStyle w:val="Heading4"/>
      </w:pPr>
      <w:r>
        <w:t xml:space="preserve">5.4.2 </w:t>
      </w:r>
      <w:r>
        <w:rPr>
          <w:rFonts w:hint="eastAsia"/>
        </w:rPr>
        <w:t xml:space="preserve">轉銜資源評估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機構資源評估：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識別適合的轉銜機構選項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評估機構服務內容與專業能力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評估地理位置與交通便利性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確認床位或服務可用性</w:t>
      </w:r>
    </w:p>
    <w:p>
      <w:pPr>
        <w:pStyle w:val="Compact"/>
        <w:numPr>
          <w:ilvl w:val="1"/>
          <w:numId w:val="1049"/>
        </w:numPr>
      </w:pPr>
      <w:r>
        <w:rPr>
          <w:rFonts w:hint="eastAsia"/>
        </w:rPr>
        <w:t xml:space="preserve">評估費用與保險給付情況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居家資源評估：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評估居家照護服務可及性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確認居家環境安全性與適合度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評估家庭照顧者資源與能力</w:t>
      </w:r>
    </w:p>
    <w:p>
      <w:pPr>
        <w:pStyle w:val="Compact"/>
        <w:numPr>
          <w:ilvl w:val="1"/>
          <w:numId w:val="1050"/>
        </w:numPr>
      </w:pPr>
      <w:r>
        <w:rPr>
          <w:rFonts w:hint="eastAsia"/>
        </w:rPr>
        <w:t xml:space="preserve">確認居家醫療設備需求與可及性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</w:rPr>
        <w:t xml:space="preserve">社區資源評估：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確認可用的社區復健資源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評估社區支持團體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確認交通協助服務</w:t>
      </w:r>
    </w:p>
    <w:p>
      <w:pPr>
        <w:pStyle w:val="Compact"/>
        <w:numPr>
          <w:ilvl w:val="1"/>
          <w:numId w:val="1051"/>
        </w:numPr>
      </w:pPr>
      <w:r>
        <w:rPr>
          <w:rFonts w:hint="eastAsia"/>
        </w:rPr>
        <w:t xml:space="preserve">評估其他社區支持服務</w:t>
      </w:r>
    </w:p>
    <w:bookmarkEnd w:id="52"/>
    <w:bookmarkStart w:id="53" w:name="轉銜模式決策"/>
    <w:p>
      <w:pPr>
        <w:pStyle w:val="Heading4"/>
      </w:pPr>
      <w:r>
        <w:t xml:space="preserve">5.4.3 </w:t>
      </w:r>
      <w:r>
        <w:rPr>
          <w:rFonts w:hint="eastAsia"/>
        </w:rPr>
        <w:t xml:space="preserve">轉銜模式決策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轉銜方案選擇考量因素：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患者醫療與功能需求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資源可及性與便利性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患者與家屬偏好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成本與保險給付</w:t>
      </w:r>
    </w:p>
    <w:p>
      <w:pPr>
        <w:pStyle w:val="Compact"/>
        <w:numPr>
          <w:ilvl w:val="1"/>
          <w:numId w:val="1053"/>
        </w:numPr>
      </w:pPr>
      <w:r>
        <w:rPr>
          <w:rFonts w:hint="eastAsia"/>
        </w:rPr>
        <w:t xml:space="preserve">連續性照護的最佳實踐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轉銜方案討論：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與患者及家屬討論可行方案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說明各方案的優缺點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提供必要的資訊以做出決策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尊重患者自主選擇</w:t>
      </w:r>
    </w:p>
    <w:p>
      <w:pPr>
        <w:pStyle w:val="Compact"/>
        <w:numPr>
          <w:ilvl w:val="1"/>
          <w:numId w:val="1054"/>
        </w:numPr>
      </w:pPr>
      <w:r>
        <w:rPr>
          <w:rFonts w:hint="eastAsia"/>
        </w:rPr>
        <w:t xml:space="preserve">記錄討論過程與決策結果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</w:rPr>
        <w:t xml:space="preserve">轉銜方案確認：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確認最終選擇的轉銜方案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記錄於出院計劃中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通知相關團隊成員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</w:rPr>
        <w:t xml:space="preserve">開始進行轉銜準備</w:t>
      </w:r>
    </w:p>
    <w:bookmarkEnd w:id="53"/>
    <w:bookmarkEnd w:id="54"/>
    <w:bookmarkStart w:id="58" w:name="轉銜計劃制定與執行"/>
    <w:p>
      <w:pPr>
        <w:pStyle w:val="Heading3"/>
      </w:pPr>
      <w:r>
        <w:t xml:space="preserve">5.5 </w:t>
      </w:r>
      <w:r>
        <w:rPr>
          <w:rFonts w:hint="eastAsia"/>
        </w:rPr>
        <w:t xml:space="preserve">轉銜計劃制定與執行</w:t>
      </w:r>
    </w:p>
    <w:bookmarkStart w:id="55" w:name="轉銜文件準備"/>
    <w:p>
      <w:pPr>
        <w:pStyle w:val="Heading4"/>
      </w:pPr>
      <w:r>
        <w:t xml:space="preserve">5.5.1 </w:t>
      </w:r>
      <w:r>
        <w:rPr>
          <w:rFonts w:hint="eastAsia"/>
        </w:rPr>
        <w:t xml:space="preserve">轉銜文件準備</w:t>
      </w:r>
    </w:p>
    <w:p>
      <w:pPr>
        <w:pStyle w:val="Compact"/>
        <w:numPr>
          <w:ilvl w:val="0"/>
          <w:numId w:val="1056"/>
        </w:numPr>
      </w:pPr>
      <w:r>
        <w:rPr>
          <w:rFonts w:hint="eastAsia"/>
        </w:rPr>
        <w:t xml:space="preserve">出院摘要準備：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基本病史與診斷資訊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住院期間治療內容與進展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目前功能狀態與評估結果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持續存在的問題與限制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已達成與未達成的治療目標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使用中的輔具與設備</w:t>
      </w:r>
    </w:p>
    <w:p>
      <w:pPr>
        <w:pStyle w:val="Compact"/>
        <w:numPr>
          <w:ilvl w:val="1"/>
          <w:numId w:val="1057"/>
        </w:numPr>
      </w:pPr>
      <w:r>
        <w:rPr>
          <w:rFonts w:hint="eastAsia"/>
        </w:rPr>
        <w:t xml:space="preserve">目前用藥情況</w:t>
      </w:r>
    </w:p>
    <w:p>
      <w:pPr>
        <w:pStyle w:val="Compact"/>
        <w:numPr>
          <w:ilvl w:val="0"/>
          <w:numId w:val="1056"/>
        </w:numPr>
      </w:pPr>
      <w:r>
        <w:rPr>
          <w:rFonts w:hint="eastAsia"/>
        </w:rPr>
        <w:t xml:space="preserve">轉銜建議準備：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建議的後續治療計劃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具體治療目標與方向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特殊考量與注意事項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有效治療方法與技術建議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不建議使用的治療方法</w:t>
      </w:r>
    </w:p>
    <w:p>
      <w:pPr>
        <w:pStyle w:val="Compact"/>
        <w:numPr>
          <w:ilvl w:val="1"/>
          <w:numId w:val="1058"/>
        </w:numPr>
      </w:pPr>
      <w:r>
        <w:rPr>
          <w:rFonts w:hint="eastAsia"/>
        </w:rPr>
        <w:t xml:space="preserve">療效監測指標建議</w:t>
      </w:r>
    </w:p>
    <w:p>
      <w:pPr>
        <w:pStyle w:val="Compact"/>
        <w:numPr>
          <w:ilvl w:val="0"/>
          <w:numId w:val="1056"/>
        </w:numPr>
      </w:pPr>
      <w:r>
        <w:rPr>
          <w:rFonts w:hint="eastAsia"/>
        </w:rPr>
        <w:t xml:space="preserve">其他必要文件：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相關醫療檢查報告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影像學資料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居家運動與自我管理計劃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輔具處方與建議</w:t>
      </w:r>
    </w:p>
    <w:p>
      <w:pPr>
        <w:pStyle w:val="Compact"/>
        <w:numPr>
          <w:ilvl w:val="1"/>
          <w:numId w:val="1059"/>
        </w:numPr>
      </w:pPr>
      <w:r>
        <w:rPr>
          <w:rFonts w:hint="eastAsia"/>
        </w:rPr>
        <w:t xml:space="preserve">跨專業照護計劃</w:t>
      </w:r>
    </w:p>
    <w:bookmarkEnd w:id="55"/>
    <w:bookmarkStart w:id="56" w:name="轉銜協調與銜接"/>
    <w:p>
      <w:pPr>
        <w:pStyle w:val="Heading4"/>
      </w:pPr>
      <w:r>
        <w:t xml:space="preserve">5.5.2 </w:t>
      </w:r>
      <w:r>
        <w:rPr>
          <w:rFonts w:hint="eastAsia"/>
        </w:rPr>
        <w:t xml:space="preserve">轉銜協調與銜接</w:t>
      </w:r>
    </w:p>
    <w:p>
      <w:pPr>
        <w:pStyle w:val="Compact"/>
        <w:numPr>
          <w:ilvl w:val="0"/>
          <w:numId w:val="1060"/>
        </w:numPr>
      </w:pPr>
      <w:r>
        <w:rPr>
          <w:rFonts w:hint="eastAsia"/>
        </w:rPr>
        <w:t xml:space="preserve">接收單位聯繫：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初步電話或電子郵件聯繫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確認接收意願與能力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討論患者特殊需求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安排適當的轉銜時間</w:t>
      </w:r>
    </w:p>
    <w:p>
      <w:pPr>
        <w:pStyle w:val="Compact"/>
        <w:numPr>
          <w:ilvl w:val="1"/>
          <w:numId w:val="1061"/>
        </w:numPr>
      </w:pPr>
      <w:r>
        <w:rPr>
          <w:rFonts w:hint="eastAsia"/>
        </w:rPr>
        <w:t xml:space="preserve">確認必要的前置準備</w:t>
      </w:r>
    </w:p>
    <w:p>
      <w:pPr>
        <w:pStyle w:val="Compact"/>
        <w:numPr>
          <w:ilvl w:val="0"/>
          <w:numId w:val="1060"/>
        </w:numPr>
      </w:pPr>
      <w:r>
        <w:rPr>
          <w:rFonts w:hint="eastAsia"/>
        </w:rPr>
        <w:t xml:space="preserve">服務安排與預約：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安排首次轉銜評估或治療時間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確認服務提供者與聯絡方式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提供必要的轉介單或處方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安排轉銜所需的交通方式</w:t>
      </w:r>
    </w:p>
    <w:p>
      <w:pPr>
        <w:pStyle w:val="Compact"/>
        <w:numPr>
          <w:ilvl w:val="1"/>
          <w:numId w:val="1062"/>
        </w:numPr>
      </w:pPr>
      <w:r>
        <w:rPr>
          <w:rFonts w:hint="eastAsia"/>
        </w:rPr>
        <w:t xml:space="preserve">確認保險或給付事宜</w:t>
      </w:r>
    </w:p>
    <w:p>
      <w:pPr>
        <w:pStyle w:val="Compact"/>
        <w:numPr>
          <w:ilvl w:val="0"/>
          <w:numId w:val="1060"/>
        </w:numPr>
      </w:pPr>
      <w:r>
        <w:rPr>
          <w:rFonts w:hint="eastAsia"/>
        </w:rPr>
        <w:t xml:space="preserve">資訊傳遞：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安全傳送轉銜文件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確認文件接收完整性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必要時提供口頭說明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回答接收單位的問題</w:t>
      </w:r>
    </w:p>
    <w:p>
      <w:pPr>
        <w:pStyle w:val="Compact"/>
        <w:numPr>
          <w:ilvl w:val="1"/>
          <w:numId w:val="1063"/>
        </w:numPr>
      </w:pPr>
      <w:r>
        <w:rPr>
          <w:rFonts w:hint="eastAsia"/>
        </w:rPr>
        <w:t xml:space="preserve">建立持續溝通管道</w:t>
      </w:r>
    </w:p>
    <w:bookmarkEnd w:id="56"/>
    <w:bookmarkStart w:id="57" w:name="患者與家屬轉銜準備"/>
    <w:p>
      <w:pPr>
        <w:pStyle w:val="Heading4"/>
      </w:pPr>
      <w:r>
        <w:t xml:space="preserve">5.5.3 </w:t>
      </w:r>
      <w:r>
        <w:rPr>
          <w:rFonts w:hint="eastAsia"/>
        </w:rPr>
        <w:t xml:space="preserve">患者與家屬轉銜準備</w:t>
      </w:r>
    </w:p>
    <w:p>
      <w:pPr>
        <w:pStyle w:val="Compact"/>
        <w:numPr>
          <w:ilvl w:val="0"/>
          <w:numId w:val="1064"/>
        </w:numPr>
      </w:pPr>
      <w:r>
        <w:rPr>
          <w:rFonts w:hint="eastAsia"/>
        </w:rPr>
        <w:t xml:space="preserve">轉銜資訊溝通：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說明轉銜計劃細節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提供接收單位資訊與聯絡方式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說明預期的服務內容與流程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說明患者與家屬的權利與責任</w:t>
      </w:r>
    </w:p>
    <w:p>
      <w:pPr>
        <w:pStyle w:val="Compact"/>
        <w:numPr>
          <w:ilvl w:val="1"/>
          <w:numId w:val="1065"/>
        </w:numPr>
      </w:pPr>
      <w:r>
        <w:rPr>
          <w:rFonts w:hint="eastAsia"/>
        </w:rPr>
        <w:t xml:space="preserve">解答相關問題與疑慮</w:t>
      </w:r>
    </w:p>
    <w:p>
      <w:pPr>
        <w:pStyle w:val="Compact"/>
        <w:numPr>
          <w:ilvl w:val="0"/>
          <w:numId w:val="1064"/>
        </w:numPr>
      </w:pPr>
      <w:r>
        <w:rPr>
          <w:rFonts w:hint="eastAsia"/>
        </w:rPr>
        <w:t xml:space="preserve">轉銜物流安排：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確認轉銜日期與時間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安排適當的交通方式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準備必要的個人物品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確認醫療用品與設備轉移</w:t>
      </w:r>
    </w:p>
    <w:p>
      <w:pPr>
        <w:pStyle w:val="Compact"/>
        <w:numPr>
          <w:ilvl w:val="1"/>
          <w:numId w:val="1066"/>
        </w:numPr>
      </w:pPr>
      <w:r>
        <w:rPr>
          <w:rFonts w:hint="eastAsia"/>
        </w:rPr>
        <w:t xml:space="preserve">準備轉銜期間所需藥物</w:t>
      </w:r>
    </w:p>
    <w:p>
      <w:pPr>
        <w:pStyle w:val="Compact"/>
        <w:numPr>
          <w:ilvl w:val="0"/>
          <w:numId w:val="1064"/>
        </w:numPr>
      </w:pPr>
      <w:r>
        <w:rPr>
          <w:rFonts w:hint="eastAsia"/>
        </w:rPr>
        <w:t xml:space="preserve">心理準備與支持：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處理轉銜焦慮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建立實際期望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鼓勵積極參與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提供必要的心理支持</w:t>
      </w:r>
    </w:p>
    <w:p>
      <w:pPr>
        <w:pStyle w:val="Compact"/>
        <w:numPr>
          <w:ilvl w:val="1"/>
          <w:numId w:val="1067"/>
        </w:numPr>
      </w:pPr>
      <w:r>
        <w:rPr>
          <w:rFonts w:hint="eastAsia"/>
        </w:rPr>
        <w:t xml:space="preserve">連結支持資源</w:t>
      </w:r>
    </w:p>
    <w:bookmarkEnd w:id="57"/>
    <w:bookmarkEnd w:id="58"/>
    <w:bookmarkStart w:id="62" w:name="追蹤與回饋"/>
    <w:p>
      <w:pPr>
        <w:pStyle w:val="Heading3"/>
      </w:pPr>
      <w:r>
        <w:t xml:space="preserve">5.6 </w:t>
      </w:r>
      <w:r>
        <w:rPr>
          <w:rFonts w:hint="eastAsia"/>
        </w:rPr>
        <w:t xml:space="preserve">追蹤與回饋</w:t>
      </w:r>
    </w:p>
    <w:bookmarkStart w:id="59" w:name="出院後追蹤計劃"/>
    <w:p>
      <w:pPr>
        <w:pStyle w:val="Heading4"/>
      </w:pPr>
      <w:r>
        <w:t xml:space="preserve">5.6.1 </w:t>
      </w:r>
      <w:r>
        <w:rPr>
          <w:rFonts w:hint="eastAsia"/>
        </w:rPr>
        <w:t xml:space="preserve">出院後追蹤計劃</w:t>
      </w:r>
    </w:p>
    <w:p>
      <w:pPr>
        <w:pStyle w:val="Compact"/>
        <w:numPr>
          <w:ilvl w:val="0"/>
          <w:numId w:val="1068"/>
        </w:numPr>
      </w:pPr>
      <w:r>
        <w:rPr>
          <w:rFonts w:hint="eastAsia"/>
        </w:rPr>
        <w:t xml:space="preserve">追蹤時程安排：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出院後3-7天進行首次追蹤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根據風險等級設定後續追蹤頻率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轉銜至新機構後1-2週追蹤轉銜效果</w:t>
      </w:r>
    </w:p>
    <w:p>
      <w:pPr>
        <w:pStyle w:val="Compact"/>
        <w:numPr>
          <w:ilvl w:val="1"/>
          <w:numId w:val="1069"/>
        </w:numPr>
      </w:pPr>
      <w:r>
        <w:rPr>
          <w:rFonts w:hint="eastAsia"/>
        </w:rPr>
        <w:t xml:space="preserve">設定長期追蹤時間點</w:t>
      </w:r>
    </w:p>
    <w:p>
      <w:pPr>
        <w:pStyle w:val="Compact"/>
        <w:numPr>
          <w:ilvl w:val="0"/>
          <w:numId w:val="1068"/>
        </w:numPr>
      </w:pPr>
      <w:r>
        <w:rPr>
          <w:rFonts w:hint="eastAsia"/>
        </w:rPr>
        <w:t xml:space="preserve">追蹤方式選擇：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電話追蹤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視訊追蹤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回診追蹤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居家訪視</w:t>
      </w:r>
    </w:p>
    <w:p>
      <w:pPr>
        <w:pStyle w:val="Compact"/>
        <w:numPr>
          <w:ilvl w:val="1"/>
          <w:numId w:val="1070"/>
        </w:numPr>
      </w:pPr>
      <w:r>
        <w:rPr>
          <w:rFonts w:hint="eastAsia"/>
        </w:rPr>
        <w:t xml:space="preserve">電子問卷追蹤</w:t>
      </w:r>
    </w:p>
    <w:p>
      <w:pPr>
        <w:pStyle w:val="Compact"/>
        <w:numPr>
          <w:ilvl w:val="0"/>
          <w:numId w:val="1068"/>
        </w:numPr>
      </w:pPr>
      <w:r>
        <w:rPr>
          <w:rFonts w:hint="eastAsia"/>
        </w:rPr>
        <w:t xml:space="preserve">追蹤內容設計：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功能狀態追蹤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症狀變化追蹤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居家運動執行情況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輔具使用情況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新問題或困難</w:t>
      </w:r>
    </w:p>
    <w:p>
      <w:pPr>
        <w:pStyle w:val="Compact"/>
        <w:numPr>
          <w:ilvl w:val="1"/>
          <w:numId w:val="1071"/>
        </w:numPr>
      </w:pPr>
      <w:r>
        <w:rPr>
          <w:rFonts w:hint="eastAsia"/>
        </w:rPr>
        <w:t xml:space="preserve">轉銜服務滿意度</w:t>
      </w:r>
    </w:p>
    <w:bookmarkEnd w:id="59"/>
    <w:bookmarkStart w:id="60" w:name="追蹤執行與問題處理"/>
    <w:p>
      <w:pPr>
        <w:pStyle w:val="Heading4"/>
      </w:pPr>
      <w:r>
        <w:t xml:space="preserve">5.6.2 </w:t>
      </w:r>
      <w:r>
        <w:rPr>
          <w:rFonts w:hint="eastAsia"/>
        </w:rPr>
        <w:t xml:space="preserve">追蹤執行與問題處理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追蹤執行：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依計劃進行追蹤聯繫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使用標準化追蹤表格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記錄追蹤發現與結果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評估轉銜成效與病患適應情況</w:t>
      </w:r>
    </w:p>
    <w:p>
      <w:pPr>
        <w:pStyle w:val="Compact"/>
        <w:numPr>
          <w:ilvl w:val="1"/>
          <w:numId w:val="1073"/>
        </w:numPr>
      </w:pPr>
      <w:r>
        <w:rPr>
          <w:rFonts w:hint="eastAsia"/>
        </w:rPr>
        <w:t xml:space="preserve">確認後續照護計劃執行情況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問題發現與處理：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識別追蹤中發現的問題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評估問題嚴重性與緊急度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提供遠距諮詢與指導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必要時協調解決方案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轉介適當資源或服務</w:t>
      </w:r>
    </w:p>
    <w:p>
      <w:pPr>
        <w:pStyle w:val="Compact"/>
        <w:numPr>
          <w:ilvl w:val="1"/>
          <w:numId w:val="1074"/>
        </w:numPr>
      </w:pPr>
      <w:r>
        <w:rPr>
          <w:rFonts w:hint="eastAsia"/>
        </w:rPr>
        <w:t xml:space="preserve">安排必要的面對面評估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</w:rPr>
        <w:t xml:space="preserve">結果回饋與記錄：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將追蹤結果記錄於系統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回饋原治療團隊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必要時更新照護計劃</w:t>
      </w:r>
    </w:p>
    <w:p>
      <w:pPr>
        <w:pStyle w:val="Compact"/>
        <w:numPr>
          <w:ilvl w:val="1"/>
          <w:numId w:val="1075"/>
        </w:numPr>
      </w:pPr>
      <w:r>
        <w:rPr>
          <w:rFonts w:hint="eastAsia"/>
        </w:rPr>
        <w:t xml:space="preserve">安排後續追蹤或介入</w:t>
      </w:r>
    </w:p>
    <w:bookmarkEnd w:id="60"/>
    <w:bookmarkStart w:id="61" w:name="轉銜效果評估"/>
    <w:p>
      <w:pPr>
        <w:pStyle w:val="Heading4"/>
      </w:pPr>
      <w:r>
        <w:t xml:space="preserve">5.6.3 </w:t>
      </w:r>
      <w:r>
        <w:rPr>
          <w:rFonts w:hint="eastAsia"/>
        </w:rPr>
        <w:t xml:space="preserve">轉銜效果評估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</w:rPr>
        <w:t xml:space="preserve">短期轉銜效果評估：</w:t>
      </w:r>
    </w:p>
    <w:p>
      <w:pPr>
        <w:pStyle w:val="Compact"/>
        <w:numPr>
          <w:ilvl w:val="1"/>
          <w:numId w:val="1077"/>
        </w:numPr>
      </w:pPr>
      <w:r>
        <w:rPr>
          <w:rFonts w:hint="eastAsia"/>
        </w:rPr>
        <w:t xml:space="preserve">評估轉銜過程順暢度</w:t>
      </w:r>
    </w:p>
    <w:p>
      <w:pPr>
        <w:pStyle w:val="Compact"/>
        <w:numPr>
          <w:ilvl w:val="1"/>
          <w:numId w:val="1077"/>
        </w:numPr>
      </w:pPr>
      <w:r>
        <w:rPr>
          <w:rFonts w:hint="eastAsia"/>
        </w:rPr>
        <w:t xml:space="preserve">信息傳遞完整性評估</w:t>
      </w:r>
    </w:p>
    <w:p>
      <w:pPr>
        <w:pStyle w:val="Compact"/>
        <w:numPr>
          <w:ilvl w:val="1"/>
          <w:numId w:val="1077"/>
        </w:numPr>
      </w:pPr>
      <w:r>
        <w:rPr>
          <w:rFonts w:hint="eastAsia"/>
        </w:rPr>
        <w:t xml:space="preserve">患者與家屬滿意度評估</w:t>
      </w:r>
    </w:p>
    <w:p>
      <w:pPr>
        <w:pStyle w:val="Compact"/>
        <w:numPr>
          <w:ilvl w:val="1"/>
          <w:numId w:val="1077"/>
        </w:numPr>
      </w:pPr>
      <w:r>
        <w:rPr>
          <w:rFonts w:hint="eastAsia"/>
        </w:rPr>
        <w:t xml:space="preserve">初期適應情況評估</w:t>
      </w:r>
    </w:p>
    <w:p>
      <w:pPr>
        <w:pStyle w:val="Compact"/>
        <w:numPr>
          <w:ilvl w:val="1"/>
          <w:numId w:val="1077"/>
        </w:numPr>
      </w:pPr>
      <w:r>
        <w:rPr>
          <w:rFonts w:hint="eastAsia"/>
        </w:rPr>
        <w:t xml:space="preserve">發現的問題與改善機會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</w:rPr>
        <w:t xml:space="preserve">長期轉銜效果評估：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治療連續性維持情況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功能維持或改善程度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再入院或急診就醫情況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患者長期滿意度</w:t>
      </w:r>
    </w:p>
    <w:p>
      <w:pPr>
        <w:pStyle w:val="Compact"/>
        <w:numPr>
          <w:ilvl w:val="1"/>
          <w:numId w:val="1078"/>
        </w:numPr>
      </w:pPr>
      <w:r>
        <w:rPr>
          <w:rFonts w:hint="eastAsia"/>
        </w:rPr>
        <w:t xml:space="preserve">治療目標達成情況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</w:rPr>
        <w:t xml:space="preserve">系統性回饋：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收集接收機構的回饋意見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分析轉銜成功與失敗案例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識別系統性改善機會</w:t>
      </w:r>
    </w:p>
    <w:p>
      <w:pPr>
        <w:pStyle w:val="Compact"/>
        <w:numPr>
          <w:ilvl w:val="1"/>
          <w:numId w:val="1079"/>
        </w:numPr>
      </w:pPr>
      <w:r>
        <w:rPr>
          <w:rFonts w:hint="eastAsia"/>
        </w:rPr>
        <w:t xml:space="preserve">回饋至出院與轉銜流程優化</w:t>
      </w:r>
    </w:p>
    <w:bookmarkEnd w:id="61"/>
    <w:bookmarkEnd w:id="62"/>
    <w:bookmarkStart w:id="65" w:name="品質監控與改善"/>
    <w:p>
      <w:pPr>
        <w:pStyle w:val="Heading3"/>
      </w:pPr>
      <w:r>
        <w:t xml:space="preserve">5.7 </w:t>
      </w:r>
      <w:r>
        <w:rPr>
          <w:rFonts w:hint="eastAsia"/>
        </w:rPr>
        <w:t xml:space="preserve">品質監控與改善</w:t>
      </w:r>
    </w:p>
    <w:bookmarkStart w:id="63" w:name="品質指標監測"/>
    <w:p>
      <w:pPr>
        <w:pStyle w:val="Heading4"/>
      </w:pPr>
      <w:r>
        <w:t xml:space="preserve">5.7.1 </w:t>
      </w:r>
      <w:r>
        <w:rPr>
          <w:rFonts w:hint="eastAsia"/>
        </w:rPr>
        <w:t xml:space="preserve">品質指標監測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</w:rPr>
        <w:t xml:space="preserve">過程指標監測：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出院計劃完成率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出院衛教完成率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轉銜文件完整率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多專業團隊會議執行率</w:t>
      </w:r>
    </w:p>
    <w:p>
      <w:pPr>
        <w:pStyle w:val="Compact"/>
        <w:numPr>
          <w:ilvl w:val="1"/>
          <w:numId w:val="1081"/>
        </w:numPr>
      </w:pPr>
      <w:r>
        <w:rPr>
          <w:rFonts w:hint="eastAsia"/>
        </w:rPr>
        <w:t xml:space="preserve">追蹤計劃執行率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</w:rPr>
        <w:t xml:space="preserve">結果指標監測：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計劃外再入院率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出院後急診就醫率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轉銜失敗率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患者與家屬滿意度</w:t>
      </w:r>
    </w:p>
    <w:p>
      <w:pPr>
        <w:pStyle w:val="Compact"/>
        <w:numPr>
          <w:ilvl w:val="1"/>
          <w:numId w:val="1082"/>
        </w:numPr>
      </w:pPr>
      <w:r>
        <w:rPr>
          <w:rFonts w:hint="eastAsia"/>
        </w:rPr>
        <w:t xml:space="preserve">功能維持或改善率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</w:rPr>
        <w:t xml:space="preserve">資料收集與分析：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系統性資料收集機制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定期資料統計與分析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趨勢監測與比較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問題識別與原因分析</w:t>
      </w:r>
    </w:p>
    <w:p>
      <w:pPr>
        <w:pStyle w:val="Compact"/>
        <w:numPr>
          <w:ilvl w:val="1"/>
          <w:numId w:val="1083"/>
        </w:numPr>
      </w:pPr>
      <w:r>
        <w:rPr>
          <w:rFonts w:hint="eastAsia"/>
        </w:rPr>
        <w:t xml:space="preserve">建立基準與設定改善目標</w:t>
      </w:r>
    </w:p>
    <w:bookmarkEnd w:id="63"/>
    <w:bookmarkStart w:id="64" w:name="持續改善機制"/>
    <w:p>
      <w:pPr>
        <w:pStyle w:val="Heading4"/>
      </w:pPr>
      <w:r>
        <w:t xml:space="preserve">5.7.2 </w:t>
      </w:r>
      <w:r>
        <w:rPr>
          <w:rFonts w:hint="eastAsia"/>
        </w:rPr>
        <w:t xml:space="preserve">持續改善機制</w:t>
      </w:r>
    </w:p>
    <w:p>
      <w:pPr>
        <w:pStyle w:val="Compact"/>
        <w:numPr>
          <w:ilvl w:val="0"/>
          <w:numId w:val="1084"/>
        </w:numPr>
      </w:pPr>
      <w:r>
        <w:rPr>
          <w:rFonts w:hint="eastAsia"/>
        </w:rPr>
        <w:t xml:space="preserve">定期審核與檢討：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月度出院與轉銜報告審核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季度品質指標分析會議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年度出院與轉銜流程檢討</w:t>
      </w:r>
    </w:p>
    <w:p>
      <w:pPr>
        <w:pStyle w:val="Compact"/>
        <w:numPr>
          <w:ilvl w:val="1"/>
          <w:numId w:val="1085"/>
        </w:numPr>
      </w:pPr>
      <w:r>
        <w:rPr>
          <w:rFonts w:hint="eastAsia"/>
        </w:rPr>
        <w:t xml:space="preserve">不良事件或失敗案例回顧</w:t>
      </w:r>
    </w:p>
    <w:p>
      <w:pPr>
        <w:pStyle w:val="Compact"/>
        <w:numPr>
          <w:ilvl w:val="0"/>
          <w:numId w:val="1084"/>
        </w:numPr>
      </w:pPr>
      <w:r>
        <w:rPr>
          <w:rFonts w:hint="eastAsia"/>
        </w:rPr>
        <w:t xml:space="preserve">改善計劃實施：</w:t>
      </w:r>
    </w:p>
    <w:p>
      <w:pPr>
        <w:pStyle w:val="Compact"/>
        <w:numPr>
          <w:ilvl w:val="1"/>
          <w:numId w:val="1086"/>
        </w:numPr>
      </w:pPr>
      <w:r>
        <w:rPr>
          <w:rFonts w:hint="eastAsia"/>
        </w:rPr>
        <w:t xml:space="preserve">根據品質監測結果擬定改善計劃</w:t>
      </w:r>
    </w:p>
    <w:p>
      <w:pPr>
        <w:pStyle w:val="Compact"/>
        <w:numPr>
          <w:ilvl w:val="1"/>
          <w:numId w:val="1086"/>
        </w:numPr>
      </w:pPr>
      <w:r>
        <w:rPr>
          <w:rFonts w:hint="eastAsia"/>
        </w:rPr>
        <w:t xml:space="preserve">使用PDCA循環進行改善</w:t>
      </w:r>
    </w:p>
    <w:p>
      <w:pPr>
        <w:pStyle w:val="Compact"/>
        <w:numPr>
          <w:ilvl w:val="1"/>
          <w:numId w:val="1086"/>
        </w:numPr>
      </w:pPr>
      <w:r>
        <w:rPr>
          <w:rFonts w:hint="eastAsia"/>
        </w:rPr>
        <w:t xml:space="preserve">更新相關作業標準與流程</w:t>
      </w:r>
    </w:p>
    <w:p>
      <w:pPr>
        <w:pStyle w:val="Compact"/>
        <w:numPr>
          <w:ilvl w:val="1"/>
          <w:numId w:val="1086"/>
        </w:numPr>
      </w:pPr>
      <w:r>
        <w:rPr>
          <w:rFonts w:hint="eastAsia"/>
        </w:rPr>
        <w:t xml:space="preserve">提供必要的教育訓練</w:t>
      </w:r>
    </w:p>
    <w:p>
      <w:pPr>
        <w:pStyle w:val="Compact"/>
        <w:numPr>
          <w:ilvl w:val="1"/>
          <w:numId w:val="1086"/>
        </w:numPr>
      </w:pPr>
      <w:r>
        <w:rPr>
          <w:rFonts w:hint="eastAsia"/>
        </w:rPr>
        <w:t xml:space="preserve">強化跨部門與跨機構合作</w:t>
      </w:r>
    </w:p>
    <w:p>
      <w:pPr>
        <w:pStyle w:val="Compact"/>
        <w:numPr>
          <w:ilvl w:val="0"/>
          <w:numId w:val="1084"/>
        </w:numPr>
      </w:pPr>
      <w:r>
        <w:rPr>
          <w:rFonts w:hint="eastAsia"/>
        </w:rPr>
        <w:t xml:space="preserve">最佳實踐分享：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識別與記錄成功案例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分析成功因素與策略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標準化有效的做法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在組織內分享成功經驗</w:t>
      </w:r>
    </w:p>
    <w:p>
      <w:pPr>
        <w:pStyle w:val="Compact"/>
        <w:numPr>
          <w:ilvl w:val="1"/>
          <w:numId w:val="1087"/>
        </w:numPr>
      </w:pPr>
      <w:r>
        <w:rPr>
          <w:rFonts w:hint="eastAsia"/>
        </w:rPr>
        <w:t xml:space="preserve">必要時進行流程再造</w:t>
      </w:r>
    </w:p>
    <w:bookmarkEnd w:id="64"/>
    <w:bookmarkEnd w:id="65"/>
    <w:bookmarkEnd w:id="66"/>
    <w:bookmarkStart w:id="71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67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88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p>
      <w:pPr>
        <w:pStyle w:val="Compact"/>
        <w:numPr>
          <w:ilvl w:val="0"/>
          <w:numId w:val="1088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88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088"/>
        </w:numPr>
      </w:pPr>
      <w:r>
        <w:t xml:space="preserve">QM-P004 </w:t>
      </w:r>
      <w:r>
        <w:rPr>
          <w:rFonts w:hint="eastAsia"/>
        </w:rPr>
        <w:t xml:space="preserve">不符合項處理程序</w:t>
      </w:r>
    </w:p>
    <w:p>
      <w:pPr>
        <w:pStyle w:val="Compact"/>
        <w:numPr>
          <w:ilvl w:val="0"/>
          <w:numId w:val="1088"/>
        </w:numPr>
      </w:pPr>
      <w:r>
        <w:t xml:space="preserve">QM-P005 </w:t>
      </w:r>
      <w:r>
        <w:rPr>
          <w:rFonts w:hint="eastAsia"/>
        </w:rPr>
        <w:t xml:space="preserve">矯正預防措施程序</w:t>
      </w:r>
    </w:p>
    <w:bookmarkEnd w:id="67"/>
    <w:bookmarkStart w:id="68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89"/>
        </w:numPr>
      </w:pPr>
      <w:r>
        <w:t xml:space="preserve">PT-P001 </w:t>
      </w:r>
      <w:r>
        <w:rPr>
          <w:rFonts w:hint="eastAsia"/>
        </w:rPr>
        <w:t xml:space="preserve">門診服務流程程序</w:t>
      </w:r>
    </w:p>
    <w:p>
      <w:pPr>
        <w:pStyle w:val="Compact"/>
        <w:numPr>
          <w:ilvl w:val="0"/>
          <w:numId w:val="1089"/>
        </w:numPr>
      </w:pPr>
      <w:r>
        <w:t xml:space="preserve">PT-P003 </w:t>
      </w:r>
      <w:r>
        <w:rPr>
          <w:rFonts w:hint="eastAsia"/>
        </w:rPr>
        <w:t xml:space="preserve">治療實施程序</w:t>
      </w:r>
    </w:p>
    <w:p>
      <w:pPr>
        <w:pStyle w:val="Compact"/>
        <w:numPr>
          <w:ilvl w:val="0"/>
          <w:numId w:val="1089"/>
        </w:numPr>
      </w:pPr>
      <w:r>
        <w:t xml:space="preserve">PT-P006 </w:t>
      </w:r>
      <w:r>
        <w:rPr>
          <w:rFonts w:hint="eastAsia"/>
        </w:rPr>
        <w:t xml:space="preserve">治療安全管理程序</w:t>
      </w:r>
    </w:p>
    <w:p>
      <w:pPr>
        <w:pStyle w:val="Compact"/>
        <w:numPr>
          <w:ilvl w:val="0"/>
          <w:numId w:val="1089"/>
        </w:numPr>
      </w:pPr>
      <w:r>
        <w:t xml:space="preserve">PT-P008 </w:t>
      </w:r>
      <w:r>
        <w:rPr>
          <w:rFonts w:hint="eastAsia"/>
        </w:rPr>
        <w:t xml:space="preserve">住院患者服務流程程序</w:t>
      </w:r>
    </w:p>
    <w:p>
      <w:pPr>
        <w:pStyle w:val="Compact"/>
        <w:numPr>
          <w:ilvl w:val="0"/>
          <w:numId w:val="1089"/>
        </w:numPr>
      </w:pPr>
      <w:r>
        <w:t xml:space="preserve">QM-P007 </w:t>
      </w:r>
      <w:r>
        <w:rPr>
          <w:rFonts w:hint="eastAsia"/>
        </w:rPr>
        <w:t xml:space="preserve">設備管理程序</w:t>
      </w:r>
    </w:p>
    <w:p>
      <w:pPr>
        <w:pStyle w:val="Compact"/>
        <w:numPr>
          <w:ilvl w:val="0"/>
          <w:numId w:val="1089"/>
        </w:numPr>
      </w:pPr>
      <w:r>
        <w:t xml:space="preserve">CS-P001 </w:t>
      </w:r>
      <w:r>
        <w:rPr>
          <w:rFonts w:hint="eastAsia"/>
        </w:rPr>
        <w:t xml:space="preserve">客戶滿意度調查程序</w:t>
      </w:r>
    </w:p>
    <w:bookmarkEnd w:id="68"/>
    <w:bookmarkStart w:id="69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90"/>
        </w:numPr>
      </w:pPr>
      <w:r>
        <w:t xml:space="preserve">PT-I001 </w:t>
      </w:r>
      <w:r>
        <w:rPr>
          <w:rFonts w:hint="eastAsia"/>
        </w:rPr>
        <w:t xml:space="preserve">肌肉骨骼評估指導書</w:t>
      </w:r>
    </w:p>
    <w:p>
      <w:pPr>
        <w:pStyle w:val="Compact"/>
        <w:numPr>
          <w:ilvl w:val="0"/>
          <w:numId w:val="1090"/>
        </w:numPr>
      </w:pPr>
      <w:r>
        <w:t xml:space="preserve">PT-I003 </w:t>
      </w:r>
      <w:r>
        <w:rPr>
          <w:rFonts w:hint="eastAsia"/>
        </w:rPr>
        <w:t xml:space="preserve">徒手治療指導書</w:t>
      </w:r>
    </w:p>
    <w:p>
      <w:pPr>
        <w:pStyle w:val="Compact"/>
        <w:numPr>
          <w:ilvl w:val="0"/>
          <w:numId w:val="1090"/>
        </w:numPr>
      </w:pPr>
      <w:r>
        <w:t xml:space="preserve">PT-I004 </w:t>
      </w:r>
      <w:r>
        <w:rPr>
          <w:rFonts w:hint="eastAsia"/>
        </w:rPr>
        <w:t xml:space="preserve">運動治療指導書</w:t>
      </w:r>
    </w:p>
    <w:p>
      <w:pPr>
        <w:pStyle w:val="Compact"/>
        <w:numPr>
          <w:ilvl w:val="0"/>
          <w:numId w:val="1090"/>
        </w:numPr>
      </w:pPr>
      <w:r>
        <w:t xml:space="preserve">PT-I005 </w:t>
      </w:r>
      <w:r>
        <w:rPr>
          <w:rFonts w:hint="eastAsia"/>
        </w:rPr>
        <w:t xml:space="preserve">物理因子治療操作指導書</w:t>
      </w:r>
    </w:p>
    <w:p>
      <w:pPr>
        <w:pStyle w:val="Compact"/>
        <w:numPr>
          <w:ilvl w:val="0"/>
          <w:numId w:val="1090"/>
        </w:numPr>
      </w:pPr>
      <w:r>
        <w:t xml:space="preserve">PT-I007 </w:t>
      </w:r>
      <w:r>
        <w:rPr>
          <w:rFonts w:hint="eastAsia"/>
        </w:rPr>
        <w:t xml:space="preserve">呼吸物理治療指導書</w:t>
      </w:r>
    </w:p>
    <w:bookmarkEnd w:id="69"/>
    <w:bookmarkStart w:id="70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91"/>
        </w:numPr>
      </w:pPr>
      <w:r>
        <w:t xml:space="preserve">PT-F001 </w:t>
      </w:r>
      <w:r>
        <w:rPr>
          <w:rFonts w:hint="eastAsia"/>
        </w:rPr>
        <w:t xml:space="preserve">物理治療評估表</w:t>
      </w:r>
    </w:p>
    <w:p>
      <w:pPr>
        <w:pStyle w:val="Compact"/>
        <w:numPr>
          <w:ilvl w:val="0"/>
          <w:numId w:val="1091"/>
        </w:numPr>
      </w:pPr>
      <w:r>
        <w:t xml:space="preserve">PT-F002 </w:t>
      </w:r>
      <w:r>
        <w:rPr>
          <w:rFonts w:hint="eastAsia"/>
        </w:rPr>
        <w:t xml:space="preserve">治療計劃表</w:t>
      </w:r>
    </w:p>
    <w:p>
      <w:pPr>
        <w:pStyle w:val="Compact"/>
        <w:numPr>
          <w:ilvl w:val="0"/>
          <w:numId w:val="1091"/>
        </w:numPr>
      </w:pPr>
      <w:r>
        <w:t xml:space="preserve">PT-F003 </w:t>
      </w:r>
      <w:r>
        <w:rPr>
          <w:rFonts w:hint="eastAsia"/>
        </w:rPr>
        <w:t xml:space="preserve">病患進展記錄表</w:t>
      </w:r>
    </w:p>
    <w:p>
      <w:pPr>
        <w:pStyle w:val="Compact"/>
        <w:numPr>
          <w:ilvl w:val="0"/>
          <w:numId w:val="1091"/>
        </w:numPr>
      </w:pPr>
      <w:r>
        <w:t xml:space="preserve">PT-F005 </w:t>
      </w:r>
      <w:r>
        <w:rPr>
          <w:rFonts w:hint="eastAsia"/>
        </w:rPr>
        <w:t xml:space="preserve">治療結案摘要表</w:t>
      </w:r>
    </w:p>
    <w:p>
      <w:pPr>
        <w:pStyle w:val="Compact"/>
        <w:numPr>
          <w:ilvl w:val="0"/>
          <w:numId w:val="1091"/>
        </w:numPr>
      </w:pPr>
      <w:r>
        <w:t xml:space="preserve">PT-F006 </w:t>
      </w:r>
      <w:r>
        <w:rPr>
          <w:rFonts w:hint="eastAsia"/>
        </w:rPr>
        <w:t xml:space="preserve">出院計劃檢核表</w:t>
      </w:r>
    </w:p>
    <w:p>
      <w:pPr>
        <w:pStyle w:val="Compact"/>
        <w:numPr>
          <w:ilvl w:val="0"/>
          <w:numId w:val="1091"/>
        </w:numPr>
      </w:pPr>
      <w:r>
        <w:t xml:space="preserve">PT-F007 </w:t>
      </w:r>
      <w:r>
        <w:rPr>
          <w:rFonts w:hint="eastAsia"/>
        </w:rPr>
        <w:t xml:space="preserve">出院後追蹤表</w:t>
      </w:r>
    </w:p>
    <w:p>
      <w:pPr>
        <w:pStyle w:val="Compact"/>
        <w:numPr>
          <w:ilvl w:val="0"/>
          <w:numId w:val="1091"/>
        </w:numPr>
      </w:pPr>
      <w:r>
        <w:t xml:space="preserve">PT-F008 </w:t>
      </w:r>
      <w:r>
        <w:rPr>
          <w:rFonts w:hint="eastAsia"/>
        </w:rPr>
        <w:t xml:space="preserve">轉銜服務評估表</w:t>
      </w:r>
    </w:p>
    <w:p>
      <w:pPr>
        <w:pStyle w:val="Compact"/>
        <w:numPr>
          <w:ilvl w:val="0"/>
          <w:numId w:val="1091"/>
        </w:numPr>
      </w:pPr>
      <w:r>
        <w:t xml:space="preserve">PT-F009 </w:t>
      </w:r>
      <w:r>
        <w:rPr>
          <w:rFonts w:hint="eastAsia"/>
        </w:rPr>
        <w:t xml:space="preserve">居家環境評估表</w:t>
      </w:r>
    </w:p>
    <w:p>
      <w:pPr>
        <w:pStyle w:val="Compact"/>
        <w:numPr>
          <w:ilvl w:val="0"/>
          <w:numId w:val="1091"/>
        </w:numPr>
      </w:pPr>
      <w:r>
        <w:t xml:space="preserve">CS-F001 </w:t>
      </w:r>
      <w:r>
        <w:rPr>
          <w:rFonts w:hint="eastAsia"/>
        </w:rPr>
        <w:t xml:space="preserve">顧客滿意度調查表</w:t>
      </w:r>
    </w:p>
    <w:p>
      <w:pPr>
        <w:pStyle w:val="Compact"/>
        <w:numPr>
          <w:ilvl w:val="0"/>
          <w:numId w:val="1091"/>
        </w:numPr>
      </w:pPr>
      <w:r>
        <w:t xml:space="preserve">QM-F003 </w:t>
      </w:r>
      <w:r>
        <w:rPr>
          <w:rFonts w:hint="eastAsia"/>
        </w:rPr>
        <w:t xml:space="preserve">異常事件報告表</w:t>
      </w:r>
    </w:p>
    <w:bookmarkEnd w:id="70"/>
    <w:bookmarkEnd w:id="71"/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2025-04-16T05:33:09Z</dcterms:created>
  <dcterms:modified xsi:type="dcterms:W3CDTF">2025-04-16T05:33:09Z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