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pt-p007-功能性訓練程序"/>
    <w:p>
      <w:pPr>
        <w:pStyle w:val="Heading1"/>
      </w:pPr>
      <w:r>
        <w:t xml:space="preserve">PT-P007 </w:t>
      </w:r>
      <w:r>
        <w:rPr>
          <w:rFonts w:hint="eastAsia"/>
        </w:rPr>
        <w:t xml:space="preserve">功能性訓練程序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功能性訓練程序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功能性訓練評估與準備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功能性訓練計劃制定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功能性訓練實施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功能性訓練進度評估與調整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功能性訓練結束與居家指導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特殊患者功能性訓練調整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本程序旨在規範功能性訓練的評估、計劃、實施與追蹤流程，確保功能性訓練的科學性、安全性與有效性，促進患者在日常生活、工作和運動等真實環境中的功能恢復與表現提升，提高患者生活品質與獨立性。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內所有院所提供的功能性訓練服務，包括但不限於行走訓練、平衡訓練、協調性訓練、職業相關功能訓練、運動特定功能訓練及日常生活活動訓練等。適用於各類需要改善功能表現的患者。</w:t>
      </w:r>
    </w:p>
    <w:bookmarkEnd w:id="22"/>
    <w:bookmarkStart w:id="28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監督功能性訓練程序的實施與執行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協調解決功能性訓練過程中的問題與資源需求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組織功能性訓練相關的團隊培訓與技能提升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審核複雜個案的功能性訓練計劃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定期評估功能性訓練服務品質與效果</w:t>
      </w:r>
    </w:p>
    <w:bookmarkEnd w:id="23"/>
    <w:bookmarkStart w:id="24" w:name="資深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資深物理治療師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指導與協助初級物理治療師制定功能性訓練計劃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參與複雜個案的功能性訓練設計與實施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提供功能性訓練技術諮詢與指導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協助開發與更新功能性訓練方案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參與功能性訓練成效評估與品質改進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評估患者功能狀態與需求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設計個性化功能性訓練計劃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實施功能性訓練並指導患者正確執行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監測患者在訓練中的反應與進展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調整訓練計劃以適應患者進步或限制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記錄訓練內容與患者反應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評估訓練成效並提供居家訓練指導</w:t>
      </w:r>
    </w:p>
    <w:bookmarkEnd w:id="25"/>
    <w:bookmarkStart w:id="26" w:name="輔助人員物理治療助理技術員"/>
    <w:p>
      <w:pPr>
        <w:pStyle w:val="Heading3"/>
      </w:pPr>
      <w:r>
        <w:t xml:space="preserve">3.4 </w:t>
      </w:r>
      <w:r>
        <w:rPr>
          <w:rFonts w:hint="eastAsia"/>
        </w:rPr>
        <w:t xml:space="preserve">輔助人員（物理治療助理/技術員）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在物理治療師監督下協助功能性訓練的實施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準備功能性訓練所需的設備與環境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協助監測患者訓練中的安全與反應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記錄基本訓練數據</w:t>
      </w:r>
    </w:p>
    <w:bookmarkEnd w:id="26"/>
    <w:bookmarkStart w:id="27" w:name="患者與照顧者"/>
    <w:p>
      <w:pPr>
        <w:pStyle w:val="Heading3"/>
      </w:pPr>
      <w:r>
        <w:t xml:space="preserve">3.5 </w:t>
      </w:r>
      <w:r>
        <w:rPr>
          <w:rFonts w:hint="eastAsia"/>
        </w:rPr>
        <w:t xml:space="preserve">患者與照顧者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積極參與功能性訓練計劃的制定與實施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在訓練中提供反饋與合作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遵循居家訓練指導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報告任何不適或異常反應</w:t>
      </w:r>
    </w:p>
    <w:bookmarkEnd w:id="27"/>
    <w:bookmarkEnd w:id="28"/>
    <w:bookmarkStart w:id="35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9" w:name="功能性訓練"/>
    <w:p>
      <w:pPr>
        <w:pStyle w:val="Heading3"/>
      </w:pPr>
      <w:r>
        <w:t xml:space="preserve">4.1 </w:t>
      </w:r>
      <w:r>
        <w:rPr>
          <w:rFonts w:hint="eastAsia"/>
        </w:rPr>
        <w:t xml:space="preserve">功能性訓練</w:t>
      </w:r>
    </w:p>
    <w:p>
      <w:pPr>
        <w:pStyle w:val="FirstParagraph"/>
      </w:pPr>
      <w:r>
        <w:rPr>
          <w:rFonts w:hint="eastAsia"/>
        </w:rPr>
        <w:t xml:space="preserve">針對患者在日常生活、工作或運動中的具體功能需求，設計與實施的專項訓練活動，旨在改善特定功能表現、提高獨立性與生活品質。</w:t>
      </w:r>
    </w:p>
    <w:bookmarkEnd w:id="29"/>
    <w:bookmarkStart w:id="30" w:name="任務導向訓練"/>
    <w:p>
      <w:pPr>
        <w:pStyle w:val="Heading3"/>
      </w:pPr>
      <w:r>
        <w:t xml:space="preserve">4.2 </w:t>
      </w:r>
      <w:r>
        <w:rPr>
          <w:rFonts w:hint="eastAsia"/>
        </w:rPr>
        <w:t xml:space="preserve">任務導向訓練</w:t>
      </w:r>
    </w:p>
    <w:p>
      <w:pPr>
        <w:pStyle w:val="FirstParagraph"/>
      </w:pPr>
      <w:r>
        <w:rPr>
          <w:rFonts w:hint="eastAsia"/>
        </w:rPr>
        <w:t xml:space="preserve">基於特定功能任務的完整動作訓練，強調在真實或模擬環境中進行與生活相關的完整動作練習，促進運動學習與功能恢復。</w:t>
      </w:r>
    </w:p>
    <w:bookmarkEnd w:id="30"/>
    <w:bookmarkStart w:id="31" w:name="功能性進階"/>
    <w:p>
      <w:pPr>
        <w:pStyle w:val="Heading3"/>
      </w:pPr>
      <w:r>
        <w:t xml:space="preserve">4.3 </w:t>
      </w:r>
      <w:r>
        <w:rPr>
          <w:rFonts w:hint="eastAsia"/>
        </w:rPr>
        <w:t xml:space="preserve">功能性進階</w:t>
      </w:r>
    </w:p>
    <w:p>
      <w:pPr>
        <w:pStyle w:val="FirstParagraph"/>
      </w:pPr>
      <w:r>
        <w:rPr>
          <w:rFonts w:hint="eastAsia"/>
        </w:rPr>
        <w:t xml:space="preserve">根據患者功能恢復情況，系統性增加訓練難度與複雜性的過程，包括增加阻力、減少支持、加入不穩定因素、增加認知要求等策略。</w:t>
      </w:r>
    </w:p>
    <w:bookmarkEnd w:id="31"/>
    <w:bookmarkStart w:id="32" w:name="功能性評估"/>
    <w:p>
      <w:pPr>
        <w:pStyle w:val="Heading3"/>
      </w:pPr>
      <w:r>
        <w:t xml:space="preserve">4.4 </w:t>
      </w:r>
      <w:r>
        <w:rPr>
          <w:rFonts w:hint="eastAsia"/>
        </w:rPr>
        <w:t xml:space="preserve">功能性評估</w:t>
      </w:r>
    </w:p>
    <w:p>
      <w:pPr>
        <w:pStyle w:val="FirstParagraph"/>
      </w:pPr>
      <w:r>
        <w:rPr>
          <w:rFonts w:hint="eastAsia"/>
        </w:rPr>
        <w:t xml:space="preserve">評估患者在特定功能活動中的表現能力，包括質性觀察與量化測量，如計時行走測試、平衡量表、功能性伸展測試等。</w:t>
      </w:r>
    </w:p>
    <w:bookmarkEnd w:id="32"/>
    <w:bookmarkStart w:id="33" w:name="功能性目標"/>
    <w:p>
      <w:pPr>
        <w:pStyle w:val="Heading3"/>
      </w:pPr>
      <w:r>
        <w:t xml:space="preserve">4.5 </w:t>
      </w:r>
      <w:r>
        <w:rPr>
          <w:rFonts w:hint="eastAsia"/>
        </w:rPr>
        <w:t xml:space="preserve">功能性目標</w:t>
      </w:r>
    </w:p>
    <w:p>
      <w:pPr>
        <w:pStyle w:val="FirstParagraph"/>
      </w:pPr>
      <w:r>
        <w:rPr>
          <w:rFonts w:hint="eastAsia"/>
        </w:rPr>
        <w:t xml:space="preserve">與患者日常生活、工作或運動相關的具體、可衡量的功能性成果目標，如「能夠獨立上下12階樓梯」、「能夠負重10公斤行走100公尺」等。</w:t>
      </w:r>
    </w:p>
    <w:bookmarkEnd w:id="33"/>
    <w:bookmarkStart w:id="34" w:name="運動學習原則"/>
    <w:p>
      <w:pPr>
        <w:pStyle w:val="Heading3"/>
      </w:pPr>
      <w:r>
        <w:t xml:space="preserve">4.6 </w:t>
      </w:r>
      <w:r>
        <w:rPr>
          <w:rFonts w:hint="eastAsia"/>
        </w:rPr>
        <w:t xml:space="preserve">運動學習原則</w:t>
      </w:r>
    </w:p>
    <w:p>
      <w:pPr>
        <w:pStyle w:val="FirstParagraph"/>
      </w:pPr>
      <w:r>
        <w:rPr>
          <w:rFonts w:hint="eastAsia"/>
        </w:rPr>
        <w:t xml:space="preserve">指導功能性訓練設計的學習理論原則，包括任務特異性、變異性練習、分散性練習、反饋調整等促進動作技能獲得與保留的策略。</w:t>
      </w:r>
    </w:p>
    <w:bookmarkEnd w:id="34"/>
    <w:bookmarkEnd w:id="35"/>
    <w:bookmarkStart w:id="6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0" w:name="功能性訓練評估與準備"/>
    <w:p>
      <w:pPr>
        <w:pStyle w:val="Heading3"/>
      </w:pPr>
      <w:r>
        <w:t xml:space="preserve">5.1 </w:t>
      </w:r>
      <w:r>
        <w:rPr>
          <w:rFonts w:hint="eastAsia"/>
        </w:rPr>
        <w:t xml:space="preserve">功能性訓練評估與準備</w:t>
      </w:r>
    </w:p>
    <w:bookmarkStart w:id="36" w:name="功能性需求評估"/>
    <w:p>
      <w:pPr>
        <w:pStyle w:val="Heading4"/>
      </w:pPr>
      <w:r>
        <w:t xml:space="preserve">5.1.1 </w:t>
      </w:r>
      <w:r>
        <w:rPr>
          <w:rFonts w:hint="eastAsia"/>
        </w:rPr>
        <w:t xml:space="preserve">功能性需求評估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詢問患者日常生活、工作與休閒活動需求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識別患者最關注與最困難的功能活動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記錄患者功能性目標與期望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了解患者生活與工作環境特點</w:t>
      </w:r>
    </w:p>
    <w:bookmarkEnd w:id="36"/>
    <w:bookmarkStart w:id="37" w:name="功能性基線測量"/>
    <w:p>
      <w:pPr>
        <w:pStyle w:val="Heading4"/>
      </w:pPr>
      <w:r>
        <w:t xml:space="preserve">5.1.2 </w:t>
      </w:r>
      <w:r>
        <w:rPr>
          <w:rFonts w:hint="eastAsia"/>
        </w:rPr>
        <w:t xml:space="preserve">功能性基線測量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使用標準化功能評估工具進行測量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選擇與患者需求相關的功能性測試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記錄基線功能表現數據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分析功能缺損的具體原因與成分</w:t>
      </w:r>
    </w:p>
    <w:bookmarkEnd w:id="37"/>
    <w:bookmarkStart w:id="38" w:name="訓練環境與設備準備"/>
    <w:p>
      <w:pPr>
        <w:pStyle w:val="Heading4"/>
      </w:pPr>
      <w:r>
        <w:t xml:space="preserve">5.1.3 </w:t>
      </w:r>
      <w:r>
        <w:rPr>
          <w:rFonts w:hint="eastAsia"/>
        </w:rPr>
        <w:t xml:space="preserve">訓練環境與設備準備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確認功能性訓練所需空間與設備可用性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準備模擬患者真實環境的道具與設施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檢查所有訓練設備的安全性與功能性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調整訓練環境以確保安全與效率</w:t>
      </w:r>
    </w:p>
    <w:bookmarkEnd w:id="38"/>
    <w:bookmarkStart w:id="39" w:name="患者準備"/>
    <w:p>
      <w:pPr>
        <w:pStyle w:val="Heading4"/>
      </w:pPr>
      <w:r>
        <w:t xml:space="preserve">5.1.4 </w:t>
      </w:r>
      <w:r>
        <w:rPr>
          <w:rFonts w:hint="eastAsia"/>
        </w:rPr>
        <w:t xml:space="preserve">患者準備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確認患者健康狀況適合進行訓練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測量訓練前基本生命徵象（必要時）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解釋訓練目的、過程與預期效果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確保患者穿著適合訓練的服裝與鞋具</w:t>
      </w:r>
    </w:p>
    <w:bookmarkEnd w:id="39"/>
    <w:bookmarkEnd w:id="40"/>
    <w:bookmarkStart w:id="46" w:name="功能性訓練計劃制定"/>
    <w:p>
      <w:pPr>
        <w:pStyle w:val="Heading3"/>
      </w:pPr>
      <w:r>
        <w:t xml:space="preserve">5.2 </w:t>
      </w:r>
      <w:r>
        <w:rPr>
          <w:rFonts w:hint="eastAsia"/>
        </w:rPr>
        <w:t xml:space="preserve">功能性訓練計劃制定</w:t>
      </w:r>
    </w:p>
    <w:bookmarkStart w:id="41" w:name="設定功能性目標"/>
    <w:p>
      <w:pPr>
        <w:pStyle w:val="Heading4"/>
      </w:pPr>
      <w:r>
        <w:t xml:space="preserve">5.2.1 </w:t>
      </w:r>
      <w:r>
        <w:rPr>
          <w:rFonts w:hint="eastAsia"/>
        </w:rPr>
        <w:t xml:space="preserve">設定功能性目標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與患者共同設定短期與長期功能目標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確保目標符合SMART原則（具體、可測量、可達成、相關、有時限）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將目標分解為可執行的訓練階段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記錄目標於治療計劃中</w:t>
      </w:r>
    </w:p>
    <w:bookmarkEnd w:id="41"/>
    <w:bookmarkStart w:id="42" w:name="功能分析與訓練要素確定"/>
    <w:p>
      <w:pPr>
        <w:pStyle w:val="Heading4"/>
      </w:pPr>
      <w:r>
        <w:t xml:space="preserve">5.2.2 </w:t>
      </w:r>
      <w:r>
        <w:rPr>
          <w:rFonts w:hint="eastAsia"/>
        </w:rPr>
        <w:t xml:space="preserve">功能分析與訓練要素確定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分析目標功能所需的基本要素（力量、關節活動度、平衡等）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確定限制功能表現的主要因素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將功能動作分解為組成成分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設計針對各組成成分的訓練項目</w:t>
      </w:r>
    </w:p>
    <w:bookmarkEnd w:id="42"/>
    <w:bookmarkStart w:id="43" w:name="選擇訓練策略與方法"/>
    <w:p>
      <w:pPr>
        <w:pStyle w:val="Heading4"/>
      </w:pPr>
      <w:r>
        <w:t xml:space="preserve">5.2.3 </w:t>
      </w:r>
      <w:r>
        <w:rPr>
          <w:rFonts w:hint="eastAsia"/>
        </w:rPr>
        <w:t xml:space="preserve">選擇訓練策略與方法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根據功能目標選擇適當的訓練方法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確定任務特異性訓練活動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選擇適當的訓練設備與輔助工具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設計符合運動學習原則的訓練序列</w:t>
      </w:r>
    </w:p>
    <w:bookmarkEnd w:id="43"/>
    <w:bookmarkStart w:id="44" w:name="設定訓練參數"/>
    <w:p>
      <w:pPr>
        <w:pStyle w:val="Heading4"/>
      </w:pPr>
      <w:r>
        <w:t xml:space="preserve">5.2.4 </w:t>
      </w:r>
      <w:r>
        <w:rPr>
          <w:rFonts w:hint="eastAsia"/>
        </w:rPr>
        <w:t xml:space="preserve">設定訓練參數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確定訓練頻率與時長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設定各訓練項目的重複次數、組數、難度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規劃休息間隔與訓練節奏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設計漸進式負荷與難度增加計劃</w:t>
      </w:r>
    </w:p>
    <w:bookmarkEnd w:id="44"/>
    <w:bookmarkStart w:id="45" w:name="制定居家訓練計劃"/>
    <w:p>
      <w:pPr>
        <w:pStyle w:val="Heading4"/>
      </w:pPr>
      <w:r>
        <w:t xml:space="preserve">5.2.5 </w:t>
      </w:r>
      <w:r>
        <w:rPr>
          <w:rFonts w:hint="eastAsia"/>
        </w:rPr>
        <w:t xml:space="preserve">制定居家訓練計劃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選擇適合居家環境的功能性訓練活動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提供清晰的書面與圖像指導資料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設定合理的居家訓練頻率與強度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確保居家訓練的安全性與可行性</w:t>
      </w:r>
    </w:p>
    <w:bookmarkEnd w:id="45"/>
    <w:bookmarkEnd w:id="46"/>
    <w:bookmarkStart w:id="53" w:name="功能性訓練實施"/>
    <w:p>
      <w:pPr>
        <w:pStyle w:val="Heading3"/>
      </w:pPr>
      <w:r>
        <w:t xml:space="preserve">5.3 </w:t>
      </w:r>
      <w:r>
        <w:rPr>
          <w:rFonts w:hint="eastAsia"/>
        </w:rPr>
        <w:t xml:space="preserve">功能性訓練實施</w:t>
      </w:r>
    </w:p>
    <w:bookmarkStart w:id="47" w:name="訓練前準備與溝通"/>
    <w:p>
      <w:pPr>
        <w:pStyle w:val="Heading4"/>
      </w:pPr>
      <w:r>
        <w:t xml:space="preserve">5.3.1 </w:t>
      </w:r>
      <w:r>
        <w:rPr>
          <w:rFonts w:hint="eastAsia"/>
        </w:rPr>
        <w:t xml:space="preserve">訓練前準備與溝通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向患者解釋當次訓練目標與內容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複習前次訓練成效與進展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檢查患者身體狀況與任何不適報告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展示訓練動作與技術要點</w:t>
      </w:r>
    </w:p>
    <w:bookmarkEnd w:id="47"/>
    <w:bookmarkStart w:id="48" w:name="基本要素訓練"/>
    <w:p>
      <w:pPr>
        <w:pStyle w:val="Heading4"/>
      </w:pPr>
      <w:r>
        <w:t xml:space="preserve">5.3.2 </w:t>
      </w:r>
      <w:r>
        <w:rPr>
          <w:rFonts w:hint="eastAsia"/>
        </w:rPr>
        <w:t xml:space="preserve">基本要素訓練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進行功能相關的基本能力訓練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實施針對性的關節活動度訓練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執行功能肌力與耐力訓練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實施基礎平衡與協調性訓練</w:t>
      </w:r>
    </w:p>
    <w:bookmarkEnd w:id="48"/>
    <w:bookmarkStart w:id="49" w:name="功能性任務訓練"/>
    <w:p>
      <w:pPr>
        <w:pStyle w:val="Heading4"/>
      </w:pPr>
      <w:r>
        <w:t xml:space="preserve">5.3.3 </w:t>
      </w:r>
      <w:r>
        <w:rPr>
          <w:rFonts w:hint="eastAsia"/>
        </w:rPr>
        <w:t xml:space="preserve">功能性任務訓練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引導患者執行完整功能性任務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提供適當的輔助與支持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調整任務難度以匹配患者能力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實施任務導向的反覆練習</w:t>
      </w:r>
    </w:p>
    <w:bookmarkEnd w:id="49"/>
    <w:bookmarkStart w:id="50" w:name="環境與任務變異訓練"/>
    <w:p>
      <w:pPr>
        <w:pStyle w:val="Heading4"/>
      </w:pPr>
      <w:r>
        <w:t xml:space="preserve">5.3.4 </w:t>
      </w:r>
      <w:r>
        <w:rPr>
          <w:rFonts w:hint="eastAsia"/>
        </w:rPr>
        <w:t xml:space="preserve">環境與任務變異訓練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在不同環境與條件下實施訓練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改變任務執行的速度、方向與方式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加入干擾因素與認知挑戰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模擬真實環境中的功能要求</w:t>
      </w:r>
    </w:p>
    <w:bookmarkEnd w:id="50"/>
    <w:bookmarkStart w:id="51" w:name="訓練反饋與調整"/>
    <w:p>
      <w:pPr>
        <w:pStyle w:val="Heading4"/>
      </w:pPr>
      <w:r>
        <w:t xml:space="preserve">5.3.5 </w:t>
      </w:r>
      <w:r>
        <w:rPr>
          <w:rFonts w:hint="eastAsia"/>
        </w:rPr>
        <w:t xml:space="preserve">訓練反饋與調整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提供及時、具體的口頭反饋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使用鏡子或錄影提供視覺反饋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根據患者表現調整訓練難度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解決訓練中出現的困難與問題</w:t>
      </w:r>
    </w:p>
    <w:bookmarkEnd w:id="51"/>
    <w:bookmarkStart w:id="52" w:name="訓練記錄"/>
    <w:p>
      <w:pPr>
        <w:pStyle w:val="Heading4"/>
      </w:pPr>
      <w:r>
        <w:t xml:space="preserve">5.3.6 </w:t>
      </w:r>
      <w:r>
        <w:rPr>
          <w:rFonts w:hint="eastAsia"/>
        </w:rPr>
        <w:t xml:space="preserve">訓練記錄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記錄訓練內容、時長與參數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記錄患者在訓練中的表現與反應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記錄任何訓練調整與特殊觀察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記錄患者報告的主觀感受</w:t>
      </w:r>
    </w:p>
    <w:bookmarkEnd w:id="52"/>
    <w:bookmarkEnd w:id="53"/>
    <w:bookmarkStart w:id="58" w:name="功能性訓練進度評估與調整"/>
    <w:p>
      <w:pPr>
        <w:pStyle w:val="Heading3"/>
      </w:pPr>
      <w:r>
        <w:t xml:space="preserve">5.4 </w:t>
      </w:r>
      <w:r>
        <w:rPr>
          <w:rFonts w:hint="eastAsia"/>
        </w:rPr>
        <w:t xml:space="preserve">功能性訓練進度評估與調整</w:t>
      </w:r>
    </w:p>
    <w:bookmarkStart w:id="54" w:name="定期功能性評估"/>
    <w:p>
      <w:pPr>
        <w:pStyle w:val="Heading4"/>
      </w:pPr>
      <w:r>
        <w:t xml:space="preserve">5.4.1 </w:t>
      </w:r>
      <w:r>
        <w:rPr>
          <w:rFonts w:hint="eastAsia"/>
        </w:rPr>
        <w:t xml:space="preserve">定期功能性評估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定期重複功能性評估測試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使用與基線測量相同的評估工具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比較結果與基線及前次評估數據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評估功能目標的達成情況</w:t>
      </w:r>
    </w:p>
    <w:bookmarkEnd w:id="54"/>
    <w:bookmarkStart w:id="55" w:name="訓練進階標準"/>
    <w:p>
      <w:pPr>
        <w:pStyle w:val="Heading4"/>
      </w:pPr>
      <w:r>
        <w:t xml:space="preserve">5.4.2 </w:t>
      </w:r>
      <w:r>
        <w:rPr>
          <w:rFonts w:hint="eastAsia"/>
        </w:rPr>
        <w:t xml:space="preserve">訓練進階標準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設定明確的訓練進階標準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當患者連續完成現階段訓練且表現穩定時進階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確保進階幅度適中，不過大亦不過小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記錄進階決策及依據</w:t>
      </w:r>
    </w:p>
    <w:bookmarkEnd w:id="55"/>
    <w:bookmarkStart w:id="56" w:name="訓練計劃調整"/>
    <w:p>
      <w:pPr>
        <w:pStyle w:val="Heading4"/>
      </w:pPr>
      <w:r>
        <w:t xml:space="preserve">5.4.3 </w:t>
      </w:r>
      <w:r>
        <w:rPr>
          <w:rFonts w:hint="eastAsia"/>
        </w:rPr>
        <w:t xml:space="preserve">訓練計劃調整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根據評估結果調整訓練目標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修改訓練內容以解決持續存在的功能限制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更新訓練參數以提供適當挑戰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調整訓練策略以優化效果</w:t>
      </w:r>
    </w:p>
    <w:bookmarkEnd w:id="56"/>
    <w:bookmarkStart w:id="57" w:name="跨專業協調"/>
    <w:p>
      <w:pPr>
        <w:pStyle w:val="Heading4"/>
      </w:pPr>
      <w:r>
        <w:t xml:space="preserve">5.4.4 </w:t>
      </w:r>
      <w:r>
        <w:rPr>
          <w:rFonts w:hint="eastAsia"/>
        </w:rPr>
        <w:t xml:space="preserve">跨專業協調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與其他專業人員分享功能進展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協調多專業治療目標與方向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整合其他專業的治療建議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確保功能訓練與整體治療計劃協調一致</w:t>
      </w:r>
    </w:p>
    <w:bookmarkEnd w:id="57"/>
    <w:bookmarkEnd w:id="58"/>
    <w:bookmarkStart w:id="63" w:name="功能性訓練結束與居家指導"/>
    <w:p>
      <w:pPr>
        <w:pStyle w:val="Heading3"/>
      </w:pPr>
      <w:r>
        <w:t xml:space="preserve">5.5 </w:t>
      </w:r>
      <w:r>
        <w:rPr>
          <w:rFonts w:hint="eastAsia"/>
        </w:rPr>
        <w:t xml:space="preserve">功能性訓練結束與居家指導</w:t>
      </w:r>
    </w:p>
    <w:bookmarkStart w:id="59" w:name="結束評估"/>
    <w:p>
      <w:pPr>
        <w:pStyle w:val="Heading4"/>
      </w:pPr>
      <w:r>
        <w:t xml:space="preserve">5.5.1 </w:t>
      </w:r>
      <w:r>
        <w:rPr>
          <w:rFonts w:hint="eastAsia"/>
        </w:rPr>
        <w:t xml:space="preserve">結束評估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進行全面的功能性評估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比較最終結果與初始基線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評估功能目標達成情況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確定是否需要後續追蹤或支持</w:t>
      </w:r>
    </w:p>
    <w:bookmarkEnd w:id="59"/>
    <w:bookmarkStart w:id="60" w:name="制定維持計劃"/>
    <w:p>
      <w:pPr>
        <w:pStyle w:val="Heading4"/>
      </w:pPr>
      <w:r>
        <w:t xml:space="preserve">5.5.2 </w:t>
      </w:r>
      <w:r>
        <w:rPr>
          <w:rFonts w:hint="eastAsia"/>
        </w:rPr>
        <w:t xml:space="preserve">制定維持計劃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設計長期功能維持與進步計劃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提供具體的自我管理策略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建議適合的社區資源與活動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設定功能維持目標與自我監測方法</w:t>
      </w:r>
    </w:p>
    <w:bookmarkEnd w:id="60"/>
    <w:bookmarkStart w:id="61" w:name="居家訓練指導"/>
    <w:p>
      <w:pPr>
        <w:pStyle w:val="Heading4"/>
      </w:pPr>
      <w:r>
        <w:t xml:space="preserve">5.5.3 </w:t>
      </w:r>
      <w:r>
        <w:rPr>
          <w:rFonts w:hint="eastAsia"/>
        </w:rPr>
        <w:t xml:space="preserve">居家訓練指導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提供書面居家訓練手冊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實際示範與練習居家訓練活動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提供訓練頻率、強度與進階建議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指導安全注意事項與異常反應處理</w:t>
      </w:r>
    </w:p>
    <w:bookmarkEnd w:id="61"/>
    <w:bookmarkStart w:id="62" w:name="追蹤安排"/>
    <w:p>
      <w:pPr>
        <w:pStyle w:val="Heading4"/>
      </w:pPr>
      <w:r>
        <w:t xml:space="preserve">5.5.4 </w:t>
      </w:r>
      <w:r>
        <w:rPr>
          <w:rFonts w:hint="eastAsia"/>
        </w:rPr>
        <w:t xml:space="preserve">追蹤安排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制定後續追蹤評估計劃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提供聯絡方式與求助途徑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安排必要的定期回診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建立長期功能監測機制</w:t>
      </w:r>
    </w:p>
    <w:bookmarkEnd w:id="62"/>
    <w:bookmarkEnd w:id="63"/>
    <w:bookmarkStart w:id="68" w:name="特殊患者功能性訓練調整"/>
    <w:p>
      <w:pPr>
        <w:pStyle w:val="Heading3"/>
      </w:pPr>
      <w:r>
        <w:t xml:space="preserve">5.6 </w:t>
      </w:r>
      <w:r>
        <w:rPr>
          <w:rFonts w:hint="eastAsia"/>
        </w:rPr>
        <w:t xml:space="preserve">特殊患者功能性訓練調整</w:t>
      </w:r>
    </w:p>
    <w:bookmarkStart w:id="64" w:name="老年患者"/>
    <w:p>
      <w:pPr>
        <w:pStyle w:val="Heading4"/>
      </w:pPr>
      <w:r>
        <w:t xml:space="preserve">5.6.1 </w:t>
      </w:r>
      <w:r>
        <w:rPr>
          <w:rFonts w:hint="eastAsia"/>
        </w:rPr>
        <w:t xml:space="preserve">老年患者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增強安全措施，預防跌倒風險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調整訓練強度與休息比例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重視功能性活動與日常生活技能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考慮認知能力對訓練的影響</w:t>
      </w:r>
    </w:p>
    <w:bookmarkEnd w:id="64"/>
    <w:bookmarkStart w:id="65" w:name="兒童患者"/>
    <w:p>
      <w:pPr>
        <w:pStyle w:val="Heading4"/>
      </w:pPr>
      <w:r>
        <w:t xml:space="preserve">5.6.2 </w:t>
      </w:r>
      <w:r>
        <w:rPr>
          <w:rFonts w:hint="eastAsia"/>
        </w:rPr>
        <w:t xml:space="preserve">兒童患者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融入遊戲元素增強參與動機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根據發展階段調整訓練內容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納入家長/照顧者共同參與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考慮學校與社交功能需求</w:t>
      </w:r>
    </w:p>
    <w:bookmarkEnd w:id="65"/>
    <w:bookmarkStart w:id="66" w:name="慢性疼痛患者"/>
    <w:p>
      <w:pPr>
        <w:pStyle w:val="Heading4"/>
      </w:pPr>
      <w:r>
        <w:t xml:space="preserve">5.6.3 </w:t>
      </w:r>
      <w:r>
        <w:rPr>
          <w:rFonts w:hint="eastAsia"/>
        </w:rPr>
        <w:t xml:space="preserve">慢性疼痛患者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結合疼痛管理策略與功能訓練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使用分級活動計劃漸進增加活動量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關注患者對活動的恐懼與避免行為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調整功能目標以平衡疼痛控制與功能提升</w:t>
      </w:r>
    </w:p>
    <w:bookmarkEnd w:id="66"/>
    <w:bookmarkStart w:id="67" w:name="神經系統患者"/>
    <w:p>
      <w:pPr>
        <w:pStyle w:val="Heading4"/>
      </w:pPr>
      <w:r>
        <w:t xml:space="preserve">5.6.4 </w:t>
      </w:r>
      <w:r>
        <w:rPr>
          <w:rFonts w:hint="eastAsia"/>
        </w:rPr>
        <w:t xml:space="preserve">神經系統患者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考慮認知與交流能力對訓練的影響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調整指令與反饋方式以適應患者理解能力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重視姿勢控制與異常張力的管理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設計考慮動作控制障礙的安全訓練環境</w:t>
      </w:r>
    </w:p>
    <w:bookmarkEnd w:id="67"/>
    <w:bookmarkEnd w:id="68"/>
    <w:bookmarkEnd w:id="69"/>
    <w:bookmarkStart w:id="74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0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5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0"/>
    <w:bookmarkStart w:id="71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6"/>
        </w:numPr>
      </w:pPr>
      <w:r>
        <w:t xml:space="preserve">PT-P001 </w:t>
      </w:r>
      <w:r>
        <w:rPr>
          <w:rFonts w:hint="eastAsia"/>
        </w:rPr>
        <w:t xml:space="preserve">物理治療評估程序</w:t>
      </w:r>
    </w:p>
    <w:p>
      <w:pPr>
        <w:pStyle w:val="Compact"/>
        <w:numPr>
          <w:ilvl w:val="0"/>
          <w:numId w:val="1036"/>
        </w:numPr>
      </w:pPr>
      <w:r>
        <w:t xml:space="preserve">PT-P002 </w:t>
      </w:r>
      <w:r>
        <w:rPr>
          <w:rFonts w:hint="eastAsia"/>
        </w:rPr>
        <w:t xml:space="preserve">治療計劃制定程序</w:t>
      </w:r>
    </w:p>
    <w:p>
      <w:pPr>
        <w:pStyle w:val="Compact"/>
        <w:numPr>
          <w:ilvl w:val="0"/>
          <w:numId w:val="1036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36"/>
        </w:numPr>
      </w:pPr>
      <w:r>
        <w:t xml:space="preserve">PT-P004 </w:t>
      </w:r>
      <w:r>
        <w:rPr>
          <w:rFonts w:hint="eastAsia"/>
        </w:rPr>
        <w:t xml:space="preserve">治療成效評估程序</w:t>
      </w:r>
    </w:p>
    <w:p>
      <w:pPr>
        <w:pStyle w:val="Compact"/>
        <w:numPr>
          <w:ilvl w:val="0"/>
          <w:numId w:val="1036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bookmarkEnd w:id="71"/>
    <w:bookmarkStart w:id="72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37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37"/>
        </w:numPr>
      </w:pPr>
      <w:r>
        <w:t xml:space="preserve">PT-I006 </w:t>
      </w:r>
      <w:r>
        <w:rPr>
          <w:rFonts w:hint="eastAsia"/>
        </w:rPr>
        <w:t xml:space="preserve">功能性訓練指導書</w:t>
      </w:r>
    </w:p>
    <w:p>
      <w:pPr>
        <w:pStyle w:val="Compact"/>
        <w:numPr>
          <w:ilvl w:val="0"/>
          <w:numId w:val="1037"/>
        </w:numPr>
      </w:pPr>
      <w:r>
        <w:t xml:space="preserve">PT-I007 </w:t>
      </w:r>
      <w:r>
        <w:rPr>
          <w:rFonts w:hint="eastAsia"/>
        </w:rPr>
        <w:t xml:space="preserve">平衡訓練指導書</w:t>
      </w:r>
    </w:p>
    <w:p>
      <w:pPr>
        <w:pStyle w:val="Compact"/>
        <w:numPr>
          <w:ilvl w:val="0"/>
          <w:numId w:val="1037"/>
        </w:numPr>
      </w:pPr>
      <w:r>
        <w:t xml:space="preserve">PT-I008 </w:t>
      </w:r>
      <w:r>
        <w:rPr>
          <w:rFonts w:hint="eastAsia"/>
        </w:rPr>
        <w:t xml:space="preserve">步態訓練指導書</w:t>
      </w:r>
    </w:p>
    <w:bookmarkEnd w:id="72"/>
    <w:bookmarkStart w:id="73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38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038"/>
        </w:numPr>
      </w:pPr>
      <w:r>
        <w:t xml:space="preserve">PT-F002 </w:t>
      </w:r>
      <w:r>
        <w:rPr>
          <w:rFonts w:hint="eastAsia"/>
        </w:rPr>
        <w:t xml:space="preserve">治療計畫表</w:t>
      </w:r>
    </w:p>
    <w:p>
      <w:pPr>
        <w:pStyle w:val="Compact"/>
        <w:numPr>
          <w:ilvl w:val="0"/>
          <w:numId w:val="1038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038"/>
        </w:numPr>
      </w:pPr>
      <w:r>
        <w:t xml:space="preserve">PT-F007 </w:t>
      </w:r>
      <w:r>
        <w:rPr>
          <w:rFonts w:hint="eastAsia"/>
        </w:rPr>
        <w:t xml:space="preserve">功能性訓練記錄表</w:t>
      </w:r>
    </w:p>
    <w:p>
      <w:pPr>
        <w:pStyle w:val="Compact"/>
        <w:numPr>
          <w:ilvl w:val="0"/>
          <w:numId w:val="1038"/>
        </w:numPr>
      </w:pPr>
      <w:r>
        <w:t xml:space="preserve">PT-F008 </w:t>
      </w:r>
      <w:r>
        <w:rPr>
          <w:rFonts w:hint="eastAsia"/>
        </w:rPr>
        <w:t xml:space="preserve">居家功能訓練指導單</w:t>
      </w:r>
    </w:p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