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1-銷售顧問職務說明書"/>
    <w:p>
      <w:pPr>
        <w:pStyle w:val="Heading1"/>
      </w:pPr>
      <w:r>
        <w:t xml:space="preserve">HR-F011 </w:t>
      </w:r>
      <w:r>
        <w:rPr>
          <w:rFonts w:hint="eastAsia"/>
        </w:rPr>
        <w:t xml:space="preserve">銷售顧問職務說明書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銷售顧問職務說明書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銷售顧問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SC-01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向潛在客戶、合作機構和保險公司推廣復健中心的服務，建立並維護長期穩定的客戶關係，達成銷售目標，提升市場佔有率，同時收集市場信息與客戶需求反饋，協助制定行銷策略與服務改進計劃，為機構持續發展提供市場支持與業務增長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市場開發與客戶拓展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主動開發新市場與潛在客戶群體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建立並維護潛在客戶資料庫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設計並實施有效的客戶開發計劃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主動聯繫潛在合作醫療機構與醫生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開展社區健康宣教與推廣活動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參與行業展會與交流活動拓展網絡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服務推廣與銷售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向潛在客戶介紹中心服務與專業優勢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為客戶提供個性化的服務方案建議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引導潛在客戶參觀中心設施與環境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協助客戶理解治療方案與服務價值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解答客戶疑問並消除顧慮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達成服務銷售與轉化目標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客戶關係維護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定期聯繫現有客戶保持關係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收集客戶反饋與服務體驗評價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協調解決客戶投訴與問題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設計並執行客戶關懷與忠誠度計劃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協助重要客戶的溝通與關係管理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建立長期穩定的客戶關係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機構合作與拓展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開發與醫療機構的合作關係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推動與保險公司的服務協議合作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建立與企業客戶的團體服務合作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跟進機構合作進展與維護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協助制定與執行機構合作計劃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評估合作成效與關係管理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市場信息收集與分析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收集市場動態與競爭對手信息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研究行業趨勢與客戶需求變化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整理與報告市場調研發現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提出基於市場反饋的服務改進建議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協助分析銷售數據與趨勢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參與市場策略的調整與優化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銷售計劃與報告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制定個人銷售計劃與目標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追蹤銷售進展與目標達成情況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撰寫定期銷售報告與分析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參與銷售會議與績效討論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提出銷售策略改進建議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協助部門行銷計劃的制定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專業知識與技能發展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持續學習復健醫學與治療知識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提升專業服務理解與溝通能力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學習最新的銷售技巧與方法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掌握市場營銷與客戶管理工具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參與專業培訓與技能發展課程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不斷提升專業銷售顧問能力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日常銷售流程管理</w:t>
            </w:r>
            <w:r>
              <w:rPr>
                <w:rFonts w:hint="eastAsia"/>
              </w:rPr>
              <w:t xml:space="preserve">潛在客戶開發與聯繫</w:t>
            </w:r>
            <w:r>
              <w:rPr>
                <w:rFonts w:hint="eastAsia"/>
              </w:rPr>
              <w:t xml:space="preserve">基本服務方案推薦</w:t>
            </w:r>
            <w:r>
              <w:rPr>
                <w:rFonts w:hint="eastAsia"/>
              </w:rPr>
              <w:t xml:space="preserve">銷售時間安排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銷售策略調整建議</w:t>
            </w:r>
            <w:r>
              <w:rPr>
                <w:rFonts w:hint="eastAsia"/>
              </w:rPr>
              <w:t xml:space="preserve">目標客戶群體建議</w:t>
            </w:r>
            <w:r>
              <w:rPr>
                <w:rFonts w:hint="eastAsia"/>
              </w:rPr>
              <w:t xml:space="preserve">銷售促進方案</w:t>
            </w:r>
            <w:r>
              <w:rPr>
                <w:rFonts w:hint="eastAsia"/>
              </w:rPr>
              <w:t xml:space="preserve">市場開發優先順序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特殊價格與折扣</w:t>
            </w:r>
            <w:r>
              <w:rPr>
                <w:rFonts w:hint="eastAsia"/>
              </w:rPr>
              <w:t xml:space="preserve">重大優惠政策</w:t>
            </w:r>
            <w:r>
              <w:rPr>
                <w:rFonts w:hint="eastAsia"/>
              </w:rPr>
              <w:t xml:space="preserve">大客戶合作協議</w:t>
            </w:r>
            <w:r>
              <w:rPr>
                <w:rFonts w:hint="eastAsia"/>
              </w:rPr>
              <w:t xml:space="preserve">銷售目標調整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一般客戶溝通與處理</w:t>
            </w:r>
            <w:r>
              <w:rPr>
                <w:rFonts w:hint="eastAsia"/>
              </w:rPr>
              <w:t xml:space="preserve">日常客戶關係維護</w:t>
            </w:r>
            <w:r>
              <w:rPr>
                <w:rFonts w:hint="eastAsia"/>
              </w:rPr>
              <w:t xml:space="preserve">客戶需求基本評估</w:t>
            </w:r>
            <w:r>
              <w:rPr>
                <w:rFonts w:hint="eastAsia"/>
              </w:rPr>
              <w:t xml:space="preserve">一般問題回應與處理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客戶關係管理策略</w:t>
            </w:r>
            <w:r>
              <w:rPr>
                <w:rFonts w:hint="eastAsia"/>
              </w:rPr>
              <w:t xml:space="preserve">客戶忠誠度計劃</w:t>
            </w:r>
            <w:r>
              <w:rPr>
                <w:rFonts w:hint="eastAsia"/>
              </w:rPr>
              <w:t xml:space="preserve">重要客戶服務方案</w:t>
            </w:r>
            <w:r>
              <w:rPr>
                <w:rFonts w:hint="eastAsia"/>
              </w:rPr>
              <w:t xml:space="preserve">客戶投訴處理建議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重要客戶特殊要求</w:t>
            </w:r>
            <w:r>
              <w:rPr>
                <w:rFonts w:hint="eastAsia"/>
              </w:rPr>
              <w:t xml:space="preserve">重大投訴處理方案</w:t>
            </w:r>
            <w:r>
              <w:rPr>
                <w:rFonts w:hint="eastAsia"/>
              </w:rPr>
              <w:t xml:space="preserve">客戶關係危機處理</w:t>
            </w:r>
            <w:r>
              <w:rPr>
                <w:rFonts w:hint="eastAsia"/>
              </w:rPr>
              <w:t xml:space="preserve">大額退款與賠償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銷售資料與工具使用</w:t>
            </w:r>
            <w:r>
              <w:rPr>
                <w:rFonts w:hint="eastAsia"/>
              </w:rPr>
              <w:t xml:space="preserve">日常展示與推廣材料</w:t>
            </w:r>
            <w:r>
              <w:rPr>
                <w:rFonts w:hint="eastAsia"/>
              </w:rPr>
              <w:t xml:space="preserve">常規市場調研活動</w:t>
            </w:r>
            <w:r>
              <w:rPr>
                <w:rFonts w:hint="eastAsia"/>
              </w:rPr>
              <w:t xml:space="preserve">業務費用基本支出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銷售工具改進建議</w:t>
            </w:r>
            <w:r>
              <w:rPr>
                <w:rFonts w:hint="eastAsia"/>
              </w:rPr>
              <w:t xml:space="preserve">推廣材料優化建議</w:t>
            </w:r>
            <w:r>
              <w:rPr>
                <w:rFonts w:hint="eastAsia"/>
              </w:rPr>
              <w:t xml:space="preserve">資源配置優先序建議</w:t>
            </w:r>
            <w:r>
              <w:rPr>
                <w:rFonts w:hint="eastAsia"/>
              </w:rPr>
              <w:t xml:space="preserve">費用使用效率建議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額外資源申請</w:t>
            </w:r>
            <w:r>
              <w:rPr>
                <w:rFonts w:hint="eastAsia"/>
              </w:rPr>
              <w:t xml:space="preserve">大額銷售預算使用</w:t>
            </w:r>
            <w:r>
              <w:rPr>
                <w:rFonts w:hint="eastAsia"/>
              </w:rPr>
              <w:t xml:space="preserve">新工具或系統採購</w:t>
            </w:r>
            <w:r>
              <w:rPr>
                <w:rFonts w:hint="eastAsia"/>
              </w:rPr>
              <w:t xml:space="preserve">特殊市場活動資源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行銷活動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常規推廣活動執行</w:t>
            </w:r>
            <w:r>
              <w:rPr>
                <w:rFonts w:hint="eastAsia"/>
              </w:rPr>
              <w:t xml:space="preserve">日常社交媒體互動</w:t>
            </w:r>
            <w:r>
              <w:rPr>
                <w:rFonts w:hint="eastAsia"/>
              </w:rPr>
              <w:t xml:space="preserve">標準展示與講解</w:t>
            </w:r>
            <w:r>
              <w:rPr>
                <w:rFonts w:hint="eastAsia"/>
              </w:rPr>
              <w:t xml:space="preserve">客戶教育活動參與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市場活動創意方案</w:t>
            </w:r>
            <w:r>
              <w:rPr>
                <w:rFonts w:hint="eastAsia"/>
              </w:rPr>
              <w:t xml:space="preserve">目標客群行銷策略</w:t>
            </w:r>
            <w:r>
              <w:rPr>
                <w:rFonts w:hint="eastAsia"/>
              </w:rPr>
              <w:t xml:space="preserve">內容營銷改進建議</w:t>
            </w:r>
            <w:r>
              <w:rPr>
                <w:rFonts w:hint="eastAsia"/>
              </w:rPr>
              <w:t xml:space="preserve">客戶教育計劃建議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重大行銷活動計劃</w:t>
            </w:r>
            <w:r>
              <w:rPr>
                <w:rFonts w:hint="eastAsia"/>
              </w:rPr>
              <w:t xml:space="preserve">行銷預算分配</w:t>
            </w:r>
            <w:r>
              <w:rPr>
                <w:rFonts w:hint="eastAsia"/>
              </w:rPr>
              <w:t xml:space="preserve">品牌相關決策</w:t>
            </w:r>
            <w:r>
              <w:rPr>
                <w:rFonts w:hint="eastAsia"/>
              </w:rPr>
              <w:t xml:space="preserve">跨部門行銷合作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每日/週度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銷售目標、業績報告、市場反饋、策略調整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行銷團隊成員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銷售協作、客戶信息分享、經驗交流、團隊合作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客戶需求對接、預約安排、服務協調、客戶反饋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專業服務諮詢、療程規劃、特殊需求協調、專業支援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服務專業問題諮詢、特殊案例討論、服務能力確認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行政支援、資源協調、文件處理、後勤保障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費用報銷、預算執行、銷售數據確認、收入核對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潛在客戶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服務介紹、需求了解、價值溝通、方案提供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現有客戶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週度/月度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關係維護、滿意度跟蹤、增值服務推薦、持續關懷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合作醫療機構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合作洽談、病患轉介、專業交流、關係維護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服務合作、理賠對接、優惠政策、關係建立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企業客戶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團體服務洽談、員工福利方案、健康講座安排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健康教育活動、社區推廣、公益合作、品牌建設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季度/半年度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行業動態、標準交流、專業網絡、資源共享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：大專或以上學歷，市場營銷、企業管理、醫療管理相關專業優先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專業證書</w:t>
      </w:r>
      <w:r>
        <w:rPr>
          <w:rFonts w:hint="eastAsia"/>
        </w:rPr>
        <w:t xml:space="preserve">：銷售或營銷相關專業認證優先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專業培訓</w:t>
      </w:r>
      <w:r>
        <w:rPr>
          <w:rFonts w:hint="eastAsia"/>
        </w:rPr>
        <w:t xml:space="preserve">：醫療或健康服務銷售培訓經歷優先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：流利的中文表達能力，良好的書面溝通能力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：2年以上銷售或客戶服務經驗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：醫療健康、康復服務或相關領域銷售經驗優先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：具有客戶開發、關係維護、服務銷售經驗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：有醫療機構、保險公司合作經驗者優先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：基本的醫療康復知識，服務行銷理論與實務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銷售技能</w:t>
      </w:r>
      <w:r>
        <w:rPr>
          <w:rFonts w:hint="eastAsia"/>
        </w:rPr>
        <w:t xml:space="preserve">：優秀的溝通說服能力，談判技巧，關係建立能力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計算機能力</w:t>
      </w:r>
      <w:r>
        <w:rPr>
          <w:rFonts w:hint="eastAsia"/>
        </w:rPr>
        <w:t xml:space="preserve">：熟練使用辦公軟件與客戶管理系統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分析能力</w:t>
      </w:r>
      <w:r>
        <w:rPr>
          <w:rFonts w:hint="eastAsia"/>
        </w:rPr>
        <w:t xml:space="preserve">：基本的數據分析與市場洞察能力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口頭表達與說服能力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積極傾聽與需求理解能力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談判與協商能力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服務介紹與價值傳達能力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客戶需求分析與解決能力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市場分析與洞察能力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醫療服務知識理解能力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關係建立與維護能力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銷售目標達成能力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異議處理與克服能力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自我管理與銷售規劃能力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積極主動的服務態度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抗壓性與韌性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誠信與專業操守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持續學習與成長能力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銷售績效指標"/>
    <w:p>
      <w:pPr>
        <w:pStyle w:val="Heading3"/>
      </w:pPr>
      <w:r>
        <w:rPr>
          <w:rFonts w:hint="eastAsia"/>
        </w:rPr>
        <w:t xml:space="preserve">銷售績效指標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月度/季度銷售目標達成率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新客戶開發數量與轉化率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客戶平均消費額與頻次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服務合約簽約數量與價值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交叉銷售與增值服務業績</w:t>
      </w:r>
    </w:p>
    <w:bookmarkEnd w:id="32"/>
    <w:bookmarkStart w:id="33" w:name="客戶管理指標"/>
    <w:p>
      <w:pPr>
        <w:pStyle w:val="Heading3"/>
      </w:pPr>
      <w:r>
        <w:rPr>
          <w:rFonts w:hint="eastAsia"/>
        </w:rPr>
        <w:t xml:space="preserve">客戶管理指標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客戶滿意度評分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客戶續約率與忠誠度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客戶推薦與轉介人數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投訴處理成功率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客戶關係維護活動數量與效果</w:t>
      </w:r>
    </w:p>
    <w:bookmarkEnd w:id="33"/>
    <w:bookmarkStart w:id="34" w:name="市場發展指標"/>
    <w:p>
      <w:pPr>
        <w:pStyle w:val="Heading3"/>
      </w:pPr>
      <w:r>
        <w:rPr>
          <w:rFonts w:hint="eastAsia"/>
        </w:rPr>
        <w:t xml:space="preserve">市場發展指標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合作機構開發數量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保險公司合作進展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企業客戶開發成效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市場份額增長貢獻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市場信息收集與報告質量</w:t>
      </w:r>
    </w:p>
    <w:bookmarkEnd w:id="34"/>
    <w:bookmarkStart w:id="35" w:name="專業發展指標"/>
    <w:p>
      <w:pPr>
        <w:pStyle w:val="Heading3"/>
      </w:pPr>
      <w:r>
        <w:rPr>
          <w:rFonts w:hint="eastAsia"/>
        </w:rPr>
        <w:t xml:space="preserve">專業發展指標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專業知識與技能提升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培訓參與與學習成果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團隊協作與知識分享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創新銷售方法與工具應用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專業形象與客戶評價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：歐亥健復健中心，需要外出拜訪客戶與合作機構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：全職，需要靈活安排時間配合客戶需求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：需要一定出差，參加展會與推廣活動，偶爾需要加班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：銷售目標壓力、客戶開發難度、服務協調挑戰、市場競爭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：長時間溝通與外出造成的聲音及體力負擔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心理風險</w:t>
      </w:r>
      <w:r>
        <w:rPr>
          <w:rFonts w:hint="eastAsia"/>
        </w:rPr>
        <w:t xml:space="preserve">：銷售壓力、拒絕處理、客戶期望管理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職業發展風險</w:t>
      </w:r>
      <w:r>
        <w:rPr>
          <w:rFonts w:hint="eastAsia"/>
        </w:rPr>
        <w:t xml:space="preserve">：市場變化、專業更新不足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：定期培訓、績效合理設定、激勵機制、團隊支持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資深銷售顧問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銷售團隊組長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區域銷售主管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行銷部副主管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行銷部主管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客戶關係經理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市場企劃專員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業務發展專員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醫療服務顧問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健康管理顧問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銷售顧問職務說明書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2025-04-16T05:33:23Z</dcterms:created>
  <dcterms:modified xsi:type="dcterms:W3CDTF">2025-04-16T05:33:23Z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