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2-品質管理專員職務說明書"/>
    <w:p>
      <w:pPr>
        <w:pStyle w:val="Heading1"/>
      </w:pPr>
      <w:r>
        <w:t xml:space="preserve">HR-F012 </w:t>
      </w:r>
      <w:r>
        <w:rPr>
          <w:rFonts w:hint="eastAsia"/>
        </w:rPr>
        <w:t xml:space="preserve">品質管理專員職務說明書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QM-01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規劃、執行和監督復健中心的品質管理系統與流程，確保中心各項服務與營運符合相關品質標準與法規要求，通過持續改進活動提升中心的服務質量與運營效率，並協助建立質量文化，降低風險，提高患者滿意度與治療成效，為中心提供專業的品質保證與改進支持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品質管理體系維護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執行並維護中心的品質管理體系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更新與管理品質管理文件與程序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確保品質管理活動符合相關法規與標準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監督品質管理政策與程序的執行情況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協助進行品質管理體系的內部與外部審核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追蹤與協調品質管理體系的改進活動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服務品質監控與評估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制定並執行服務品質監控計劃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收集與分析各項服務質量指標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進行治療記錄與服務流程的品質審核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評估患者滿意度與服務體驗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監測關鍵績效指標並分析趨勢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編制服務品質評估報告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品質改進計劃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識別品質改進的機會與需求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協助設計與實施品質改進計劃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引導部門進行持續改進活動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監控改進計劃的進展與成效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推動最佳實踐的分享與實施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協助建立品質文化與意識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風險管理與患者安全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參與風險識別與評估活動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協助制定風險防控措施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監督患者安全標準的執行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協調處理不良事件與安全問題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進行不良事件根本原因分析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協助制定預防措施與改進方案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培訓與支持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設計與提供品質管理相關培訓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指導部門員工執行品質標準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提供品質管理工具與方法的培訓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協助解決品質相關問題與疑難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促進品質意識與文化的建立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支持部門進行自我評估與改進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數據收集與分析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建立數據收集系統與方法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收集與整理品質相關數據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分析品質數據與趨勢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製作數據報表與視覺化展示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提供基於數據的決策支持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協助建立品質指標與標準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法規與標準符合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跟蹤醫療品質相關法規與標準更新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評估中心運營與相關法規的符合性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參與認證與評審準備工作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協助處理法規合規性問題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制定並監督標準作業程序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參與相關許可與資質的維護工作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品質監控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日常品質檢查安排</w:t>
            </w:r>
            <w:r>
              <w:rPr>
                <w:rFonts w:hint="eastAsia"/>
              </w:rPr>
              <w:t xml:space="preserve">標準執行監督</w:t>
            </w:r>
            <w:r>
              <w:rPr>
                <w:rFonts w:hint="eastAsia"/>
              </w:rPr>
              <w:t xml:space="preserve">一般性數據收集</w:t>
            </w:r>
            <w:r>
              <w:rPr>
                <w:rFonts w:hint="eastAsia"/>
              </w:rPr>
              <w:t xml:space="preserve">常規審核實施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品質監控計劃調整</w:t>
            </w:r>
            <w:r>
              <w:rPr>
                <w:rFonts w:hint="eastAsia"/>
              </w:rPr>
              <w:t xml:space="preserve">監控方法優化建議</w:t>
            </w:r>
            <w:r>
              <w:rPr>
                <w:rFonts w:hint="eastAsia"/>
              </w:rPr>
              <w:t xml:space="preserve">標準修訂建議</w:t>
            </w:r>
            <w:r>
              <w:rPr>
                <w:rFonts w:hint="eastAsia"/>
              </w:rPr>
              <w:t xml:space="preserve">審核重點調整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重大監控計劃變更</w:t>
            </w:r>
            <w:r>
              <w:rPr>
                <w:rFonts w:hint="eastAsia"/>
              </w:rPr>
              <w:t xml:space="preserve">監控資源分配</w:t>
            </w:r>
            <w:r>
              <w:rPr>
                <w:rFonts w:hint="eastAsia"/>
              </w:rPr>
              <w:t xml:space="preserve">重大審核決策</w:t>
            </w:r>
            <w:r>
              <w:rPr>
                <w:rFonts w:hint="eastAsia"/>
              </w:rPr>
              <w:t xml:space="preserve">外部審核安排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改進活動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一般性改進建議</w:t>
            </w:r>
            <w:r>
              <w:rPr>
                <w:rFonts w:hint="eastAsia"/>
              </w:rPr>
              <w:t xml:space="preserve">小規模改進執行</w:t>
            </w:r>
            <w:r>
              <w:rPr>
                <w:rFonts w:hint="eastAsia"/>
              </w:rPr>
              <w:t xml:space="preserve">改進工具應用</w:t>
            </w:r>
            <w:r>
              <w:rPr>
                <w:rFonts w:hint="eastAsia"/>
              </w:rPr>
              <w:t xml:space="preserve">日常跟進與協調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改進計劃制定建議</w:t>
            </w:r>
            <w:r>
              <w:rPr>
                <w:rFonts w:hint="eastAsia"/>
              </w:rPr>
              <w:t xml:space="preserve">改進方法選擇</w:t>
            </w:r>
            <w:r>
              <w:rPr>
                <w:rFonts w:hint="eastAsia"/>
              </w:rPr>
              <w:t xml:space="preserve">跨部門改進協調</w:t>
            </w:r>
            <w:r>
              <w:rPr>
                <w:rFonts w:hint="eastAsia"/>
              </w:rPr>
              <w:t xml:space="preserve">改進優先級建議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重大改進計劃批准</w:t>
            </w:r>
            <w:r>
              <w:rPr>
                <w:rFonts w:hint="eastAsia"/>
              </w:rPr>
              <w:t xml:space="preserve">大規模資源投入</w:t>
            </w:r>
            <w:r>
              <w:rPr>
                <w:rFonts w:hint="eastAsia"/>
              </w:rPr>
              <w:t xml:space="preserve">改進方向重大調整</w:t>
            </w:r>
            <w:r>
              <w:rPr>
                <w:rFonts w:hint="eastAsia"/>
              </w:rPr>
              <w:t xml:space="preserve">重要改進成效評估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風險識別與記錄</w:t>
            </w:r>
            <w:r>
              <w:rPr>
                <w:rFonts w:hint="eastAsia"/>
              </w:rPr>
              <w:t xml:space="preserve">一般風險評估</w:t>
            </w:r>
            <w:r>
              <w:rPr>
                <w:rFonts w:hint="eastAsia"/>
              </w:rPr>
              <w:t xml:space="preserve">標準預防措施執行</w:t>
            </w:r>
            <w:r>
              <w:rPr>
                <w:rFonts w:hint="eastAsia"/>
              </w:rPr>
              <w:t xml:space="preserve">風險數據收集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風險控制措施建議</w:t>
            </w:r>
            <w:r>
              <w:rPr>
                <w:rFonts w:hint="eastAsia"/>
              </w:rPr>
              <w:t xml:space="preserve">評估方法改進建議</w:t>
            </w:r>
            <w:r>
              <w:rPr>
                <w:rFonts w:hint="eastAsia"/>
              </w:rPr>
              <w:t xml:space="preserve">預防措施優化</w:t>
            </w:r>
            <w:r>
              <w:rPr>
                <w:rFonts w:hint="eastAsia"/>
              </w:rPr>
              <w:t xml:space="preserve">風險報告系統改進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重大風險應對策略</w:t>
            </w:r>
            <w:r>
              <w:rPr>
                <w:rFonts w:hint="eastAsia"/>
              </w:rPr>
              <w:t xml:space="preserve">重大預防措施變更</w:t>
            </w:r>
            <w:r>
              <w:rPr>
                <w:rFonts w:hint="eastAsia"/>
              </w:rPr>
              <w:t xml:space="preserve">風險管理體系調整</w:t>
            </w:r>
            <w:r>
              <w:rPr>
                <w:rFonts w:hint="eastAsia"/>
              </w:rPr>
              <w:t xml:space="preserve">危機處理方案批准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培訓指導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培訓材料開發</w:t>
            </w:r>
            <w:r>
              <w:rPr>
                <w:rFonts w:hint="eastAsia"/>
              </w:rPr>
              <w:t xml:space="preserve">日常品質指導</w:t>
            </w:r>
            <w:r>
              <w:rPr>
                <w:rFonts w:hint="eastAsia"/>
              </w:rPr>
              <w:t xml:space="preserve">標準解釋與說明</w:t>
            </w:r>
            <w:r>
              <w:rPr>
                <w:rFonts w:hint="eastAsia"/>
              </w:rPr>
              <w:t xml:space="preserve">操作示範與指導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培訓計劃建議</w:t>
            </w:r>
            <w:r>
              <w:rPr>
                <w:rFonts w:hint="eastAsia"/>
              </w:rPr>
              <w:t xml:space="preserve">培訓方法優化</w:t>
            </w:r>
            <w:r>
              <w:rPr>
                <w:rFonts w:hint="eastAsia"/>
              </w:rPr>
              <w:t xml:space="preserve">培訓重點調整</w:t>
            </w:r>
            <w:r>
              <w:rPr>
                <w:rFonts w:hint="eastAsia"/>
              </w:rPr>
              <w:t xml:space="preserve">指導方式改進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大規模培訓安排</w:t>
            </w:r>
            <w:r>
              <w:rPr>
                <w:rFonts w:hint="eastAsia"/>
              </w:rPr>
              <w:t xml:space="preserve">外部培訓資源</w:t>
            </w:r>
            <w:r>
              <w:rPr>
                <w:rFonts w:hint="eastAsia"/>
              </w:rPr>
              <w:t xml:space="preserve">培訓制度變更</w:t>
            </w:r>
            <w:r>
              <w:rPr>
                <w:rFonts w:hint="eastAsia"/>
              </w:rPr>
              <w:t xml:space="preserve">指導標準制定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工作報告、問題討論、計劃制定、指導尋求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質量監控、標準執行、改進建議、問題解決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服務質量、患者體驗、滿意度調查、投訴處理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運營流程、文件管理、資源協調、後勤支持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培訓需求、績效評估、能力提升、激勵措施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院所管理層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質量報告、風險通報、重大問題、戰略支持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IT部門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數據系統、信息工具、技術支持、系統優化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監管機構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法規符合、標準執行、檢查協調、問題回應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認證機構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半年度/年度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認證標準、評審準備、資料提供、現場協調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患者代表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質量反饋、需求了解、滿意度調查、改進溝通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行業標準、最佳實踐、專業交流、經驗分享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專業諮詢、方法指導、工具應用、能力提升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同行機構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標竿學習、經驗交流、共同提升、資源共享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：醫療管理、品質管理、公共衛生或相關專業學士學位或以上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：品質管理相關證書如品質管理師、六標準差認證優先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專業培訓</w:t>
      </w:r>
      <w:r>
        <w:rPr>
          <w:rFonts w:hint="eastAsia"/>
        </w:rPr>
        <w:t xml:space="preserve">：醫療品質管理、患者安全、風險管理培訓經歷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：保持品質管理知識與技能的更新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：2年以上相關工作經驗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：醫療健康服務行業品質管理經驗優先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：具備品質管理體系維護、流程改進或風險管理經驗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：有醫療機構認證或評審相關經驗者優先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：品質管理理論與方法、醫療服務標準、相關法規要求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工具應用</w:t>
      </w:r>
      <w:r>
        <w:rPr>
          <w:rFonts w:hint="eastAsia"/>
        </w:rPr>
        <w:t xml:space="preserve">：熟悉品質改進工具、統計分析方法、審核技術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計算機能力</w:t>
      </w:r>
      <w:r>
        <w:rPr>
          <w:rFonts w:hint="eastAsia"/>
        </w:rPr>
        <w:t xml:space="preserve">：熟練使用辦公軟件與數據分析工具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報告能力</w:t>
      </w:r>
      <w:r>
        <w:rPr>
          <w:rFonts w:hint="eastAsia"/>
        </w:rPr>
        <w:t xml:space="preserve">：具備良好的數據分析與報告撰寫能力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品質管理理論與應用能力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數據收集與分析能力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標準制定與審核能力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風險評估與管理能力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有效溝通與表達能力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跨部門協調與合作能力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培訓與指導能力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報告撰寫與呈現能力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問題識別與分析能力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系統性思維能力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根本原因分析能力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解決方案設計能力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細緻嚴謹的工作態度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追求卓越的品質意識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持續學習與改進精神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正直誠信與專業操守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品質管理指標"/>
    <w:p>
      <w:pPr>
        <w:pStyle w:val="Heading3"/>
      </w:pPr>
      <w:r>
        <w:rPr>
          <w:rFonts w:hint="eastAsia"/>
        </w:rPr>
        <w:t xml:space="preserve">品質管理指標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品質管理體系符合率(≥95%)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品質審核計劃完成率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品質文件更新及時率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品質管理體系有效性評價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認證標準達成程度</w:t>
      </w:r>
    </w:p>
    <w:bookmarkEnd w:id="32"/>
    <w:bookmarkStart w:id="33" w:name="監控評估指標"/>
    <w:p>
      <w:pPr>
        <w:pStyle w:val="Heading3"/>
      </w:pPr>
      <w:r>
        <w:rPr>
          <w:rFonts w:hint="eastAsia"/>
        </w:rPr>
        <w:t xml:space="preserve">監控評估指標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關鍵質量指標監測完整率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數據收集與分析準確性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品質報告準時提交率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審核發現問題數量與類型分析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服務標準符合率評估</w:t>
      </w:r>
    </w:p>
    <w:bookmarkEnd w:id="33"/>
    <w:bookmarkStart w:id="34" w:name="改進成效指標"/>
    <w:p>
      <w:pPr>
        <w:pStyle w:val="Heading3"/>
      </w:pPr>
      <w:r>
        <w:rPr>
          <w:rFonts w:hint="eastAsia"/>
        </w:rPr>
        <w:t xml:space="preserve">改進成效指標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品質改進計劃實施率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改進建議採納與實施數量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改進措施有效性評估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品質問題解決率與時效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患者滿意度提升指標</w:t>
      </w:r>
    </w:p>
    <w:bookmarkEnd w:id="34"/>
    <w:bookmarkStart w:id="35" w:name="風險管理指標"/>
    <w:p>
      <w:pPr>
        <w:pStyle w:val="Heading3"/>
      </w:pPr>
      <w:r>
        <w:rPr>
          <w:rFonts w:hint="eastAsia"/>
        </w:rPr>
        <w:t xml:space="preserve">風險管理指標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風險識別與評估完成率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不良事件報告及時性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根本原因分析完成率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預防措施實施有效性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風險管理培訓覆蓋率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：歐亥健復健中心辦公區，需在各部門間移動進行審核與監督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：全職，偶爾需要加班完成緊急質量問題處理或報告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：需經常參與會議、培訓與審核活動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：品質標準維持、問題解決時效、跨部門協調、認證壓力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☑一般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心理風險</w:t>
      </w:r>
      <w:r>
        <w:rPr>
          <w:rFonts w:hint="eastAsia"/>
        </w:rPr>
        <w:t xml:space="preserve">：質量監督與問題識別可能帶來的人際壓力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職業倦怠</w:t>
      </w:r>
      <w:r>
        <w:rPr>
          <w:rFonts w:hint="eastAsia"/>
        </w:rPr>
        <w:t xml:space="preserve">：長期處理細節性工作與標準執行可能導致的職業倦怠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：品質問題與不良事件的處理責任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：團隊支持、職責明確、定期輪換、專業培訓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資深品質管理專員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品質管理組長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品質管理部副主管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運營管理高階主管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流程優化專家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風險管理專員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運營管理專員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合規管理專員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醫療服務顧問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2025-04-16T05:33:23Z</dcterms:created>
  <dcterms:modified xsi:type="dcterms:W3CDTF">2025-04-16T05:33:23Z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