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太歲星君</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二二 號   生行庚 六四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一八 號   生行庚 七七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三一 號   生行庚 二九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楊建文</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