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b/>
          <w:bCs/>
          <w:rFonts w:ascii="Times New Roman" w:hAnsi="Times New Roman" w:cs="Times New Roman"/>
          <w:sz w:val="28"/>
          <w:szCs w:val="28"/>
          <w:lang w:val="ru-RU"/>
        </w:rPr>
        <w:t xml:space="preserve">СЛАЙД 1. Титульный лист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Уважаемые члены государственной экзаменационной комиссии! Представляю вам выпускную квалификационную работу на тему «Инвестиционный проект производственного предприятия» — на примере производства комбинированных дымо-тепловых пожарных извещателей.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b/>
          <w:bCs/>
          <w:rFonts w:ascii="Times New Roman" w:hAnsi="Times New Roman" w:cs="Times New Roman"/>
          <w:sz w:val="28"/>
          <w:szCs w:val="28"/>
          <w:lang w:val="ru-RU"/>
        </w:rPr>
        <w:t xml:space="preserve">СЛАЙД 2. Актуальность, цель и задачи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Тема актуальна из-за изменений на рынке пожарной автоматики в 2024–2026 годах. Запрет параллельного импорта, сбор на импортную электронику и ужесточение ГОСТ Р 53325-2024 открыли защищённую нишу для отечественного производителя. Цель работы — разработать инвестиционный проект предприятия по выпуску комбинированных пожарных извещателей. Для её достижения решены четыре задачи: анализ рынка, выбор показателей эффективности и инструмента моделирования, разработка производственной и организационной модели и построение финансовой модели в Project Expert.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b/>
          <w:bCs/>
          <w:rFonts w:ascii="Times New Roman" w:hAnsi="Times New Roman" w:cs="Times New Roman"/>
          <w:sz w:val="28"/>
          <w:szCs w:val="28"/>
          <w:lang w:val="ru-RU"/>
        </w:rPr>
        <w:t xml:space="preserve">СЛАЙД 3. Анализ рынка пожарной автоматики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Рынок устойчиво растёт: в 2025 году его объём составил 54 миллиарда рублей — на 10 процентов больше, чем годом ранее, а на 2026 год прогнозируется 58,8 миллиарда. Иностранные бренды ушли из-за запрета параллельного импорта, а главный драйвер спроса — ввод 116 миллионов квадратных метров жилья и складов классов A и B.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b/>
          <w:bCs/>
          <w:rFonts w:ascii="Times New Roman" w:hAnsi="Times New Roman" w:cs="Times New Roman"/>
          <w:sz w:val="28"/>
          <w:szCs w:val="28"/>
          <w:lang w:val="ru-RU"/>
        </w:rPr>
        <w:t xml:space="preserve">СЛАЙД 4. Конкуренты и ниша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Лидеры рынка — «Болид» и «Рубеж» — работают на полных SMT-линиях, и вход на рынок по их модели стоит от 120 миллионов рублей. В этом и состоит главная идея проекта: самые капиталоёмкие операции — монтаж плат и литьё корпусов — передаются на контрактное производство, а на собственных мощностях остаются операции с наибольшей добавленной стоимостью: программирование, стопроцентный контроль качества и финальная сборка. Именно на них формируется ценность изделия и маржа. За счёт этого порог входа снижается со 120 до 5 миллионов рублей.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b/>
          <w:bCs/>
          <w:rFonts w:ascii="Times New Roman" w:hAnsi="Times New Roman" w:cs="Times New Roman"/>
          <w:sz w:val="28"/>
          <w:szCs w:val="28"/>
          <w:lang w:val="ru-RU"/>
        </w:rPr>
        <w:t xml:space="preserve">СЛАЙД 5. Продукция и ценовое позиционирование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Продукт — комбинированный извещатель «Сигнал»: дымовой и тепловой каналы в одном корпусе. В нём есть встроенный изолятор короткого замыкания по требованию СП 484 и помехозащищённость 10 вольт на метр по ГОСТ Р 53325-2024. В основе — микроконтроллер WCH на архитектуре RISC-V. При отпускной цене 1800 рублей валовая маржа достигает 79 процентов.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b/>
          <w:bCs/>
          <w:rFonts w:ascii="Times New Roman" w:hAnsi="Times New Roman" w:cs="Times New Roman"/>
          <w:sz w:val="28"/>
          <w:szCs w:val="28"/>
          <w:lang w:val="ru-RU"/>
        </w:rPr>
        <w:t xml:space="preserve">СЛАЙД 6. Состав изделия и прямая себестоимость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Прямая себестоимость изделия — 382 рубля, а маржинальная прибыль — 1418 рублей. Такая маржа складывается из трёх решений: микроконтроллер RISC-V за 23 рубля вместо 84 у аналога STM32, монтаж на контрактном производстве и собственная пресс-форма корпуса. То есть основная стоимость создаётся на собственных операциях, а не на закупке.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b/>
          <w:bCs/>
          <w:rFonts w:ascii="Times New Roman" w:hAnsi="Times New Roman" w:cs="Times New Roman"/>
          <w:sz w:val="28"/>
          <w:szCs w:val="28"/>
          <w:lang w:val="ru-RU"/>
        </w:rPr>
        <w:t xml:space="preserve">СЛАЙД 7. Технологический процесс и автоматизация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Технологический процесс простой и логичный. Сначала — входной контроль комплектующих, затем ручной монтаж, сборка и прошивка микроконтроллера. После этого каждое изделие тестируется на стенде «СИ-ТДК». Если изделие проходит тест, оно получает серийный номер, маркировку и идёт на упаковку и склад. Если нет — MES-система блокирует печать этикетки, и бракованное изделие просто не может попасть к заказчику.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b/>
          <w:bCs/>
          <w:rFonts w:ascii="Times New Roman" w:hAnsi="Times New Roman" w:cs="Times New Roman"/>
          <w:sz w:val="28"/>
          <w:szCs w:val="28"/>
          <w:lang w:val="ru-RU"/>
        </w:rPr>
        <w:t xml:space="preserve">СЛАЙД 8. Автоматизированный контроль качества: стенд «СИ-ТДК»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Стенд «СИ-ТДК» объединяет дымовой канал и термокамеру теплового канала и проверяет каждое изделие, а не выборку. MES-система ведёт прослеживаемость по серийному номеру: пока нет цифрового протокола, изделие нельзя отгрузить. Это не пропускает скрытый брак в партию и становится сильным преимуществом в сегменте B2B.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b/>
          <w:bCs/>
          <w:rFonts w:ascii="Times New Roman" w:hAnsi="Times New Roman" w:cs="Times New Roman"/>
          <w:sz w:val="28"/>
          <w:szCs w:val="28"/>
          <w:lang w:val="ru-RU"/>
        </w:rPr>
        <w:t xml:space="preserve">СЛАЙД 9. Оборудование и капитальные вложения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Капитальные вложения — 4,97 миллиона рублей. Главная статья — испытательный стенд «СИ-ТДК» за 2,41 миллиона, это около половины бюджета. Кроме него закупаются климатическая камера, программатор и паяльная станция.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b/>
          <w:bCs/>
          <w:rFonts w:ascii="Times New Roman" w:hAnsi="Times New Roman" w:cs="Times New Roman"/>
          <w:sz w:val="28"/>
          <w:szCs w:val="28"/>
          <w:lang w:val="ru-RU"/>
        </w:rPr>
        <w:t xml:space="preserve">СЛАЙД 10. Параметры проекта и макроокружение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финансовой модели в Project Expert начиналась с настройки макроокружения. Старт проекта — 1 марта 2026 года, горизонт планирования — 36 месяцев, выход на операционную деятельность — 1 июля. Налоги — УСН «доходы минус расходы» по ставке 15 процентов, ставка дисконтирования — 14,5 процента с учётом ключевой ставки ЦБ.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b/>
          <w:bCs/>
          <w:rFonts w:ascii="Times New Roman" w:hAnsi="Times New Roman" w:cs="Times New Roman"/>
          <w:sz w:val="28"/>
          <w:szCs w:val="28"/>
          <w:lang w:val="ru-RU"/>
        </w:rPr>
        <w:t xml:space="preserve">СЛАЙД 11. Календарный план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Инвестиционная фаза длится четыре месяца — с марта по июнь 2026 года. За это время идёт ремонт помещения, монтаж ESD-зоны, пусконаладка оборудования и сертификация по техническому регламенту ЕАЭС 043/2017. Самое долгое звено в плане — изготовление пресс-формы, восемь недель, оно и задаёт критический путь. Продажи стартуют в июле 2026 года.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b/>
          <w:bCs/>
          <w:rFonts w:ascii="Times New Roman" w:hAnsi="Times New Roman" w:cs="Times New Roman"/>
          <w:sz w:val="28"/>
          <w:szCs w:val="28"/>
          <w:lang w:val="ru-RU"/>
        </w:rPr>
        <w:t xml:space="preserve">СЛАЙД 12. План персонала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штате пять должностей: директор, главный инженер, техник ОТК и два сборщика радиоэлектронной аппаратуры.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b/>
          <w:bCs/>
          <w:rFonts w:ascii="Times New Roman" w:hAnsi="Times New Roman" w:cs="Times New Roman"/>
          <w:sz w:val="28"/>
          <w:szCs w:val="28"/>
          <w:lang w:val="ru-RU"/>
        </w:rPr>
        <w:t xml:space="preserve">СЛАЙД 13. Финансирование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Финансирование складывается из двух источников: 2 миллиона рублей собственных средств и 7 миллионов заёмных по льготной программе 1764 — под 12 процентов годовых на 35 месяцев, с отсрочкой выплаты тела долга на 7 месяцев. Проект проходит по этой программе как микропредприятие приоритетной отрасли — производства радиоэлектроники. В инвестиционной фазе проценты капитализируются, и это сохраняет ликвидность на старте.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b/>
          <w:bCs/>
          <w:rFonts w:ascii="Times New Roman" w:hAnsi="Times New Roman" w:cs="Times New Roman"/>
          <w:sz w:val="28"/>
          <w:szCs w:val="28"/>
          <w:lang w:val="ru-RU"/>
        </w:rPr>
        <w:t xml:space="preserve">СЛАЙД 14. Доходы, расходы и окупаемость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графике прибылей и убытков главные кривые — чистый объём продаж и валовая прибыль. Первые четыре месяца они на нуле: идёт инвестиционная фаза без продаж. С июля 2026 года обе растут, а их пилообразная форма отражает сезонность спроса. Валовая прибыль всё время держится выше суммарных прямых издержек — это и подтверждает высокую маржинальность. На графике окупаемости главная линия — баланс наличности на конец периода. После затрат инвестиционной фазы она снижается, но в минус не уходит, то есть кассовых разрывов нет, а дальше за счёт операционного потока уверенно растёт. Точка, где она разворачивается вверх, и есть выход проекта на окупаемость.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b/>
          <w:bCs/>
          <w:rFonts w:ascii="Times New Roman" w:hAnsi="Times New Roman" w:cs="Times New Roman"/>
          <w:sz w:val="28"/>
          <w:szCs w:val="28"/>
          <w:lang w:val="ru-RU"/>
        </w:rPr>
        <w:t xml:space="preserve">СЛАЙД 15. Эффективность и анализ чувствительности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Ключевые показатели эффективности проекта — чистый приведённый доход 4,29 миллиона рублей и дисконтированный срок окупаемости 26 месяцев. Анализ чувствительности показал, что проект сохраняет устойчивость к изменению основных факторов, а его параметры находятся в пределах значений, нормальных для предприятий такого типа.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b/>
          <w:bCs/>
          <w:rFonts w:ascii="Times New Roman" w:hAnsi="Times New Roman" w:cs="Times New Roman"/>
          <w:sz w:val="28"/>
          <w:szCs w:val="28"/>
          <w:lang w:val="ru-RU"/>
        </w:rPr>
        <w:t xml:space="preserve">СЛАЙД 16. Выводы по работе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работе обоснована технико-экономическая целесообразность проекта в защищённой нише, построена гибридная модель производства со стопроцентным контролем качества на стенде «СИ-ТДК», где предприятие сосредоточено на операциях с наибольшей добавленной стоимостью. Финансовая модель в Project Expert подтвердила эффективность по всем критериям. Проект рекомендован к реализации и может служить основой бизнес-плана для привлечения финансирования. Доклад окончен. Спасибо за внимание!</w:t>
      </w:r>
    </w:p>
    <w:sectPr w:rsidR="00832625" w:rsidRPr="005A4FB3" w:rsidSect="005A4FB3">
      <w:pgSz w:w="12240" w:h="15840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703168">
    <w:abstractNumId w:val="8"/>
  </w:num>
  <w:num w:numId="2" w16cid:durableId="761950767">
    <w:abstractNumId w:val="6"/>
  </w:num>
  <w:num w:numId="3" w16cid:durableId="1534809701">
    <w:abstractNumId w:val="5"/>
  </w:num>
  <w:num w:numId="4" w16cid:durableId="1861774598">
    <w:abstractNumId w:val="4"/>
  </w:num>
  <w:num w:numId="5" w16cid:durableId="2087725543">
    <w:abstractNumId w:val="7"/>
  </w:num>
  <w:num w:numId="6" w16cid:durableId="963389552">
    <w:abstractNumId w:val="3"/>
  </w:num>
  <w:num w:numId="7" w16cid:durableId="1123303012">
    <w:abstractNumId w:val="2"/>
  </w:num>
  <w:num w:numId="8" w16cid:durableId="1326084896">
    <w:abstractNumId w:val="1"/>
  </w:num>
  <w:num w:numId="9" w16cid:durableId="1340884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52E"/>
    <w:rsid w:val="00034616"/>
    <w:rsid w:val="0006063C"/>
    <w:rsid w:val="0015074B"/>
    <w:rsid w:val="00173BDA"/>
    <w:rsid w:val="002510FD"/>
    <w:rsid w:val="0029639D"/>
    <w:rsid w:val="00326F90"/>
    <w:rsid w:val="003F4200"/>
    <w:rsid w:val="004B5CAC"/>
    <w:rsid w:val="004D01AA"/>
    <w:rsid w:val="00562C6B"/>
    <w:rsid w:val="005A4FB3"/>
    <w:rsid w:val="005E255D"/>
    <w:rsid w:val="00665C43"/>
    <w:rsid w:val="006F3544"/>
    <w:rsid w:val="007105C6"/>
    <w:rsid w:val="007A0B51"/>
    <w:rsid w:val="00817FF9"/>
    <w:rsid w:val="00832625"/>
    <w:rsid w:val="00914EF6"/>
    <w:rsid w:val="00940649"/>
    <w:rsid w:val="00A156E8"/>
    <w:rsid w:val="00AA1D8D"/>
    <w:rsid w:val="00B47730"/>
    <w:rsid w:val="00BA4378"/>
    <w:rsid w:val="00CB0664"/>
    <w:rsid w:val="00D42FFC"/>
    <w:rsid w:val="00E560E5"/>
    <w:rsid w:val="00F209A4"/>
    <w:rsid w:val="00FC693F"/>
    <w:rsid w:val="00FF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5FBA4A"/>
  <w14:defaultImageDpi w14:val="300"/>
  <w15:docId w15:val="{DE3BD249-FBCC-44BF-B5FF-5F5CB9853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711</Words>
  <Characters>4053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ZhiGor サスケ君</cp:lastModifiedBy>
  <cp:revision>5</cp:revision>
  <dcterms:created xsi:type="dcterms:W3CDTF">2026-06-08T15:00:00Z</dcterms:created>
  <dcterms:modified xsi:type="dcterms:W3CDTF">2026-06-08T15:42:00Z</dcterms:modified>
  <cp:category/>
</cp:coreProperties>
</file>