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车辆远程诊断系统-系统概要设计说明"/>
    <w:p>
      <w:pPr>
        <w:pStyle w:val="Heading1"/>
      </w:pPr>
      <w:r>
        <w:rPr>
          <w:rFonts w:hint="eastAsia"/>
        </w:rPr>
        <w:t xml:space="preserve">车辆远程诊断系统</w:t>
      </w:r>
      <w:r>
        <w:t xml:space="preserve"> — </w:t>
      </w:r>
      <w:r>
        <w:rPr>
          <w:rFonts w:hint="eastAsia"/>
        </w:rPr>
        <w:t xml:space="preserve">系统概要设计说明</w:t>
      </w:r>
    </w:p>
    <w:bookmarkStart w:id="9" w:name="文档信息"/>
    <w:p>
      <w:pPr>
        <w:pStyle w:val="Heading2"/>
      </w:pPr>
      <w:r>
        <w:t xml:space="preserve">1. </w:t>
      </w:r>
      <w:r>
        <w:rPr>
          <w:rFonts w:hint="eastAsia"/>
        </w:rP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车辆远程诊断系统（Vehicle</w:t>
            </w:r>
            <w:r>
              <w:t xml:space="preserve"> Remote Diagnosis </w:t>
            </w:r>
            <w:r>
              <w:rPr>
                <w:rFonts w:hint="eastAsia"/>
              </w:rPr>
              <w:t xml:space="preserve">System，VRD）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v1.0.0-SNAPSHOT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架构模式</w:t>
            </w:r>
          </w:p>
        </w:tc>
        <w:tc>
          <w:tcPr/>
          <w:p>
            <w:pPr>
              <w:pStyle w:val="Compact"/>
            </w:pPr>
            <w:r>
              <w:t xml:space="preserve">Spring Cloud </w:t>
            </w:r>
            <w:r>
              <w:rPr>
                <w:rFonts w:hint="eastAsia"/>
              </w:rPr>
              <w:t xml:space="preserve">微服务</w:t>
            </w:r>
            <w:r>
              <w:t xml:space="preserve"> + Vue3 </w:t>
            </w:r>
            <w:r>
              <w:rPr>
                <w:rFonts w:hint="eastAsia"/>
              </w:rPr>
              <w:t xml:space="preserve">前后端分离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项目源码、</w:t>
            </w:r>
            <w:r>
              <w:rPr>
                <w:rStyle w:val="VerbatimChar"/>
              </w:rPr>
              <w:t xml:space="preserve">scripts/init.sql</w:t>
            </w:r>
            <w:r>
              <w:t xml:space="preserve">、</w:t>
            </w:r>
            <w:r>
              <w:rPr>
                <w:rStyle w:val="VerbatimChar"/>
              </w:rPr>
              <w:t xml:space="preserve">docker-compose.yml</w:t>
            </w:r>
          </w:p>
        </w:tc>
      </w:tr>
    </w:tbl>
    <w:bookmarkEnd w:id="9"/>
    <w:bookmarkStart w:id="10" w:name="建设目标"/>
    <w:p>
      <w:pPr>
        <w:pStyle w:val="Heading2"/>
      </w:pPr>
      <w:r>
        <w:t xml:space="preserve">2. </w:t>
      </w:r>
      <w:r>
        <w:rPr>
          <w:rFonts w:hint="eastAsia"/>
        </w:rPr>
        <w:t xml:space="preserve">建设目标</w:t>
      </w:r>
    </w:p>
    <w:p>
      <w:pPr>
        <w:pStyle w:val="FirstParagraph"/>
      </w:pPr>
      <w:r>
        <w:rPr>
          <w:rFonts w:hint="eastAsia"/>
        </w:rPr>
        <w:t xml:space="preserve">面向车企与售后运维场景，提供统一的车辆远程诊断平台，覆盖：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车辆主数据管理</w:t>
      </w:r>
      <w:r>
        <w:rPr>
          <w:rFonts w:hint="eastAsia"/>
        </w:rPr>
        <w:t xml:space="preserve">：车型、车辆、ECU</w:t>
      </w:r>
      <w:r>
        <w:t xml:space="preserve"> </w:t>
      </w:r>
      <w:r>
        <w:rPr>
          <w:rFonts w:hint="eastAsia"/>
        </w:rPr>
        <w:t xml:space="preserve">零部件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远程数据接入</w:t>
      </w:r>
      <w:r>
        <w:rPr>
          <w:rFonts w:hint="eastAsia"/>
        </w:rPr>
        <w:t xml:space="preserve">：MQTT/HTTP</w:t>
      </w:r>
      <w:r>
        <w:t xml:space="preserve"> </w:t>
      </w:r>
      <w:r>
        <w:rPr>
          <w:rFonts w:hint="eastAsia"/>
        </w:rPr>
        <w:t xml:space="preserve">信号上报、ECU</w:t>
      </w:r>
      <w:r>
        <w:t xml:space="preserve"> </w:t>
      </w:r>
      <w:r>
        <w:rPr>
          <w:rFonts w:hint="eastAsia"/>
        </w:rPr>
        <w:t xml:space="preserve">日志上传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诊断辅助</w:t>
      </w:r>
      <w:r>
        <w:rPr>
          <w:rFonts w:hint="eastAsia"/>
        </w:rPr>
        <w:t xml:space="preserve">：DBC</w:t>
      </w:r>
      <w:r>
        <w:t xml:space="preserve"> </w:t>
      </w:r>
      <w:r>
        <w:rPr>
          <w:rFonts w:hint="eastAsia"/>
        </w:rPr>
        <w:t xml:space="preserve">配置管理、信号回放、故障/告警监控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系统管理</w:t>
      </w:r>
      <w:r>
        <w:rPr>
          <w:rFonts w:hint="eastAsia"/>
        </w:rPr>
        <w:t xml:space="preserve">：用户认证、角色权限（RBAC</w:t>
      </w:r>
      <w:r>
        <w:t xml:space="preserve"> </w:t>
      </w:r>
      <w:r>
        <w:rPr>
          <w:rFonts w:hint="eastAsia"/>
        </w:rPr>
        <w:t xml:space="preserve">数据模型）</w:t>
      </w:r>
    </w:p>
    <w:bookmarkEnd w:id="10"/>
    <w:bookmarkStart w:id="21" w:name="总体架构"/>
    <w:p>
      <w:pPr>
        <w:pStyle w:val="Heading2"/>
      </w:pPr>
      <w:r>
        <w:t xml:space="preserve">3.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系统采用七层架构，自上而下为：展现层</w:t>
      </w:r>
      <w:r>
        <w:t xml:space="preserve"> → </w:t>
      </w:r>
      <w:r>
        <w:rPr>
          <w:rFonts w:hint="eastAsia"/>
        </w:rPr>
        <w:t xml:space="preserve">网关层</w:t>
      </w:r>
      <w:r>
        <w:t xml:space="preserve"> → </w:t>
      </w:r>
      <w:r>
        <w:rPr>
          <w:rFonts w:hint="eastAsia"/>
        </w:rPr>
        <w:t xml:space="preserve">服务层</w:t>
      </w:r>
      <w:r>
        <w:t xml:space="preserve"> → </w:t>
      </w:r>
      <w:r>
        <w:rPr>
          <w:rFonts w:hint="eastAsia"/>
        </w:rPr>
        <w:t xml:space="preserve">数据层</w:t>
      </w:r>
      <w:r>
        <w:t xml:space="preserve"> → </w:t>
      </w:r>
      <w:r>
        <w:rPr>
          <w:rFonts w:hint="eastAsia"/>
        </w:rPr>
        <w:t xml:space="preserve">中间件层</w:t>
      </w:r>
      <w:r>
        <w:t xml:space="preserve"> → </w:t>
      </w:r>
      <w:r>
        <w:rPr>
          <w:rFonts w:hint="eastAsia"/>
        </w:rPr>
        <w:t xml:space="preserve">接入层</w:t>
      </w:r>
      <w:r>
        <w:t xml:space="preserve"> → </w:t>
      </w:r>
      <w:r>
        <w:rPr>
          <w:rFonts w:hint="eastAsia"/>
        </w:rPr>
        <w:t xml:space="preserve">车端。Nacos</w:t>
      </w:r>
      <w:r>
        <w:t xml:space="preserve"> </w:t>
      </w:r>
      <w:r>
        <w:rPr>
          <w:rFonts w:hint="eastAsia"/>
        </w:rPr>
        <w:t xml:space="preserve">作为注册/配置中心独立侧挂，通过虚线关联网关与各微服务。</w:t>
      </w:r>
    </w:p>
    <w:bookmarkStart w:id="14" w:name="系统总体架构图"/>
    <w:p>
      <w:pPr>
        <w:pStyle w:val="Heading3"/>
      </w:pPr>
      <w:r>
        <w:t xml:space="preserve">3.0 </w:t>
      </w:r>
      <w:r>
        <w:rPr>
          <w:rFonts w:hint="eastAsia"/>
        </w:rPr>
        <w:t xml:space="preserve">系统总体架构图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3-1 </w:t>
      </w:r>
      <w:r>
        <w:rPr>
          <w:rFonts w:hint="eastAsia"/>
          <w:b/>
          <w:bCs/>
        </w:rPr>
        <w:t xml:space="preserve">系统总体架构图</w:t>
      </w:r>
    </w:p>
    <w:p>
      <w:pPr>
        <w:pStyle w:val="CaptionedFigure"/>
      </w:pPr>
      <w:r>
        <w:drawing>
          <wp:inline>
            <wp:extent cx="5334000" cy="5721927"/>
            <wp:effectExtent b="0" l="0" r="0" t="0"/>
            <wp:docPr descr="系统总体架构图" title="" id="12" name="Picture"/>
            <a:graphic>
              <a:graphicData uri="http://schemas.openxmlformats.org/drawingml/2006/picture">
                <pic:pic>
                  <pic:nvPicPr>
                    <pic:cNvPr descr="./images/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系统总体架构图</w:t>
      </w:r>
    </w:p>
    <w:p>
      <w:pPr>
        <w:pStyle w:val="BodyText"/>
      </w:pPr>
      <w:r>
        <w:rPr>
          <w:rFonts w:hint="eastAsia"/>
        </w:rPr>
        <w:t xml:space="preserve">架构分层说明：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展现层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frontend（Vue3</w:t>
            </w:r>
            <w:r>
              <w:t xml:space="preserve"> </w:t>
            </w:r>
            <w:r>
              <w:rPr>
                <w:rFonts w:hint="eastAsia"/>
              </w:rPr>
              <w:t xml:space="preserve">管理端</w:t>
            </w:r>
            <w:r>
              <w:t xml:space="preserve"> </w:t>
            </w:r>
            <w:r>
              <w:rPr>
                <w:rFonts w:hint="eastAsia"/>
              </w:rPr>
              <w:t xml:space="preserve">:3000）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service-gateway（路由、JWT</w:t>
            </w:r>
            <w:r>
              <w:t xml:space="preserve"> </w:t>
            </w:r>
            <w:r>
              <w:rPr>
                <w:rFonts w:hint="eastAsia"/>
              </w:rPr>
              <w:t xml:space="preserve">鉴权</w:t>
            </w:r>
            <w:r>
              <w:t xml:space="preserve"> </w:t>
            </w:r>
            <w:r>
              <w:rPr>
                <w:rFonts w:hint="eastAsia"/>
              </w:rPr>
              <w:t xml:space="preserve">:8080）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服务层</w:t>
            </w:r>
          </w:p>
        </w:tc>
        <w:tc>
          <w:tcPr/>
          <w:p>
            <w:pPr>
              <w:pStyle w:val="Compact"/>
            </w:pPr>
            <w:r>
              <w:t xml:space="preserve">auth / vehicle / ecu-log / dbc / signal /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MySQL、Redis、ClickHouse、对象存储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中间件</w:t>
            </w:r>
          </w:p>
        </w:tc>
        <w:tc>
          <w:tcPr/>
          <w:p>
            <w:pPr>
              <w:pStyle w:val="Compact"/>
            </w:pPr>
            <w:r>
              <w:t xml:space="preserve">Kafka、MQTT Broker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接入层</w:t>
            </w:r>
          </w:p>
        </w:tc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日志/信号上报、MQTT</w:t>
            </w:r>
            <w:r>
              <w:t xml:space="preserve"> </w:t>
            </w:r>
            <w:r>
              <w:rPr>
                <w:rFonts w:hint="eastAsia"/>
              </w:rPr>
              <w:t xml:space="preserve">信号订阅（service-access）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车端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控制器、车载网关</w:t>
            </w:r>
          </w:p>
        </w:tc>
      </w:tr>
    </w:tbl>
    <w:bookmarkEnd w:id="14"/>
    <w:bookmarkStart w:id="18" w:name="数据流架构图"/>
    <w:p>
      <w:pPr>
        <w:pStyle w:val="Heading3"/>
      </w:pPr>
      <w:r>
        <w:t xml:space="preserve">3.0.1 </w:t>
      </w:r>
      <w:r>
        <w:rPr>
          <w:rFonts w:hint="eastAsia"/>
        </w:rPr>
        <w:t xml:space="preserve">数据流架构图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3-2 </w:t>
      </w:r>
      <w:r>
        <w:rPr>
          <w:rFonts w:hint="eastAsia"/>
          <w:b/>
          <w:bCs/>
        </w:rPr>
        <w:t xml:space="preserve">数据流架构图</w:t>
      </w:r>
    </w:p>
    <w:p>
      <w:pPr>
        <w:pStyle w:val="CaptionedFigure"/>
      </w:pPr>
      <w:r>
        <w:drawing>
          <wp:inline>
            <wp:extent cx="5334000" cy="3491345"/>
            <wp:effectExtent b="0" l="0" r="0" t="0"/>
            <wp:docPr descr="数据流架构图" title="" id="16" name="Picture"/>
            <a:graphic>
              <a:graphicData uri="http://schemas.openxmlformats.org/drawingml/2006/picture">
                <pic:pic>
                  <pic:nvPicPr>
                    <pic:cNvPr descr="./images/data-flow-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数据流架构图</w:t>
      </w:r>
    </w:p>
    <w:bookmarkEnd w:id="18"/>
    <w:bookmarkStart w:id="19" w:name="微服务划分"/>
    <w:p>
      <w:pPr>
        <w:pStyle w:val="Heading3"/>
      </w:pPr>
      <w:r>
        <w:t xml:space="preserve">3.1 </w:t>
      </w:r>
      <w:r>
        <w:rPr>
          <w:rFonts w:hint="eastAsia"/>
        </w:rPr>
        <w:t xml:space="preserve">微服务划分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service-gateway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统一入口、路由转发、CORS、JWT</w:t>
            </w:r>
            <w:r>
              <w:t xml:space="preserve"> </w:t>
            </w:r>
            <w:r>
              <w:rPr>
                <w:rFonts w:hint="eastAsia"/>
              </w:rPr>
              <w:t xml:space="preserve">格式校验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service-auth</w:t>
            </w:r>
          </w:p>
        </w:tc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登录注册、JWT</w:t>
            </w:r>
            <w:r>
              <w:t xml:space="preserve"> </w:t>
            </w:r>
            <w:r>
              <w:rPr>
                <w:rFonts w:hint="eastAsia"/>
              </w:rPr>
              <w:t xml:space="preserve">签发、用户/角色管理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8082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车型/车辆/ECU、仪表盘统计、Kafka/API</w:t>
            </w:r>
            <w:r>
              <w:t xml:space="preserve"> </w:t>
            </w:r>
            <w:r>
              <w:rPr>
                <w:rFonts w:hint="eastAsia"/>
              </w:rPr>
              <w:t xml:space="preserve">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service-ecu-log</w:t>
            </w:r>
          </w:p>
        </w:tc>
        <w:tc>
          <w:tcPr/>
          <w:p>
            <w:pPr>
              <w:pStyle w:val="Compact"/>
            </w:pPr>
            <w:r>
              <w:t xml:space="preserve">8083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日志查询与下载（读</w:t>
            </w:r>
            <w:r>
              <w:t xml:space="preserve"> </w:t>
            </w:r>
            <w:r>
              <w:rPr>
                <w:rFonts w:hint="eastAsia"/>
              </w:rPr>
              <w:t xml:space="preserve">ClickHouse）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service-dbc</w:t>
            </w:r>
          </w:p>
        </w:tc>
        <w:tc>
          <w:tcPr/>
          <w:p>
            <w:pPr>
              <w:pStyle w:val="Compact"/>
            </w:pPr>
            <w:r>
              <w:t xml:space="preserve">8084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文件上传解析、下发管理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service-signal</w:t>
            </w:r>
          </w:p>
        </w:tc>
        <w:tc>
          <w:tcPr/>
          <w:p>
            <w:pPr>
              <w:pStyle w:val="Compact"/>
            </w:pPr>
            <w:r>
              <w:t xml:space="preserve">8085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车辆信号时序查询（读</w:t>
            </w:r>
            <w:r>
              <w:t xml:space="preserve"> </w:t>
            </w:r>
            <w:r>
              <w:rPr>
                <w:rFonts w:hint="eastAsia"/>
              </w:rPr>
              <w:t xml:space="preserve">ClickHouse）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t xml:space="preserve">8086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车端统一接入：MQTT/HTTP</w:t>
            </w:r>
            <w:r>
              <w:t xml:space="preserve"> </w:t>
            </w:r>
            <w:r>
              <w:rPr>
                <w:rFonts w:hint="eastAsia"/>
              </w:rPr>
              <w:t xml:space="preserve">信号、日志上传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公共模块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common</w:t>
      </w:r>
      <w:r>
        <w:rPr>
          <w:rFonts w:hint="eastAsia"/>
        </w:rPr>
        <w:t xml:space="preserve">（统一响应、存储抽象、Nacos</w:t>
      </w:r>
      <w:r>
        <w:t xml:space="preserve"> </w:t>
      </w:r>
      <w:r>
        <w:rPr>
          <w:rFonts w:hint="eastAsia"/>
        </w:rPr>
        <w:t xml:space="preserve">配置）、</w:t>
      </w:r>
      <w:r>
        <w:rPr>
          <w:rStyle w:val="VerbatimChar"/>
        </w:rPr>
        <w:t xml:space="preserve">common-db</w:t>
      </w:r>
      <w:r>
        <w:rPr>
          <w:rFonts w:hint="eastAsia"/>
        </w:rPr>
        <w:t xml:space="preserve">（MyBatis-Plus</w:t>
      </w:r>
      <w:r>
        <w:t xml:space="preserve"> </w:t>
      </w:r>
      <w:r>
        <w:rPr>
          <w:rFonts w:hint="eastAsia"/>
        </w:rPr>
        <w:t xml:space="preserve">分页）。</w:t>
      </w:r>
    </w:p>
    <w:p>
      <w:pPr>
        <w:pStyle w:val="BodyText"/>
      </w:pPr>
      <w:r>
        <w:rPr>
          <w:rFonts w:hint="eastAsia"/>
          <w:b/>
          <w:bCs/>
        </w:rPr>
        <w:t xml:space="preserve">遗留/未实现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service-register</w:t>
      </w:r>
      <w:r>
        <w:rPr>
          <w:rFonts w:hint="eastAsia"/>
        </w:rPr>
        <w:t xml:space="preserve">（Eureka，未编入主</w:t>
      </w:r>
      <w:r>
        <w:t xml:space="preserve"> </w:t>
      </w:r>
      <w:r>
        <w:rPr>
          <w:rFonts w:hint="eastAsia"/>
        </w:rPr>
        <w:t xml:space="preserve">POM）、</w:t>
      </w:r>
      <w:r>
        <w:rPr>
          <w:rStyle w:val="VerbatimChar"/>
        </w:rPr>
        <w:t xml:space="preserve">service-bigdata</w:t>
      </w:r>
      <w:r>
        <w:rPr>
          <w:rFonts w:hint="eastAsia"/>
        </w:rPr>
        <w:t xml:space="preserve">（代码不存在，ClickHouse</w:t>
      </w:r>
      <w:r>
        <w:t xml:space="preserve"> </w:t>
      </w:r>
      <w:r>
        <w:rPr>
          <w:rFonts w:hint="eastAsia"/>
        </w:rPr>
        <w:t xml:space="preserve">部分替代其</w:t>
      </w:r>
      <w:r>
        <w:t xml:space="preserve"> OLAP </w:t>
      </w:r>
      <w:r>
        <w:rPr>
          <w:rFonts w:hint="eastAsia"/>
        </w:rPr>
        <w:t xml:space="preserve">职责）。</w:t>
      </w:r>
    </w:p>
    <w:bookmarkEnd w:id="19"/>
    <w:bookmarkStart w:id="20" w:name="技术选型"/>
    <w:p>
      <w:pPr>
        <w:pStyle w:val="Heading3"/>
      </w:pPr>
      <w:r>
        <w:t xml:space="preserve">3.2 </w:t>
      </w:r>
      <w:r>
        <w:rPr>
          <w:rFonts w:hint="eastAsia"/>
        </w:rPr>
        <w:t xml:space="preserve">技术选型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后端框架</w:t>
            </w:r>
          </w:p>
        </w:tc>
        <w:tc>
          <w:tcPr/>
          <w:p>
            <w:pPr>
              <w:pStyle w:val="Compact"/>
            </w:pPr>
            <w:r>
              <w:t xml:space="preserve">Spring Boot 3.2.0、Spring Cloud 2023.0.0、Spring Cloud Alibaba 2022.0.0.0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服务发现/配置</w:t>
            </w:r>
          </w:p>
        </w:tc>
        <w:tc>
          <w:tcPr/>
          <w:p>
            <w:pPr>
              <w:pStyle w:val="Compact"/>
            </w:pPr>
            <w:r>
              <w:t xml:space="preserve">Nacos 2.2.3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Spring Cloud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MyBatis-Plus 3.5.9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JWT (jjwt 0.12.6) + 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</w:t>
            </w:r>
          </w:p>
        </w:tc>
        <w:tc>
          <w:tcPr/>
          <w:p>
            <w:pPr>
              <w:pStyle w:val="Compact"/>
            </w:pPr>
            <w:r>
              <w:t xml:space="preserve">Kafka 3.6.0、MQTT (Mosquitto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关系库</w:t>
            </w:r>
          </w:p>
        </w:tc>
        <w:tc>
          <w:tcPr/>
          <w:p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 xml:space="preserve">8.0（按业务分库）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ClickHouse（时序信号、日志元数据）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t xml:space="preserve">Redis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3.4 + Vite 5 + Element Plus 2.4 + ECharts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</w:tr>
    </w:tbl>
    <w:bookmarkEnd w:id="20"/>
    <w:bookmarkEnd w:id="21"/>
    <w:bookmarkStart w:id="22" w:name="核心业务域"/>
    <w:p>
      <w:pPr>
        <w:pStyle w:val="Heading2"/>
      </w:pPr>
      <w:r>
        <w:t xml:space="preserve">4. </w:t>
      </w:r>
      <w:r>
        <w:rPr>
          <w:rFonts w:hint="eastAsia"/>
        </w:rPr>
        <w:t xml:space="preserve">核心业务域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功能概述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车辆资产管理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</w:t>
            </w:r>
            <w:r>
              <w:t xml:space="preserve"> </w:t>
            </w:r>
            <w:r>
              <w:rPr>
                <w:rFonts w:hint="eastAsia"/>
              </w:rPr>
              <w:t xml:space="preserve">CRUD、车辆</w:t>
            </w:r>
            <w:r>
              <w:t xml:space="preserve"> CRUD、ECU </w:t>
            </w:r>
            <w:r>
              <w:rPr>
                <w:rFonts w:hint="eastAsia"/>
              </w:rPr>
              <w:t xml:space="preserve">零部件、配置字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数据同步</w:t>
            </w:r>
          </w:p>
        </w:tc>
        <w:tc>
          <w:tcPr/>
          <w:p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 xml:space="preserve">消费同步、外部</w:t>
            </w:r>
            <w:r>
              <w:t xml:space="preserve"> API </w:t>
            </w:r>
            <w:r>
              <w:rPr>
                <w:rFonts w:hint="eastAsia"/>
              </w:rPr>
              <w:t xml:space="preserve">批量导入、同步审计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故障监控</w:t>
            </w:r>
          </w:p>
        </w:tc>
        <w:tc>
          <w:tcPr/>
          <w:p>
            <w:pPr>
              <w:pStyle w:val="Compact"/>
            </w:pPr>
            <w:r>
              <w:t xml:space="preserve">DTC </w:t>
            </w:r>
            <w:r>
              <w:rPr>
                <w:rFonts w:hint="eastAsia"/>
              </w:rPr>
              <w:t xml:space="preserve">故障码、告警列表、在线/故障趋势统计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分片/整包上传、元数据索引、查询下载</w:t>
            </w:r>
          </w:p>
        </w:tc>
        <w:tc>
          <w:tcPr/>
          <w:p>
            <w:pPr>
              <w:pStyle w:val="Compact"/>
            </w:pPr>
            <w:r>
              <w:t xml:space="preserve">service-access + service-ecu-log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解析、消息/信号提取、车端下发</w:t>
            </w:r>
          </w:p>
        </w:tc>
        <w:tc>
          <w:tcPr/>
          <w:p>
            <w:pPr>
              <w:pStyle w:val="Compact"/>
            </w:pPr>
            <w:r>
              <w:t xml:space="preserve">service-dbc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信号监控</w:t>
            </w:r>
          </w:p>
        </w:tc>
        <w:tc>
          <w:tcPr/>
          <w:p>
            <w:pPr>
              <w:pStyle w:val="Compact"/>
            </w:pPr>
            <w:r>
              <w:t xml:space="preserve">MQTT/HTTP </w:t>
            </w:r>
            <w:r>
              <w:rPr>
                <w:rFonts w:hint="eastAsia"/>
              </w:rPr>
              <w:t xml:space="preserve">接入、Kafka</w:t>
            </w:r>
            <w:r>
              <w:t xml:space="preserve"> </w:t>
            </w:r>
            <w:r>
              <w:rPr>
                <w:rFonts w:hint="eastAsia"/>
              </w:rPr>
              <w:t xml:space="preserve">缓冲、历史回放</w:t>
            </w:r>
          </w:p>
        </w:tc>
        <w:tc>
          <w:tcPr/>
          <w:p>
            <w:pPr>
              <w:pStyle w:val="Compact"/>
            </w:pPr>
            <w:r>
              <w:t xml:space="preserve">service-access + service-signal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账号、角色、JWT</w:t>
            </w:r>
            <w:r>
              <w:t xml:space="preserve"> </w:t>
            </w:r>
            <w:r>
              <w:rPr>
                <w:rFonts w:hint="eastAsia"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t xml:space="preserve">service-auth</w:t>
            </w:r>
          </w:p>
        </w:tc>
      </w:tr>
    </w:tbl>
    <w:bookmarkEnd w:id="22"/>
    <w:bookmarkStart w:id="26" w:name="数据流设计"/>
    <w:p>
      <w:pPr>
        <w:pStyle w:val="Heading2"/>
      </w:pPr>
      <w:r>
        <w:t xml:space="preserve">5. </w:t>
      </w:r>
      <w:r>
        <w:rPr>
          <w:rFonts w:hint="eastAsia"/>
        </w:rPr>
        <w:t xml:space="preserve">数据流设计</w:t>
      </w:r>
    </w:p>
    <w:bookmarkStart w:id="23" w:name="管理端请求流下行"/>
    <w:p>
      <w:pPr>
        <w:pStyle w:val="Heading3"/>
      </w:pPr>
      <w:r>
        <w:t xml:space="preserve">5.1 </w:t>
      </w:r>
      <w:r>
        <w:rPr>
          <w:rFonts w:hint="eastAsia"/>
        </w:rPr>
        <w:t xml:space="preserve">管理端请求流（下行）</w:t>
      </w:r>
    </w:p>
    <w:p>
      <w:pPr>
        <w:pStyle w:val="SourceCode"/>
      </w:pP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→ frontend(:3000) → gateway(:8080/api/*) → </w:t>
      </w:r>
      <w:r>
        <w:rPr>
          <w:rStyle w:val="VerbatimChar"/>
          <w:rFonts w:hint="eastAsia"/>
        </w:rPr>
        <w:t xml:space="preserve">各微服务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MySQL/ClickHouse/对象存储</w:t>
      </w:r>
    </w:p>
    <w:bookmarkEnd w:id="23"/>
    <w:bookmarkStart w:id="24" w:name="车端数据流上行"/>
    <w:p>
      <w:pPr>
        <w:pStyle w:val="Heading3"/>
      </w:pPr>
      <w:r>
        <w:t xml:space="preserve">5.2 </w:t>
      </w:r>
      <w:r>
        <w:rPr>
          <w:rFonts w:hint="eastAsia"/>
        </w:rPr>
        <w:t xml:space="preserve">车端数据流（上行）</w:t>
      </w:r>
    </w:p>
    <w:p>
      <w:pPr>
        <w:pStyle w:val="SourceCode"/>
      </w:pPr>
      <w:r>
        <w:rPr>
          <w:rStyle w:val="VerbatimChar"/>
          <w:rFonts w:hint="eastAsia"/>
        </w:rPr>
        <w:t xml:space="preserve">车端</w:t>
      </w:r>
      <w:r>
        <w:rPr>
          <w:rStyle w:val="VerbatimChar"/>
        </w:rPr>
        <w:t xml:space="preserve"> → service-access</w:t>
      </w:r>
      <w:r>
        <w:br/>
      </w:r>
      <w:r>
        <w:rPr>
          <w:rStyle w:val="VerbatimChar"/>
        </w:rPr>
        <w:t xml:space="preserve">  ├─ MQTT vehicle/signal/+ → Kafka vehicle-signals → ClickHouse vehicle_signal_records</w:t>
      </w:r>
      <w:r>
        <w:br/>
      </w:r>
      <w:r>
        <w:rPr>
          <w:rStyle w:val="VerbatimChar"/>
        </w:rPr>
        <w:t xml:space="preserve">  ├─ HTTP POST /signal/vehicle/receive → Kafka → ClickHouse</w:t>
      </w:r>
      <w:r>
        <w:br/>
      </w:r>
      <w:r>
        <w:rPr>
          <w:rStyle w:val="VerbatimChar"/>
        </w:rPr>
        <w:t xml:space="preserve">  └─ HTTP POST /ecu-log/vehicle/* → </w:t>
      </w:r>
      <w:r>
        <w:rPr>
          <w:rStyle w:val="VerbatimChar"/>
          <w:rFonts w:hint="eastAsia"/>
        </w:rPr>
        <w:t xml:space="preserve">对象存储</w:t>
      </w:r>
      <w:r>
        <w:rPr>
          <w:rStyle w:val="VerbatimChar"/>
        </w:rPr>
        <w:t xml:space="preserve"> + ClickHouse ecu_log_records</w:t>
      </w:r>
      <w:r>
        <w:br/>
      </w:r>
      <w:r>
        <w:br/>
      </w:r>
      <w:r>
        <w:rPr>
          <w:rStyle w:val="VerbatimChar"/>
          <w:rFonts w:hint="eastAsia"/>
        </w:rPr>
        <w:t xml:space="preserve">管理端查询：</w:t>
      </w:r>
      <w:r>
        <w:br/>
      </w:r>
      <w:r>
        <w:rPr>
          <w:rStyle w:val="VerbatimChar"/>
        </w:rPr>
        <w:t xml:space="preserve">  service-signal → </w:t>
      </w:r>
      <w:r>
        <w:rPr>
          <w:rStyle w:val="VerbatimChar"/>
          <w:rFonts w:hint="eastAsia"/>
        </w:rPr>
        <w:t xml:space="preserve">ClickHouse（信号）</w:t>
      </w:r>
      <w:r>
        <w:br/>
      </w:r>
      <w:r>
        <w:rPr>
          <w:rStyle w:val="VerbatimChar"/>
        </w:rPr>
        <w:t xml:space="preserve">  service-ecu-log → ClickHouse + </w:t>
      </w:r>
      <w:r>
        <w:rPr>
          <w:rStyle w:val="VerbatimChar"/>
          <w:rFonts w:hint="eastAsia"/>
        </w:rPr>
        <w:t xml:space="preserve">对象存储（日志）</w:t>
      </w:r>
    </w:p>
    <w:bookmarkEnd w:id="24"/>
    <w:bookmarkStart w:id="25" w:name="kafka-主题"/>
    <w:p>
      <w:pPr>
        <w:pStyle w:val="Heading3"/>
      </w:pPr>
      <w:r>
        <w:t xml:space="preserve">5.3 Kafka </w:t>
      </w:r>
      <w:r>
        <w:rPr>
          <w:rFonts w:hint="eastAsia"/>
        </w:rPr>
        <w:t xml:space="preserve">主题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vehicle-data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车辆主数据同步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vehicle-signals</w:t>
            </w:r>
          </w:p>
        </w:tc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t xml:space="preserve">service-access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信号入库</w:t>
            </w:r>
            <w:r>
              <w:t xml:space="preserve"> ClickHouse</w:t>
            </w:r>
          </w:p>
        </w:tc>
      </w:tr>
    </w:tbl>
    <w:bookmarkEnd w:id="25"/>
    <w:bookmarkEnd w:id="26"/>
    <w:bookmarkStart w:id="32" w:name="部署架构"/>
    <w:p>
      <w:pPr>
        <w:pStyle w:val="Heading2"/>
      </w:pPr>
      <w:r>
        <w:t xml:space="preserve">6. </w:t>
      </w:r>
      <w:r>
        <w:rPr>
          <w:rFonts w:hint="eastAsia"/>
        </w:rPr>
        <w:t xml:space="preserve">部署架构</w:t>
      </w:r>
    </w:p>
    <w:bookmarkStart w:id="30" w:name="部署架构图"/>
    <w:p>
      <w:pPr>
        <w:pStyle w:val="Heading3"/>
      </w:pPr>
      <w:r>
        <w:t xml:space="preserve">6.1 </w:t>
      </w:r>
      <w:r>
        <w:rPr>
          <w:rFonts w:hint="eastAsia"/>
        </w:rPr>
        <w:t xml:space="preserve">部署架构图</w:t>
      </w:r>
    </w:p>
    <w:p>
      <w:pPr>
        <w:pStyle w:val="Block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6-1 </w:t>
      </w:r>
      <w:r>
        <w:rPr>
          <w:rFonts w:hint="eastAsia"/>
          <w:b/>
          <w:bCs/>
        </w:rPr>
        <w:t xml:space="preserve">部署架构图</w:t>
      </w:r>
    </w:p>
    <w:p>
      <w:pPr>
        <w:pStyle w:val="CaptionedFigure"/>
      </w:pPr>
      <w:r>
        <w:drawing>
          <wp:inline>
            <wp:extent cx="5334000" cy="3782290"/>
            <wp:effectExtent b="0" l="0" r="0" t="0"/>
            <wp:docPr descr="部署架构图" title="" id="28" name="Picture"/>
            <a:graphic>
              <a:graphicData uri="http://schemas.openxmlformats.org/drawingml/2006/picture">
                <pic:pic>
                  <pic:nvPicPr>
                    <pic:cNvPr descr="./images/deployment-architectur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部署架构图</w:t>
      </w:r>
    </w:p>
    <w:bookmarkEnd w:id="30"/>
    <w:bookmarkStart w:id="31" w:name="访问地址"/>
    <w:p>
      <w:pPr>
        <w:pStyle w:val="Heading3"/>
      </w:pPr>
      <w:r>
        <w:t xml:space="preserve">6.2 </w:t>
      </w:r>
      <w:r>
        <w:rPr>
          <w:rFonts w:hint="eastAsia"/>
        </w:rPr>
        <w:t xml:space="preserve">访问地址</w:t>
      </w:r>
    </w:p>
    <w:p>
      <w:pPr>
        <w:pStyle w:val="FirstParagraph"/>
      </w:pPr>
      <w:r>
        <w:t xml:space="preserve">Docker Compose </w:t>
      </w:r>
      <w:r>
        <w:rPr>
          <w:rFonts w:hint="eastAsia"/>
        </w:rPr>
        <w:t xml:space="preserve">一键部署，典型访问地址：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Nacos </w:t>
            </w:r>
            <w:r>
              <w:rPr>
                <w:rFonts w:hint="eastAsia"/>
              </w:rPr>
              <w:t xml:space="preserve">控制台</w:t>
            </w:r>
          </w:p>
        </w:tc>
        <w:tc>
          <w:tcPr/>
          <w:p>
            <w:pPr>
              <w:pStyle w:val="Compact"/>
            </w:pPr>
            <w:r>
              <w:t xml:space="preserve">http://localhost:8848/nacos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localhost:9092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</w:t>
            </w:r>
          </w:p>
        </w:tc>
        <w:tc>
          <w:tcPr/>
          <w:p>
            <w:pPr>
              <w:pStyle w:val="Compact"/>
            </w:pPr>
            <w:r>
              <w:t xml:space="preserve">localhost:1883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默认管理员：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（密码见</w:t>
      </w:r>
      <w:r>
        <w:t xml:space="preserve"> </w:t>
      </w:r>
      <w:r>
        <w:rPr>
          <w:rStyle w:val="VerbatimChar"/>
        </w:rPr>
        <w:t xml:space="preserve">scripts/init.sql</w:t>
      </w:r>
      <w:r>
        <w:t xml:space="preserve"> </w:t>
      </w:r>
      <w:r>
        <w:rPr>
          <w:rFonts w:hint="eastAsia"/>
        </w:rPr>
        <w:t xml:space="preserve">预置</w:t>
      </w:r>
      <w:r>
        <w:t xml:space="preserve"> BCrypt </w:t>
      </w:r>
      <w:r>
        <w:rPr>
          <w:rFonts w:hint="eastAsia"/>
        </w:rPr>
        <w:t xml:space="preserve">哈希）。</w:t>
      </w:r>
    </w:p>
    <w:bookmarkEnd w:id="31"/>
    <w:bookmarkEnd w:id="32"/>
    <w:bookmarkStart w:id="33" w:name="非功能需求"/>
    <w:p>
      <w:pPr>
        <w:pStyle w:val="Heading2"/>
      </w:pPr>
      <w:r>
        <w:t xml:space="preserve">7.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车辆在线规模</w:t>
            </w:r>
          </w:p>
        </w:tc>
        <w:tc>
          <w:tcPr/>
          <w:p>
            <w:pPr>
              <w:pStyle w:val="Compact"/>
            </w:pPr>
            <w:r>
              <w:t xml:space="preserve">10,000+ </w:t>
            </w:r>
            <w:r>
              <w:rPr>
                <w:rFonts w:hint="eastAsia"/>
              </w:rPr>
              <w:t xml:space="preserve">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信号延迟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100ms（MQTT</w:t>
            </w:r>
            <w:r>
              <w:t xml:space="preserve"> → Kafka → </w:t>
            </w:r>
            <w:r>
              <w:rPr>
                <w:rFonts w:hint="eastAsia"/>
              </w:rPr>
              <w:t xml:space="preserve">ClickHouse）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支持断点续传，&gt;</w:t>
            </w:r>
            <w:r>
              <w:t xml:space="preserve"> 10MB/s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可用性</w:t>
            </w:r>
          </w:p>
        </w:tc>
        <w:tc>
          <w:tcPr/>
          <w:p>
            <w:pPr>
              <w:pStyle w:val="Compact"/>
            </w:pPr>
            <w:r>
              <w:t xml:space="preserve">&gt; </w:t>
            </w:r>
            <w:r>
              <w:rPr>
                <w:rFonts w:hint="eastAsia"/>
              </w:rPr>
              <w:t xml:space="preserve">99.9%（微服务</w:t>
            </w:r>
            <w:r>
              <w:t xml:space="preserve"> + </w:t>
            </w:r>
            <w:r>
              <w:rPr>
                <w:rFonts w:hint="eastAsia"/>
              </w:rPr>
              <w:t xml:space="preserve">容器化）</w:t>
            </w:r>
          </w:p>
        </w:tc>
      </w:tr>
    </w:tbl>
    <w:bookmarkEnd w:id="33"/>
    <w:bookmarkStart w:id="34" w:name="已知限制与演进方向"/>
    <w:p>
      <w:pPr>
        <w:pStyle w:val="Heading2"/>
      </w:pPr>
      <w:r>
        <w:t xml:space="preserve">8. </w:t>
      </w:r>
      <w:r>
        <w:rPr>
          <w:rFonts w:hint="eastAsia"/>
        </w:rPr>
        <w:t xml:space="preserve">已知限制与演进方向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网关仅校验</w:t>
      </w:r>
      <w:r>
        <w:t xml:space="preserve"> JWT </w:t>
      </w:r>
      <w:r>
        <w:rPr>
          <w:rFonts w:hint="eastAsia"/>
        </w:rPr>
        <w:t xml:space="preserve">格式，不验签、不过期检查；RBAC</w:t>
      </w:r>
      <w:r>
        <w:t xml:space="preserve"> </w:t>
      </w:r>
      <w:r>
        <w:rPr>
          <w:rFonts w:hint="eastAsia"/>
        </w:rPr>
        <w:t xml:space="preserve">未在</w:t>
      </w:r>
      <w:r>
        <w:t xml:space="preserve"> API </w:t>
      </w:r>
      <w:r>
        <w:rPr>
          <w:rFonts w:hint="eastAsia"/>
        </w:rPr>
        <w:t xml:space="preserve">层强制。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service-bigdata</w:t>
      </w:r>
      <w:r>
        <w:t xml:space="preserve">、Doris </w:t>
      </w:r>
      <w:r>
        <w:rPr>
          <w:rFonts w:hint="eastAsia"/>
        </w:rPr>
        <w:t xml:space="preserve">分析链路尚未实现。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车端接入接口（</w:t>
      </w:r>
      <w:r>
        <w:rPr>
          <w:rStyle w:val="VerbatimChar"/>
        </w:rPr>
        <w:t xml:space="preserve">/ecu-log/vehicle/*</w:t>
      </w:r>
      <w:r>
        <w:t xml:space="preserve">、</w:t>
      </w:r>
      <w:r>
        <w:rPr>
          <w:rStyle w:val="VerbatimChar"/>
        </w:rPr>
        <w:t xml:space="preserve">/signal/vehicle/receive</w:t>
      </w:r>
      <w:r>
        <w:rPr>
          <w:rFonts w:hint="eastAsia"/>
        </w:rPr>
        <w:t xml:space="preserve">）未列入网关白名单，需携带</w:t>
      </w:r>
      <w:r>
        <w:t xml:space="preserve"> Token </w:t>
      </w:r>
      <w:r>
        <w:rPr>
          <w:rFonts w:hint="eastAsia"/>
        </w:rPr>
        <w:t xml:space="preserve">或后续单独开放。</w:t>
      </w:r>
    </w:p>
    <w:p>
      <w:pPr>
        <w:pStyle w:val="Compact"/>
        <w:numPr>
          <w:ilvl w:val="0"/>
          <w:numId w:val="1002"/>
        </w:numPr>
      </w:pPr>
      <w:r>
        <w:t xml:space="preserve">README </w:t>
      </w:r>
      <w:r>
        <w:rPr>
          <w:rFonts w:hint="eastAsia"/>
        </w:rPr>
        <w:t xml:space="preserve">中</w:t>
      </w:r>
      <w:r>
        <w:t xml:space="preserve"> Eureka、HDFS </w:t>
      </w:r>
      <w:r>
        <w:rPr>
          <w:rFonts w:hint="eastAsia"/>
        </w:rPr>
        <w:t xml:space="preserve">为主架构的描述与当前</w:t>
      </w:r>
      <w:r>
        <w:t xml:space="preserve"> Nacos + ClickHouse </w:t>
      </w:r>
      <w:r>
        <w:rPr>
          <w:rFonts w:hint="eastAsia"/>
        </w:rPr>
        <w:t xml:space="preserve">实现不一致。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2026-06-10T12:27:30Z</dcterms:created>
  <dcterms:modified xsi:type="dcterms:W3CDTF">2026-06-10T12:27:30Z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