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/>
          <w:color w:val="000000"/>
          <w:sz w:val="52"/>
        </w:rPr>
        <w:t>台股國運基金</w:t>
      </w:r>
    </w:p>
    <w:p>
      <w:pPr>
        <w:spacing w:after="40"/>
        <w:jc w:val="center"/>
      </w:pPr>
      <w:r>
        <w:rPr>
          <w:rFonts w:ascii="Arial" w:hAnsi="Arial"/>
          <w:color w:val="666666"/>
          <w:sz w:val="26"/>
        </w:rPr>
        <w:t>Leveraged Index DCA Fund — Factsheet</w:t>
      </w:r>
    </w:p>
    <w:p>
      <w:pPr>
        <w:spacing w:after="240"/>
        <w:jc w:val="center"/>
      </w:pPr>
      <w:r>
        <w:rPr>
          <w:rFonts w:ascii="Arial" w:hAnsi="Arial"/>
          <w:color w:val="1A56DB"/>
          <w:sz w:val="20"/>
          <w:u w:val="single"/>
        </w:rPr>
        <w:t>📊 即時儀表板：https://asdfghjkl010100.github.io/00631l-2000w/</w:t>
      </w:r>
    </w:p>
    <w:p>
      <w:pPr>
        <w:spacing w:before="320" w:after="160"/>
      </w:pPr>
      <w:r>
        <w:rPr>
          <w:rFonts w:ascii="Arial" w:hAnsi="Arial"/>
          <w:b/>
          <w:color w:val="1A56DB"/>
          <w:sz w:val="28"/>
        </w:rPr>
        <w:t>基金基本資料</w:t>
      </w:r>
    </w:p>
    <w:p>
      <w:pPr>
        <w:pStyle w:val="ListBullet"/>
      </w:pPr>
      <w:r>
        <w:rPr>
          <w:rFonts w:ascii="Arial" w:hAnsi="Arial"/>
          <w:sz w:val="22"/>
        </w:rPr>
        <w:t>基金類型：指數型／槓桿型／定期定額策略</w:t>
      </w:r>
    </w:p>
    <w:p>
      <w:pPr>
        <w:pStyle w:val="ListBullet"/>
      </w:pPr>
      <w:r>
        <w:rPr>
          <w:rFonts w:ascii="Arial" w:hAnsi="Arial"/>
          <w:sz w:val="22"/>
        </w:rPr>
        <w:t>成立日期：2025 年 12 月</w:t>
      </w:r>
    </w:p>
    <w:p>
      <w:pPr>
        <w:pStyle w:val="ListBullet"/>
      </w:pPr>
      <w:r>
        <w:rPr>
          <w:rFonts w:ascii="Arial" w:hAnsi="Arial"/>
          <w:sz w:val="22"/>
        </w:rPr>
        <w:t>計價幣別：新台幣（TWD）</w:t>
      </w:r>
    </w:p>
    <w:p>
      <w:pPr>
        <w:pStyle w:val="ListBullet"/>
      </w:pPr>
      <w:r>
        <w:rPr>
          <w:rFonts w:ascii="Arial" w:hAnsi="Arial"/>
          <w:sz w:val="22"/>
        </w:rPr>
        <w:t>投資期間：中長期（以年為單位）</w:t>
      </w:r>
    </w:p>
    <w:p>
      <w:pPr>
        <w:pStyle w:val="ListBullet"/>
      </w:pPr>
      <w:r>
        <w:rPr>
          <w:rFonts w:ascii="Arial" w:hAnsi="Arial"/>
          <w:sz w:val="22"/>
        </w:rPr>
        <w:t>投資方式：定期定額、分批進場</w:t>
      </w:r>
    </w:p>
    <w:p>
      <w:pPr>
        <w:spacing w:before="320" w:after="160"/>
      </w:pPr>
      <w:r>
        <w:rPr>
          <w:rFonts w:ascii="Arial" w:hAnsi="Arial"/>
          <w:b/>
          <w:color w:val="1A56DB"/>
          <w:sz w:val="28"/>
        </w:rPr>
        <w:t>投資目標</w:t>
      </w:r>
    </w:p>
    <w:p>
      <w:r>
        <w:rPr>
          <w:rFonts w:ascii="Arial" w:hAnsi="Arial"/>
          <w:sz w:val="22"/>
        </w:rPr>
        <w:t>本基金以小額資金參與槓桿型指數 ETF 為核心策略，透過長期、規則化的定期定額投入與「回撤加碼」機制，參與市場長期成長潛力。</w:t>
      </w:r>
    </w:p>
    <w:p>
      <w:r>
        <w:rPr>
          <w:rFonts w:ascii="Arial" w:hAnsi="Arial"/>
          <w:sz w:val="22"/>
        </w:rPr>
        <w:t>本基金屬於高波動策略，不以短期績效作為投資決策依據。</w:t>
      </w:r>
    </w:p>
    <w:p>
      <w:r>
        <w:rPr>
          <w:rFonts w:ascii="Arial" w:hAnsi="Arial"/>
          <w:b/>
          <w:sz w:val="22"/>
        </w:rPr>
        <w:t>📌 策略定位：</w:t>
      </w:r>
      <w:r>
        <w:rPr>
          <w:rFonts w:ascii="Arial" w:hAnsi="Arial"/>
          <w:sz w:val="22"/>
        </w:rPr>
        <w:t>本基金為策略實驗性質，不作為成員主要資產配置之核心部位。</w:t>
      </w:r>
    </w:p>
    <w:p>
      <w:pPr>
        <w:spacing w:before="320" w:after="160"/>
      </w:pPr>
      <w:r>
        <w:rPr>
          <w:rFonts w:ascii="Arial" w:hAnsi="Arial"/>
          <w:b/>
          <w:color w:val="1A56DB"/>
          <w:sz w:val="28"/>
        </w:rPr>
        <w:t>投資策略</w:t>
      </w:r>
    </w:p>
    <w:p>
      <w:pPr>
        <w:pStyle w:val="ListBullet"/>
      </w:pPr>
      <w:r>
        <w:rPr>
          <w:rFonts w:ascii="Arial" w:hAnsi="Arial"/>
          <w:sz w:val="22"/>
        </w:rPr>
        <w:t>主要投資於槓桿型指數 ETF（如：00631L）</w:t>
      </w:r>
    </w:p>
    <w:p>
      <w:pPr>
        <w:pStyle w:val="ListBullet"/>
      </w:pPr>
      <w:r>
        <w:rPr>
          <w:rFonts w:ascii="Arial" w:hAnsi="Arial"/>
          <w:sz w:val="22"/>
        </w:rPr>
        <w:t>每月固定投入金額，並分批次進場</w:t>
      </w:r>
    </w:p>
    <w:p>
      <w:pPr>
        <w:pStyle w:val="ListBullet"/>
      </w:pPr>
      <w:r>
        <w:rPr>
          <w:rFonts w:ascii="Arial" w:hAnsi="Arial"/>
          <w:sz w:val="22"/>
        </w:rPr>
        <w:t>不進行短線交易或市場時點判斷</w:t>
      </w:r>
    </w:p>
    <w:p>
      <w:pPr>
        <w:pStyle w:val="ListBullet"/>
      </w:pPr>
      <w:r>
        <w:rPr>
          <w:rFonts w:ascii="Arial" w:hAnsi="Arial"/>
          <w:sz w:val="22"/>
        </w:rPr>
        <w:t>不因市場波動進行主觀的投入調整</w:t>
      </w:r>
    </w:p>
    <w:p>
      <w:pPr>
        <w:spacing w:before="320" w:after="160"/>
      </w:pPr>
      <w:r>
        <w:rPr>
          <w:rFonts w:ascii="Arial" w:hAnsi="Arial"/>
          <w:b/>
          <w:color w:val="1A56DB"/>
          <w:sz w:val="28"/>
        </w:rPr>
        <w:t>停損／停利政策</w:t>
      </w:r>
    </w:p>
    <w:p>
      <w:pPr>
        <w:pStyle w:val="ListBullet"/>
      </w:pPr>
      <w:r>
        <w:rPr>
          <w:rFonts w:ascii="Arial" w:hAnsi="Arial"/>
          <w:sz w:val="22"/>
        </w:rPr>
        <w:t>不設價格型停損或停利</w:t>
      </w:r>
    </w:p>
    <w:p>
      <w:pPr>
        <w:pStyle w:val="ListBullet"/>
      </w:pPr>
      <w:r>
        <w:rPr>
          <w:rFonts w:ascii="Arial" w:hAnsi="Arial"/>
          <w:sz w:val="22"/>
        </w:rPr>
        <w:t>採取長期定期定額持有策略</w:t>
      </w:r>
    </w:p>
    <w:p>
      <w:pPr>
        <w:pStyle w:val="ListBullet"/>
      </w:pPr>
      <w:r>
        <w:rPr>
          <w:rFonts w:ascii="Arial" w:hAnsi="Arial"/>
          <w:sz w:val="22"/>
        </w:rPr>
        <w:t>投資期間內可能長時間帳面虧損</w:t>
      </w:r>
    </w:p>
    <w:p>
      <w:pPr>
        <w:spacing w:before="320" w:after="160"/>
      </w:pPr>
      <w:r>
        <w:rPr>
          <w:rFonts w:ascii="Arial" w:hAnsi="Arial"/>
          <w:b/>
          <w:color w:val="1A56DB"/>
          <w:sz w:val="28"/>
        </w:rPr>
        <w:t>回撤加碼機制</w:t>
      </w:r>
    </w:p>
    <w:p>
      <w:pPr>
        <w:pStyle w:val="ListBullet"/>
      </w:pPr>
      <w:r>
        <w:rPr>
          <w:rFonts w:ascii="Arial" w:hAnsi="Arial"/>
          <w:sz w:val="22"/>
        </w:rPr>
        <w:t>基礎每月投入金額：1,000 元</w:t>
      </w:r>
    </w:p>
    <w:p>
      <w:pPr>
        <w:pStyle w:val="ListBullet"/>
      </w:pPr>
      <w:r>
        <w:rPr>
          <w:rFonts w:ascii="Arial" w:hAnsi="Arial"/>
          <w:sz w:val="22"/>
        </w:rPr>
        <w:t>回撤幅度依每週結算日公告的「歷史最高單位淨值（HWM）」計算</w:t>
      </w:r>
    </w:p>
    <w:p>
      <w:r>
        <w:rPr>
          <w:rFonts w:ascii="Arial" w:hAnsi="Arial"/>
          <w:sz w:val="22"/>
        </w:rPr>
        <w:t>當單位淨值自歷史最高值（HWM）出現回撤時，依下列級距調整投入金額：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回撤幅度（相對 HWM）</w:t>
            </w:r>
          </w:p>
        </w:tc>
        <w:tc>
          <w:tcPr>
            <w:tcW w:type="dxa" w:w="4703"/>
            <w:shd w:fill="1a56db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當月投入金額</w:t>
            </w:r>
          </w:p>
        </w:tc>
      </w:tr>
      <w:tr>
        <w:tc>
          <w:tcPr>
            <w:tcW w:type="dxa" w:w="4703"/>
            <w:shd w:fill="f0f4ff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 ~ 10%</w:t>
            </w:r>
          </w:p>
        </w:tc>
        <w:tc>
          <w:tcPr>
            <w:tcW w:type="dxa" w:w="4703"/>
            <w:shd w:fill="f0f4ff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NT$ 1,000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10 ~ 20%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NT$ 1,500</w:t>
            </w:r>
          </w:p>
        </w:tc>
      </w:tr>
      <w:tr>
        <w:tc>
          <w:tcPr>
            <w:tcW w:type="dxa" w:w="4703"/>
            <w:shd w:fill="f0f4ff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20 ~ 30%</w:t>
            </w:r>
          </w:p>
        </w:tc>
        <w:tc>
          <w:tcPr>
            <w:tcW w:type="dxa" w:w="4703"/>
            <w:shd w:fill="f0f4ff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NT$ 2,000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30 ~ 40%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NT$ 2,500</w:t>
            </w:r>
          </w:p>
        </w:tc>
      </w:tr>
      <w:tr>
        <w:tc>
          <w:tcPr>
            <w:tcW w:type="dxa" w:w="4703"/>
            <w:shd w:fill="f0f4ff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40% 以上</w:t>
            </w:r>
          </w:p>
        </w:tc>
        <w:tc>
          <w:tcPr>
            <w:tcW w:type="dxa" w:w="4703"/>
            <w:shd w:fill="f0f4ff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NT$ 3,000</w:t>
            </w:r>
          </w:p>
        </w:tc>
      </w:tr>
    </w:tbl>
    <w:p>
      <w:r>
        <w:rPr>
          <w:rFonts w:ascii="Arial" w:hAnsi="Arial"/>
          <w:sz w:val="22"/>
        </w:rPr>
      </w:r>
    </w:p>
    <w:p>
      <w:pPr>
        <w:pStyle w:val="ListBullet"/>
      </w:pPr>
      <w:r>
        <w:rPr>
          <w:rFonts w:ascii="Arial" w:hAnsi="Arial"/>
          <w:sz w:val="22"/>
        </w:rPr>
        <w:t>自主加碼：超過 NT$ 3,000 由投資人自行決定</w:t>
      </w:r>
    </w:p>
    <w:p>
      <w:pPr>
        <w:pStyle w:val="ListBullet"/>
      </w:pPr>
      <w:r>
        <w:rPr>
          <w:rFonts w:ascii="Arial" w:hAnsi="Arial"/>
          <w:sz w:val="22"/>
        </w:rPr>
        <w:t>保護條款：加碼投入仍以投資人可承受之定期金額為前提，並非追加資金義務</w:t>
      </w:r>
    </w:p>
    <w:p>
      <w:pPr>
        <w:pStyle w:val="ListBullet"/>
      </w:pPr>
      <w:r>
        <w:rPr>
          <w:rFonts w:ascii="Arial" w:hAnsi="Arial"/>
          <w:sz w:val="22"/>
        </w:rPr>
        <w:t>制度目的：透過下跌時加碼加速單位累積效率，降低長期平均成本</w:t>
      </w:r>
    </w:p>
    <w:p>
      <w:pPr>
        <w:spacing w:before="320" w:after="160"/>
      </w:pPr>
      <w:r>
        <w:rPr>
          <w:rFonts w:ascii="Arial" w:hAnsi="Arial"/>
          <w:b/>
          <w:color w:val="1A56DB"/>
          <w:sz w:val="28"/>
        </w:rPr>
        <w:t>資產配置與風險屬性</w:t>
      </w:r>
    </w:p>
    <w:p>
      <w:pPr>
        <w:pStyle w:val="ListBullet"/>
      </w:pPr>
      <w:r>
        <w:rPr>
          <w:rFonts w:ascii="Arial" w:hAnsi="Arial"/>
          <w:sz w:val="22"/>
        </w:rPr>
        <w:t>單一標的集中，高風險、高波動</w:t>
      </w:r>
    </w:p>
    <w:p>
      <w:pPr>
        <w:pStyle w:val="ListBullet"/>
      </w:pPr>
      <w:r>
        <w:rPr>
          <w:rFonts w:ascii="Arial" w:hAnsi="Arial"/>
          <w:sz w:val="22"/>
        </w:rPr>
        <w:t>僅適合整體資產中之「小額配置」</w:t>
      </w:r>
    </w:p>
    <w:p>
      <w:pPr>
        <w:pStyle w:val="ListBullet"/>
      </w:pPr>
      <w:r>
        <w:rPr>
          <w:rFonts w:ascii="Arial" w:hAnsi="Arial"/>
          <w:sz w:val="22"/>
        </w:rPr>
        <w:t>風險等級：高（依投資標的特性自行評估）</w:t>
      </w:r>
    </w:p>
    <w:p>
      <w:pPr>
        <w:pStyle w:val="ListBullet"/>
      </w:pPr>
      <w:r>
        <w:rPr>
          <w:rFonts w:ascii="Arial" w:hAnsi="Arial"/>
          <w:sz w:val="22"/>
        </w:rPr>
        <w:t>淨值波動顯著高於一般指數型 ETF</w:t>
      </w:r>
    </w:p>
    <w:p>
      <w:pPr>
        <w:pStyle w:val="ListBullet"/>
      </w:pPr>
      <w:r>
        <w:rPr>
          <w:rFonts w:ascii="Arial" w:hAnsi="Arial"/>
          <w:sz w:val="22"/>
        </w:rPr>
        <w:t>可能出現長時間帳面虧損</w:t>
      </w:r>
    </w:p>
    <w:p>
      <w:pPr>
        <w:pStyle w:val="ListBullet"/>
      </w:pPr>
      <w:r>
        <w:rPr>
          <w:rFonts w:ascii="Arial" w:hAnsi="Arial"/>
          <w:sz w:val="22"/>
        </w:rPr>
        <w:t>不保證本金安全</w:t>
      </w:r>
    </w:p>
    <w:p>
      <w:pPr>
        <w:spacing w:before="320" w:after="160"/>
      </w:pPr>
      <w:r>
        <w:rPr>
          <w:rFonts w:ascii="Arial" w:hAnsi="Arial"/>
          <w:b/>
          <w:color w:val="1A56DB"/>
          <w:sz w:val="28"/>
        </w:rPr>
        <w:t>投資與淨值機制</w:t>
      </w:r>
    </w:p>
    <w:p>
      <w:pPr>
        <w:pStyle w:val="ListBullet"/>
      </w:pPr>
      <w:r>
        <w:rPr>
          <w:rFonts w:ascii="Arial" w:hAnsi="Arial"/>
          <w:sz w:val="22"/>
        </w:rPr>
        <w:t>收款頻率：每月一次（每月 25 號）</w:t>
      </w:r>
    </w:p>
    <w:p>
      <w:pPr>
        <w:pStyle w:val="ListBullet"/>
      </w:pPr>
      <w:r>
        <w:rPr>
          <w:rFonts w:ascii="Arial" w:hAnsi="Arial"/>
          <w:sz w:val="22"/>
        </w:rPr>
        <w:t>進場方式：當月分三次進場</w:t>
      </w:r>
    </w:p>
    <w:p>
      <w:pPr>
        <w:pStyle w:val="ListBullet"/>
      </w:pPr>
      <w:r>
        <w:rPr>
          <w:rFonts w:ascii="Arial" w:hAnsi="Arial"/>
          <w:sz w:val="22"/>
        </w:rPr>
        <w:t>單位制管理：依當期單位淨值換算持有單位</w:t>
      </w:r>
    </w:p>
    <w:p>
      <w:pPr>
        <w:pStyle w:val="ListBullet"/>
      </w:pPr>
      <w:r>
        <w:rPr>
          <w:rFonts w:ascii="Arial" w:hAnsi="Arial"/>
          <w:sz w:val="22"/>
        </w:rPr>
        <w:t>淨值公告日：每週日</w:t>
      </w:r>
    </w:p>
    <w:p>
      <w:pPr>
        <w:pStyle w:val="ListBullet"/>
      </w:pPr>
      <w:r>
        <w:rPr>
          <w:rFonts w:ascii="Arial" w:hAnsi="Arial"/>
          <w:sz w:val="22"/>
        </w:rPr>
        <w:t>新資金換算日：新資金於次月 1 號依當期單位淨值換算單位</w:t>
      </w:r>
    </w:p>
    <w:p>
      <w:pPr>
        <w:pStyle w:val="ListBullet"/>
      </w:pPr>
      <w:r>
        <w:rPr>
          <w:rFonts w:ascii="Arial" w:hAnsi="Arial"/>
          <w:sz w:val="22"/>
        </w:rPr>
        <w:t>HWM 定義：HWM 為截至最新週結算日公告的單位淨值歷史最高值，所有回撤加碼計算皆以此值為基準</w:t>
      </w:r>
    </w:p>
    <w:p>
      <w:pPr>
        <w:spacing w:before="320" w:after="160"/>
      </w:pPr>
      <w:r>
        <w:rPr>
          <w:rFonts w:ascii="Arial" w:hAnsi="Arial"/>
          <w:b/>
          <w:color w:val="1A56DB"/>
          <w:sz w:val="28"/>
        </w:rPr>
        <w:t>適合投資人</w:t>
      </w:r>
    </w:p>
    <w:p>
      <w:pPr>
        <w:pStyle w:val="ListBullet"/>
      </w:pPr>
      <w:r>
        <w:rPr>
          <w:rFonts w:ascii="Arial" w:hAnsi="Arial"/>
          <w:sz w:val="22"/>
        </w:rPr>
        <w:t>✔ 可承受高波動與回撤</w:t>
      </w:r>
    </w:p>
    <w:p>
      <w:pPr>
        <w:pStyle w:val="ListBullet"/>
      </w:pPr>
      <w:r>
        <w:rPr>
          <w:rFonts w:ascii="Arial" w:hAnsi="Arial"/>
          <w:sz w:val="22"/>
        </w:rPr>
        <w:t>✔ 理解槓桿型 ETF 特性</w:t>
      </w:r>
    </w:p>
    <w:p>
      <w:pPr>
        <w:pStyle w:val="ListBullet"/>
      </w:pPr>
      <w:r>
        <w:rPr>
          <w:rFonts w:ascii="Arial" w:hAnsi="Arial"/>
          <w:sz w:val="22"/>
        </w:rPr>
        <w:t>✔ 投資目標為長期參與市場成長</w:t>
      </w:r>
    </w:p>
    <w:p>
      <w:pPr>
        <w:pStyle w:val="ListBullet"/>
      </w:pPr>
      <w:r>
        <w:rPr>
          <w:rFonts w:ascii="Arial" w:hAnsi="Arial"/>
          <w:sz w:val="22"/>
        </w:rPr>
        <w:t>✖ 不適合短期資金</w:t>
      </w:r>
    </w:p>
    <w:p>
      <w:pPr>
        <w:pStyle w:val="ListBullet"/>
      </w:pPr>
      <w:r>
        <w:rPr>
          <w:rFonts w:ascii="Arial" w:hAnsi="Arial"/>
          <w:sz w:val="22"/>
        </w:rPr>
        <w:t>✖ 不適合追求穩定收益者</w:t>
      </w:r>
    </w:p>
    <w:p>
      <w:pPr>
        <w:spacing w:before="320" w:after="160"/>
      </w:pPr>
      <w:r>
        <w:rPr>
          <w:rFonts w:ascii="Arial" w:hAnsi="Arial"/>
          <w:b/>
          <w:color w:val="1A56DB"/>
          <w:sz w:val="28"/>
        </w:rPr>
        <w:t>管理特色</w:t>
      </w:r>
    </w:p>
    <w:p>
      <w:pPr>
        <w:pStyle w:val="ListBullet"/>
      </w:pPr>
      <w:r>
        <w:rPr>
          <w:rFonts w:ascii="Arial" w:hAnsi="Arial"/>
          <w:sz w:val="22"/>
        </w:rPr>
        <w:t>採用單位制，確保新舊投資人公平</w:t>
      </w:r>
    </w:p>
    <w:p>
      <w:pPr>
        <w:pStyle w:val="ListBullet"/>
      </w:pPr>
      <w:r>
        <w:rPr>
          <w:rFonts w:ascii="Arial" w:hAnsi="Arial"/>
          <w:sz w:val="22"/>
        </w:rPr>
        <w:t>投入與分配規則明確且一致</w:t>
      </w:r>
    </w:p>
    <w:p>
      <w:pPr>
        <w:pStyle w:val="ListBullet"/>
      </w:pPr>
      <w:r>
        <w:rPr>
          <w:rFonts w:ascii="Arial" w:hAnsi="Arial"/>
          <w:sz w:val="22"/>
        </w:rPr>
        <w:t>全程依制度執行，不進行情緒化調整</w:t>
      </w:r>
    </w:p>
    <w:p>
      <w:pPr>
        <w:spacing w:before="320" w:after="160"/>
      </w:pPr>
      <w:r>
        <w:rPr>
          <w:rFonts w:ascii="Arial" w:hAnsi="Arial"/>
          <w:b/>
          <w:color w:val="1A56DB"/>
          <w:sz w:val="28"/>
        </w:rPr>
        <w:t>重要聲明</w:t>
      </w:r>
    </w:p>
    <w:p>
      <w:pPr>
        <w:pStyle w:val="ListBullet"/>
      </w:pPr>
      <w:r>
        <w:rPr>
          <w:rFonts w:ascii="Arial" w:hAnsi="Arial"/>
          <w:sz w:val="22"/>
        </w:rPr>
        <w:t>非受監管業務：本計畫非屬受金融監管機構監督之公開募資行為，僅供內部成員依共識執行。</w:t>
      </w:r>
    </w:p>
    <w:p>
      <w:pPr>
        <w:pStyle w:val="ListBullet"/>
      </w:pPr>
      <w:r>
        <w:rPr>
          <w:rFonts w:ascii="Arial" w:hAnsi="Arial"/>
          <w:sz w:val="22"/>
        </w:rPr>
        <w:t>策略風險：本計畫為合資性質之策略實驗，不保證本金安全與最低收益。</w:t>
      </w:r>
    </w:p>
    <w:p>
      <w:pPr>
        <w:pStyle w:val="ListBullet"/>
      </w:pPr>
      <w:r>
        <w:rPr>
          <w:rFonts w:ascii="Arial" w:hAnsi="Arial"/>
          <w:sz w:val="22"/>
        </w:rPr>
        <w:t>槓桿損耗：參與者應理解槓桿型 ETF 在震盪行情下可能因轉倉及複利偏移產生淨值損耗。</w:t>
      </w:r>
    </w:p>
    <w:p>
      <w:pPr>
        <w:pStyle w:val="ListBullet"/>
      </w:pPr>
      <w:r>
        <w:rPr>
          <w:rFonts w:ascii="Arial" w:hAnsi="Arial"/>
          <w:sz w:val="22"/>
        </w:rPr>
        <w:t>責任釐清：所有投資決策由參與者基於自身財務能力決定，本計畫不承擔因市場波動、不可抗力因素或策略失效所致之損失。</w:t>
      </w:r>
    </w:p>
    <w:p>
      <w:r>
        <w:rPr>
          <w:rFonts w:ascii="Arial" w:hAnsi="Arial"/>
          <w:i/>
          <w:sz w:val="20"/>
        </w:rPr>
        <w:t>「本文件所稱『基金』僅為策略名稱，並非法律定義之基金商品。」</w:t>
      </w:r>
    </w:p>
    <w:p>
      <w:r>
        <w:rPr>
          <w:rFonts w:ascii="Arial" w:hAnsi="Arial"/>
          <w:sz w:val="22"/>
        </w:rPr>
      </w:r>
    </w:p>
    <w:p>
      <w:pPr>
        <w:spacing w:before="320" w:after="160"/>
      </w:pPr>
      <w:r>
        <w:rPr>
          <w:rFonts w:ascii="Arial" w:hAnsi="Arial"/>
          <w:b/>
          <w:color w:val="1A56DB"/>
          <w:sz w:val="28"/>
        </w:rPr>
        <w:t>一句話摘要</w:t>
      </w:r>
    </w:p>
    <w:p>
      <w:r>
        <w:rPr>
          <w:rFonts w:ascii="Arial" w:hAnsi="Arial"/>
          <w:sz w:val="22"/>
        </w:rPr>
        <w:t>本基金透過小額、長期定期定額方式，參與槓桿型指數 ETF 的市場成長潛力，並採用回撤加碼制度，適合可承受高波動之投資人。</w:t>
      </w:r>
    </w:p>
    <w:p>
      <w:pPr>
        <w:jc w:val="center"/>
      </w:pPr>
      <w:r>
        <w:rPr>
          <w:color w:val="CCCCCC"/>
          <w:sz w:val="20"/>
        </w:rPr>
        <w:t>────────────────────────────────────────</w:t>
      </w:r>
    </w:p>
    <w:p>
      <w:pPr>
        <w:spacing w:after="240"/>
        <w:jc w:val="center"/>
      </w:pPr>
      <w:r>
        <w:rPr>
          <w:rFonts w:ascii="Arial" w:hAnsi="Arial"/>
          <w:color w:val="1A56DB"/>
          <w:sz w:val="20"/>
          <w:u w:val="single"/>
        </w:rPr>
        <w:t>📊 即時儀表板：https://asdfghjkl010100.github.io/00631l-2000w/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