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基于当前基础算法的矿压影响指标（MPI）科研化初稿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作者1，作者2，作者3</w:t>
      </w:r>
    </w:p>
    <w:p>
      <w:pPr>
        <w:jc w:val="center"/>
      </w:pPr>
      <w:r>
        <w:rPr>
          <w:rFonts w:ascii="Times New Roman" w:hAnsi="Times New Roman" w:eastAsia="宋体"/>
          <w:b w:val="0"/>
          <w:sz w:val="22"/>
        </w:rPr>
        <w:t>（单位名称，城市 邮编）</w:t>
      </w:r>
    </w:p>
    <w:p>
      <w:r>
        <w:t>摘  要：</w:t>
      </w:r>
    </w:p>
    <w:p>
      <w:r>
        <w:t>针对现阶段矿压评估系统在“可复现证据链”与“物理机制可解释性”方面的提升需求，本文基于当前代码库的基础算法与新近升级模块，构建了一个面向论文产出的科研化原型。方法上，在保留RSI/BRI/ASI传统可解释框架的基础上，引入RSI相场有限差分求解器与ASI统一强度理论（UST）解析模型，并通过研究接口实现数据版本固化、切分防泄漏审计、实验归档与产物追溯。系统统一输出AUC、PR-AUC、F1、Brier、ECE、MAE、RMSE及95%置信区间，支持与基线方法进行配对显著性检验。给出了基于当前开发数据切分的演示性结果与图件，用于验证流程闭环与投稿材料组织能力。结果表明：现有系统已具备“方法-数据-实验-图表”一体化初稿支撑能力，为后续真实矿压标签条件下的严格实证与SCI投稿奠定了工程基础。</w:t>
      </w:r>
    </w:p>
    <w:p>
      <w:r>
        <w:t>关键词：矿压影响指标；相场断裂；统一强度理论；可复现性；风险评估</w:t>
      </w:r>
    </w:p>
    <w:p>
      <w:pPr>
        <w:pStyle w:val="Heading1"/>
      </w:pPr>
      <w:r>
        <w:t>1 引言</w:t>
      </w:r>
    </w:p>
    <w:p>
      <w:r>
        <w:t>煤矿矿压风险评估长期存在模型离散、数据治理薄弱与实验复现困难等问题。当前项目目标并非直接给出最终投稿结论，而是先建立符合学术审稿要求的“可追溯实证平台”，并在该平台上推进RSI相场与ASI-UST两条创新主线。</w:t>
      </w:r>
    </w:p>
    <w:p>
      <w:pPr>
        <w:pStyle w:val="Heading1"/>
      </w:pPr>
      <w:r>
        <w:t>2 当前基础算法与升级路径</w:t>
      </w:r>
    </w:p>
    <w:p>
      <w:pPr>
        <w:pStyle w:val="Heading2"/>
      </w:pPr>
      <w:r>
        <w:t>2.1 基础MPI加权框架</w:t>
      </w:r>
    </w:p>
    <w:p>
      <w:r>
        <w:t>MPI = w_RSI×RSI + w_BRI×BRI + w_ASI×ASI，默认权重分别为0.40、0.35、0.25。</w:t>
      </w:r>
    </w:p>
    <w:p>
      <w:r>
        <w:t>RSI由直接顶抗拉强度、关键层数量与软岩比例综合得到；BRI由埋深、硬厚岩层能量与煤层厚度项构成；ASI由刚度与摩擦角项构成。</w:t>
      </w:r>
    </w:p>
    <w:p>
      <w:pPr>
        <w:pStyle w:val="Heading2"/>
      </w:pPr>
      <w:r>
        <w:t>2.2 RSI相场模块（当前实现）</w:t>
      </w:r>
    </w:p>
    <w:p>
      <w:r>
        <w:t>在现有版本中，RSI高级模块已具备二维有限差分求解能力，支持边界条件、迭代收敛判据与求解器信息输出，可用于裂纹损伤指标与风险评分的耦合验证。</w:t>
      </w:r>
    </w:p>
    <w:p>
      <w:pPr>
        <w:pStyle w:val="Heading2"/>
      </w:pPr>
      <w:r>
        <w:t>2.3 ASI-UST模块（当前实现）</w:t>
      </w:r>
    </w:p>
    <w:p>
      <w:r>
        <w:t>ASI高级模块采用统一强度理论解析解，显式考虑中间主应力影响，并提供参数b校准函数（含Bootstrap置信区间）。</w:t>
      </w:r>
    </w:p>
    <w:p>
      <w:pPr>
        <w:pStyle w:val="Heading1"/>
      </w:pPr>
      <w:r>
        <w:t>3 科研评估协议与可复现性设计</w:t>
      </w:r>
    </w:p>
    <w:p>
      <w:r>
        <w:t>系统通过 /api/research/* 接口完成数据注册、版本哈希绑定、切分审计、实验运行与产物下载。评估指标统一为AUC、PR-AUC、F1、Brier、ECE、MAE、RMSE，并输出95%CI与配对显著性检验结果。</w:t>
      </w:r>
    </w:p>
    <w:p>
      <w:r>
        <w:t>切分策略优先采用time_borehole_block或borehole_block，要求训练/验证/测试在钻孔维度无交叉，并记录时间窗信息，避免信息泄漏导致的结果高估。</w:t>
      </w:r>
    </w:p>
    <w:p>
      <w:pPr>
        <w:pStyle w:val="Heading2"/>
      </w:pPr>
      <w:r>
        <w:t>4 演示性实验结果（流程验证）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t>模型</w:t>
            </w:r>
          </w:p>
        </w:tc>
        <w:tc>
          <w:tcPr>
            <w:tcW w:type="dxa" w:w="1134"/>
          </w:tcPr>
          <w:p>
            <w:r>
              <w:t>AUC</w:t>
            </w:r>
          </w:p>
        </w:tc>
        <w:tc>
          <w:tcPr>
            <w:tcW w:type="dxa" w:w="1134"/>
          </w:tcPr>
          <w:p>
            <w:r>
              <w:t>PR-AUC</w:t>
            </w:r>
          </w:p>
        </w:tc>
        <w:tc>
          <w:tcPr>
            <w:tcW w:type="dxa" w:w="1134"/>
          </w:tcPr>
          <w:p>
            <w:r>
              <w:t>Brier</w:t>
            </w:r>
          </w:p>
        </w:tc>
        <w:tc>
          <w:tcPr>
            <w:tcW w:type="dxa" w:w="1134"/>
          </w:tcPr>
          <w:p>
            <w:r>
              <w:t>F1</w:t>
            </w:r>
          </w:p>
        </w:tc>
        <w:tc>
          <w:tcPr>
            <w:tcW w:type="dxa" w:w="1134"/>
          </w:tcPr>
          <w:p>
            <w:r>
              <w:t>MAE</w:t>
            </w:r>
          </w:p>
        </w:tc>
        <w:tc>
          <w:tcPr>
            <w:tcW w:type="dxa" w:w="1134"/>
          </w:tcPr>
          <w:p>
            <w:r>
              <w:t>RMSE</w:t>
            </w:r>
          </w:p>
        </w:tc>
        <w:tc>
          <w:tcPr>
            <w:tcW w:type="dxa" w:w="1134"/>
          </w:tcPr>
          <w:p>
            <w:r>
              <w:t>显著性p</w:t>
            </w:r>
          </w:p>
        </w:tc>
      </w:tr>
      <w:tr>
        <w:tc>
          <w:tcPr>
            <w:tcW w:type="dxa" w:w="1134"/>
          </w:tcPr>
          <w:p>
            <w:r>
              <w:t>Baseline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0.2399</w:t>
            </w:r>
          </w:p>
        </w:tc>
        <w:tc>
          <w:tcPr>
            <w:tcW w:type="dxa" w:w="1134"/>
          </w:tcPr>
          <w:p>
            <w:r>
              <w:t>0.0000</w:t>
            </w:r>
          </w:p>
        </w:tc>
        <w:tc>
          <w:tcPr>
            <w:tcW w:type="dxa" w:w="1134"/>
          </w:tcPr>
          <w:p>
            <w:r>
              <w:t>0.4866</w:t>
            </w:r>
          </w:p>
        </w:tc>
        <w:tc>
          <w:tcPr>
            <w:tcW w:type="dxa" w:w="1134"/>
          </w:tcPr>
          <w:p>
            <w:r>
              <w:t>0.4898</w:t>
            </w:r>
          </w:p>
        </w:tc>
        <w:tc>
          <w:tcPr>
            <w:tcW w:type="dxa" w:w="1134"/>
          </w:tcPr>
          <w:p>
            <w:r>
              <w:t>-</w:t>
            </w:r>
          </w:p>
        </w:tc>
      </w:tr>
      <w:tr>
        <w:tc>
          <w:tcPr>
            <w:tcW w:type="dxa" w:w="1134"/>
          </w:tcPr>
          <w:p>
            <w:r>
              <w:t>RSI-PhaseField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0.2904</w:t>
            </w:r>
          </w:p>
        </w:tc>
        <w:tc>
          <w:tcPr>
            <w:tcW w:type="dxa" w:w="1134"/>
          </w:tcPr>
          <w:p>
            <w:r>
              <w:t>0.0000</w:t>
            </w:r>
          </w:p>
        </w:tc>
        <w:tc>
          <w:tcPr>
            <w:tcW w:type="dxa" w:w="1134"/>
          </w:tcPr>
          <w:p>
            <w:r>
              <w:t>0.4892</w:t>
            </w:r>
          </w:p>
        </w:tc>
        <w:tc>
          <w:tcPr>
            <w:tcW w:type="dxa" w:w="1134"/>
          </w:tcPr>
          <w:p>
            <w:r>
              <w:t>0.5389</w:t>
            </w:r>
          </w:p>
        </w:tc>
        <w:tc>
          <w:tcPr>
            <w:tcW w:type="dxa" w:w="1134"/>
          </w:tcPr>
          <w:p>
            <w:r>
              <w:t>0.5577</w:t>
            </w:r>
          </w:p>
        </w:tc>
      </w:tr>
      <w:tr>
        <w:tc>
          <w:tcPr>
            <w:tcW w:type="dxa" w:w="1134"/>
          </w:tcPr>
          <w:p>
            <w:r>
              <w:t>ASI-UST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0.5000</w:t>
            </w:r>
          </w:p>
        </w:tc>
        <w:tc>
          <w:tcPr>
            <w:tcW w:type="dxa" w:w="1134"/>
          </w:tcPr>
          <w:p>
            <w:r>
              <w:t>0.3871</w:t>
            </w:r>
          </w:p>
        </w:tc>
        <w:tc>
          <w:tcPr>
            <w:tcW w:type="dxa" w:w="1134"/>
          </w:tcPr>
          <w:p>
            <w:r>
              <w:t>0.0000</w:t>
            </w:r>
          </w:p>
        </w:tc>
        <w:tc>
          <w:tcPr>
            <w:tcW w:type="dxa" w:w="1134"/>
          </w:tcPr>
          <w:p>
            <w:r>
              <w:t>0.4942</w:t>
            </w:r>
          </w:p>
        </w:tc>
        <w:tc>
          <w:tcPr>
            <w:tcW w:type="dxa" w:w="1134"/>
          </w:tcPr>
          <w:p>
            <w:r>
              <w:t>0.6222</w:t>
            </w:r>
          </w:p>
        </w:tc>
        <w:tc>
          <w:tcPr>
            <w:tcW w:type="dxa" w:w="1134"/>
          </w:tcPr>
          <w:p>
            <w:r>
              <w:t>0.6054</w:t>
            </w:r>
          </w:p>
        </w:tc>
      </w:tr>
    </w:tbl>
    <w:p>
      <w:r>
        <w:t>注：该表为当前可复现实验流水线的演示结果（demo split with 8 samples），仅用于初稿结构展示。</w:t>
      </w:r>
    </w:p>
    <w:p>
      <w:pPr>
        <w:pStyle w:val="Heading1"/>
      </w:pPr>
      <w:r>
        <w:t>5 当前基础图件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549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54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当前MPI原型系统流程总览。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252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i_st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52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RSI顶板稳定性响应曲线。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3775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_depth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77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BRI随埋深与能量因子变化曲线。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3775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_stress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77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ASI-UST应力分布剖面。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6256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i_pan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56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多指标综合面板（RSI/BRI/ASI/MPI）。</w:t>
      </w:r>
    </w:p>
    <w:p>
      <w:pPr>
        <w:pStyle w:val="Heading1"/>
      </w:pPr>
      <w:r>
        <w:t>6 讨论与后续工作</w:t>
      </w:r>
    </w:p>
    <w:p>
      <w:r>
        <w:t>本文结果定位于“初稿与流程验证”阶段：当前表格指标来自小样本开发切分，不构成最终工程结论。后续将基于真实矿压标签开展严格实证，形成RSI相场与ASI-UST两篇英文SCI所需的主实验、消融、敏感性与稳健性证据。</w:t>
      </w:r>
    </w:p>
    <w:p>
      <w:pPr>
        <w:pStyle w:val="Heading1"/>
      </w:pPr>
      <w:r>
        <w:t>参考文献</w:t>
      </w:r>
    </w:p>
    <w:p>
      <w:r>
        <w:t>[1] Francfort G A, Marigo J J. Revisiting brittle fracture as an energy minimization problem.</w:t>
      </w:r>
    </w:p>
    <w:p>
      <w:r>
        <w:t>[2] Miehe C, Hofacker M, Welschinger F. A phase field model for rate-independent crack propagation.</w:t>
      </w:r>
    </w:p>
    <w:p>
      <w:r>
        <w:t>[3] 俞茂宏. 双剪理论及其应用. 科学出版社, 1998.</w:t>
      </w:r>
    </w:p>
    <w:p>
      <w:r>
        <w:t>[4] 项目代码: backend/app/services/mpi_calculator.py.</w:t>
      </w:r>
    </w:p>
    <w:p>
      <w:r>
        <w:t>[5] 项目代码: mpi_advanced/indicators/rsi_phase_field.py.</w:t>
      </w:r>
    </w:p>
    <w:p>
      <w:r>
        <w:t>[6] 项目代码: mpi_advanced/indicators/asi_indicator_ust.py.</w:t>
      </w:r>
    </w:p>
    <w:p>
      <w:r>
        <w:t>[7] 项目文档: docs/research_evaluation_protocol.md.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