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sz w:val="32"/>
        </w:rPr>
        <w:t>Physics-Informed Multi-Indicator Framework for Mine Pressure Assessment: A Reproducible RSI-PhaseField and ASI-UST Prototype</w:t>
      </w:r>
    </w:p>
    <w:p>
      <w:pPr>
        <w:jc w:val="center"/>
      </w:pPr>
      <w:r>
        <w:rPr>
          <w:rFonts w:ascii="Times New Roman" w:hAnsi="Times New Roman" w:eastAsia="Times New Roman"/>
          <w:b w:val="0"/>
          <w:sz w:val="24"/>
        </w:rPr>
        <w:t>Author A1, Author B2, Author C1,*</w:t>
      </w:r>
    </w:p>
    <w:p>
      <w:pPr>
        <w:jc w:val="center"/>
      </w:pPr>
      <w:r>
        <w:rPr>
          <w:rFonts w:ascii="Times New Roman" w:hAnsi="Times New Roman" w:eastAsia="Times New Roman"/>
          <w:b w:val="0"/>
          <w:sz w:val="22"/>
        </w:rPr>
        <w:t>1 School/Institute Name; 2 Industry Partner; *Corresponding author</w:t>
      </w:r>
    </w:p>
    <w:p>
      <w:pPr>
        <w:jc w:val="center"/>
      </w:pPr>
      <w:r>
        <w:rPr>
          <w:rFonts w:ascii="Times New Roman" w:hAnsi="Times New Roman" w:eastAsia="Times New Roman"/>
          <w:b w:val="0"/>
          <w:sz w:val="22"/>
        </w:rPr>
        <w:t>One-sentence Summary: A reproducible prototype links roof, burst, and abutment mechanics into a unified MPI workflow.</w:t>
      </w:r>
    </w:p>
    <w:p>
      <w:pPr>
        <w:pStyle w:val="Heading1"/>
      </w:pPr>
      <w:r>
        <w:t>Abstract</w:t>
      </w:r>
    </w:p>
    <w:p>
      <w:r>
        <w:t>This draft presents a reproducible mine-pressure assessment prototype that integrates roof stability (RSI), burst risk (BRI), and abutment stress (ASI) into a weighted MPI framework. The current implementation combines a finite-difference phase-field module for RSI and a unified-strength-theory (UST) analytical module for ASI, while preserving a transparent baseline engine for comparison. A dedicated research API fixes dataset versions, split manifests, leakage audits, experiment specs, and artifact archiving, enabling traceable evidence chains for manuscript preparation. We summarize the present algorithmic basis, reproducibility protocol, and preliminary demonstration results on a development split. Although the present data scale is not sufficient for publication claims, the system-level architecture and evaluation contract establish a practical foundation for strict real-label validation and near-term SCI submissions.</w:t>
      </w:r>
    </w:p>
    <w:p>
      <w:r>
        <w:t>Keywords: mine pressure; phase-field fracture; unified strength theory; reproducibility; risk assessment</w:t>
      </w:r>
    </w:p>
    <w:p>
      <w:pPr>
        <w:pStyle w:val="Heading1"/>
      </w:pPr>
      <w:r>
        <w:t>Main Text</w:t>
      </w:r>
    </w:p>
    <w:p>
      <w:pPr>
        <w:pStyle w:val="Heading2"/>
      </w:pPr>
      <w:r>
        <w:t>1. Introduction</w:t>
      </w:r>
    </w:p>
    <w:p>
      <w:r>
        <w:t>Conventional mine-pressure assessment pipelines often mix empirical formulas with undocumented assumptions, which limits repeatability and weakens scientific claims. The current work targets a reproducible intermediate stage: preserving engineering usability while progressively upgrading physical consistency and experiment traceability.</w:t>
      </w:r>
    </w:p>
    <w:p>
      <w:pPr>
        <w:pStyle w:val="Heading2"/>
      </w:pPr>
      <w:r>
        <w:t>2. Algorithmic Basis of the Current Prototype</w:t>
      </w:r>
    </w:p>
    <w:p>
      <w:r>
        <w:t>The baseline MPI engine computes sub-indicators in [0,100] and combines them using weighted summation:</w:t>
      </w:r>
    </w:p>
    <w:p>
      <w:r>
        <w:t>MPI = w_RSI * RSI + w_BRI * BRI + w_ASI * ASI, with default weights (0.40, 0.35, 0.25).</w:t>
      </w:r>
    </w:p>
    <w:p>
      <w:r>
        <w:t>RSI baseline combines immediate-roof tensile score, key-layer count score, and soft-rock proportion score.</w:t>
      </w:r>
    </w:p>
    <w:p>
      <w:r>
        <w:t>BRI baseline follows depth penalty, hard-thick energy accumulation, and seam-thickness terms.</w:t>
      </w:r>
    </w:p>
    <w:p>
      <w:r>
        <w:t>ASI baseline combines stiffness and friction-angle scores; ASI-UST extends this with UST parameter b and analytical stress fields.</w:t>
      </w:r>
    </w:p>
    <w:p>
      <w:r>
        <w:t>The RSI advanced track uses a 2D finite-difference phase-field solver with explicit boundary conditions, convergence tolerance, and solver metadata.</w:t>
      </w:r>
    </w:p>
    <w:p>
      <w:r>
        <w:t>The ASI advanced track includes calibrate_b_parameter(...) to estimate b and 95% CI from labeled samples.</w:t>
      </w:r>
    </w:p>
    <w:p>
      <w:pPr>
        <w:pStyle w:val="Heading2"/>
      </w:pPr>
      <w:r>
        <w:t>3. Reproducibility Protocol and Evidence Contract</w:t>
      </w:r>
    </w:p>
    <w:p>
      <w:r>
        <w:t>The research API standardizes dataset registration, split generation, experiment execution, and artifact retrieval. Mandatory metrics include AUC, PR-AUC, F1, Brier, ECE, MAE, RMSE, with bootstrap 95% CI and paired significance tests.</w:t>
      </w:r>
    </w:p>
    <w:p>
      <w:r>
        <w:t>Every run is bound to dataset_id, dataset_version (hash), split_id, and seed. Leakage audits explicitly report borehole overlap and time ranges across train/validation/test.</w:t>
      </w:r>
    </w:p>
    <w:p>
      <w:pPr>
        <w:pStyle w:val="Heading2"/>
      </w:pPr>
      <w:r>
        <w:t>4. Preliminary Demonstration Results</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r>
              <w:t>Model</w:t>
            </w:r>
          </w:p>
        </w:tc>
        <w:tc>
          <w:tcPr>
            <w:tcW w:type="dxa" w:w="1176"/>
          </w:tcPr>
          <w:p>
            <w:r>
              <w:t>AUC</w:t>
            </w:r>
          </w:p>
        </w:tc>
        <w:tc>
          <w:tcPr>
            <w:tcW w:type="dxa" w:w="1176"/>
          </w:tcPr>
          <w:p>
            <w:r>
              <w:t>PR-AUC</w:t>
            </w:r>
          </w:p>
        </w:tc>
        <w:tc>
          <w:tcPr>
            <w:tcW w:type="dxa" w:w="1176"/>
          </w:tcPr>
          <w:p>
            <w:r>
              <w:t>Brier</w:t>
            </w:r>
          </w:p>
        </w:tc>
        <w:tc>
          <w:tcPr>
            <w:tcW w:type="dxa" w:w="1176"/>
          </w:tcPr>
          <w:p>
            <w:r>
              <w:t>F1</w:t>
            </w:r>
          </w:p>
        </w:tc>
        <w:tc>
          <w:tcPr>
            <w:tcW w:type="dxa" w:w="1176"/>
          </w:tcPr>
          <w:p>
            <w:r>
              <w:t>MAE</w:t>
            </w:r>
          </w:p>
        </w:tc>
        <w:tc>
          <w:tcPr>
            <w:tcW w:type="dxa" w:w="1176"/>
          </w:tcPr>
          <w:p>
            <w:r>
              <w:t>RMSE</w:t>
            </w:r>
          </w:p>
        </w:tc>
        <w:tc>
          <w:tcPr>
            <w:tcW w:type="dxa" w:w="1176"/>
          </w:tcPr>
          <w:p>
            <w:r>
              <w:t>p</w:t>
            </w:r>
          </w:p>
        </w:tc>
      </w:tr>
      <w:tr>
        <w:tc>
          <w:tcPr>
            <w:tcW w:type="dxa" w:w="1176"/>
          </w:tcPr>
          <w:p>
            <w:r>
              <w:t>Baseline</w:t>
            </w:r>
          </w:p>
        </w:tc>
        <w:tc>
          <w:tcPr>
            <w:tcW w:type="dxa" w:w="1176"/>
          </w:tcPr>
          <w:p>
            <w:r>
              <w:t>0.5000</w:t>
            </w:r>
          </w:p>
        </w:tc>
        <w:tc>
          <w:tcPr>
            <w:tcW w:type="dxa" w:w="1176"/>
          </w:tcPr>
          <w:p>
            <w:r>
              <w:t>0.5000</w:t>
            </w:r>
          </w:p>
        </w:tc>
        <w:tc>
          <w:tcPr>
            <w:tcW w:type="dxa" w:w="1176"/>
          </w:tcPr>
          <w:p>
            <w:r>
              <w:t>0.2399</w:t>
            </w:r>
          </w:p>
        </w:tc>
        <w:tc>
          <w:tcPr>
            <w:tcW w:type="dxa" w:w="1176"/>
          </w:tcPr>
          <w:p>
            <w:r>
              <w:t>0.0000</w:t>
            </w:r>
          </w:p>
        </w:tc>
        <w:tc>
          <w:tcPr>
            <w:tcW w:type="dxa" w:w="1176"/>
          </w:tcPr>
          <w:p>
            <w:r>
              <w:t>0.4866</w:t>
            </w:r>
          </w:p>
        </w:tc>
        <w:tc>
          <w:tcPr>
            <w:tcW w:type="dxa" w:w="1176"/>
          </w:tcPr>
          <w:p>
            <w:r>
              <w:t>0.4898</w:t>
            </w:r>
          </w:p>
        </w:tc>
        <w:tc>
          <w:tcPr>
            <w:tcW w:type="dxa" w:w="1176"/>
          </w:tcPr>
          <w:p>
            <w:r>
              <w:t>-</w:t>
            </w:r>
          </w:p>
        </w:tc>
      </w:tr>
      <w:tr>
        <w:tc>
          <w:tcPr>
            <w:tcW w:type="dxa" w:w="1176"/>
          </w:tcPr>
          <w:p>
            <w:r>
              <w:t>RSI-PhaseField</w:t>
            </w:r>
          </w:p>
        </w:tc>
        <w:tc>
          <w:tcPr>
            <w:tcW w:type="dxa" w:w="1176"/>
          </w:tcPr>
          <w:p>
            <w:r>
              <w:t>0.5000</w:t>
            </w:r>
          </w:p>
        </w:tc>
        <w:tc>
          <w:tcPr>
            <w:tcW w:type="dxa" w:w="1176"/>
          </w:tcPr>
          <w:p>
            <w:r>
              <w:t>0.5000</w:t>
            </w:r>
          </w:p>
        </w:tc>
        <w:tc>
          <w:tcPr>
            <w:tcW w:type="dxa" w:w="1176"/>
          </w:tcPr>
          <w:p>
            <w:r>
              <w:t>0.2904</w:t>
            </w:r>
          </w:p>
        </w:tc>
        <w:tc>
          <w:tcPr>
            <w:tcW w:type="dxa" w:w="1176"/>
          </w:tcPr>
          <w:p>
            <w:r>
              <w:t>0.0000</w:t>
            </w:r>
          </w:p>
        </w:tc>
        <w:tc>
          <w:tcPr>
            <w:tcW w:type="dxa" w:w="1176"/>
          </w:tcPr>
          <w:p>
            <w:r>
              <w:t>0.4892</w:t>
            </w:r>
          </w:p>
        </w:tc>
        <w:tc>
          <w:tcPr>
            <w:tcW w:type="dxa" w:w="1176"/>
          </w:tcPr>
          <w:p>
            <w:r>
              <w:t>0.5389</w:t>
            </w:r>
          </w:p>
        </w:tc>
        <w:tc>
          <w:tcPr>
            <w:tcW w:type="dxa" w:w="1176"/>
          </w:tcPr>
          <w:p>
            <w:r>
              <w:t>0.5577</w:t>
            </w:r>
          </w:p>
        </w:tc>
      </w:tr>
      <w:tr>
        <w:tc>
          <w:tcPr>
            <w:tcW w:type="dxa" w:w="1176"/>
          </w:tcPr>
          <w:p>
            <w:r>
              <w:t>ASI-UST</w:t>
            </w:r>
          </w:p>
        </w:tc>
        <w:tc>
          <w:tcPr>
            <w:tcW w:type="dxa" w:w="1176"/>
          </w:tcPr>
          <w:p>
            <w:r>
              <w:t>0.5000</w:t>
            </w:r>
          </w:p>
        </w:tc>
        <w:tc>
          <w:tcPr>
            <w:tcW w:type="dxa" w:w="1176"/>
          </w:tcPr>
          <w:p>
            <w:r>
              <w:t>0.5000</w:t>
            </w:r>
          </w:p>
        </w:tc>
        <w:tc>
          <w:tcPr>
            <w:tcW w:type="dxa" w:w="1176"/>
          </w:tcPr>
          <w:p>
            <w:r>
              <w:t>0.3871</w:t>
            </w:r>
          </w:p>
        </w:tc>
        <w:tc>
          <w:tcPr>
            <w:tcW w:type="dxa" w:w="1176"/>
          </w:tcPr>
          <w:p>
            <w:r>
              <w:t>0.0000</w:t>
            </w:r>
          </w:p>
        </w:tc>
        <w:tc>
          <w:tcPr>
            <w:tcW w:type="dxa" w:w="1176"/>
          </w:tcPr>
          <w:p>
            <w:r>
              <w:t>0.4942</w:t>
            </w:r>
          </w:p>
        </w:tc>
        <w:tc>
          <w:tcPr>
            <w:tcW w:type="dxa" w:w="1176"/>
          </w:tcPr>
          <w:p>
            <w:r>
              <w:t>0.6222</w:t>
            </w:r>
          </w:p>
        </w:tc>
        <w:tc>
          <w:tcPr>
            <w:tcW w:type="dxa" w:w="1176"/>
          </w:tcPr>
          <w:p>
            <w:r>
              <w:t>0.6054</w:t>
            </w:r>
          </w:p>
        </w:tc>
      </w:tr>
    </w:tbl>
    <w:p>
      <w:r>
        <w:t>Note: The table reports preliminary reproducibility results (demo split with 8 samples) for draft structure only.</w:t>
      </w:r>
    </w:p>
    <w:p>
      <w:pPr>
        <w:pStyle w:val="Heading2"/>
      </w:pPr>
      <w:r>
        <w:t>5. Current Figures from the Prototype</w:t>
      </w:r>
    </w:p>
    <w:p>
      <w:pPr>
        <w:jc w:val="center"/>
      </w:pPr>
      <w:r>
        <w:drawing>
          <wp:inline xmlns:a="http://schemas.openxmlformats.org/drawingml/2006/main" xmlns:pic="http://schemas.openxmlformats.org/drawingml/2006/picture">
            <wp:extent cx="5688000" cy="4549208"/>
            <wp:docPr id="1" name="Picture 1"/>
            <wp:cNvGraphicFramePr>
              <a:graphicFrameLocks noChangeAspect="1"/>
            </wp:cNvGraphicFramePr>
            <a:graphic>
              <a:graphicData uri="http://schemas.openxmlformats.org/drawingml/2006/picture">
                <pic:pic>
                  <pic:nvPicPr>
                    <pic:cNvPr id="0" name="flow_overview.png"/>
                    <pic:cNvPicPr/>
                  </pic:nvPicPr>
                  <pic:blipFill>
                    <a:blip r:embed="rId9"/>
                    <a:stretch>
                      <a:fillRect/>
                    </a:stretch>
                  </pic:blipFill>
                  <pic:spPr>
                    <a:xfrm>
                      <a:off x="0" y="0"/>
                      <a:ext cx="5688000" cy="4549208"/>
                    </a:xfrm>
                    <a:prstGeom prst="rect"/>
                  </pic:spPr>
                </pic:pic>
              </a:graphicData>
            </a:graphic>
          </wp:inline>
        </w:drawing>
      </w:r>
    </w:p>
    <w:p>
      <w:pPr>
        <w:jc w:val="center"/>
      </w:pPr>
      <w:r>
        <w:t>Figure 1. End-to-end workflow of the current MPI prototype.</w:t>
      </w:r>
    </w:p>
    <w:p>
      <w:pPr>
        <w:jc w:val="center"/>
      </w:pPr>
      <w:r>
        <w:drawing>
          <wp:inline xmlns:a="http://schemas.openxmlformats.org/drawingml/2006/main" xmlns:pic="http://schemas.openxmlformats.org/drawingml/2006/picture">
            <wp:extent cx="5688000" cy="4252219"/>
            <wp:docPr id="2" name="Picture 2"/>
            <wp:cNvGraphicFramePr>
              <a:graphicFrameLocks noChangeAspect="1"/>
            </wp:cNvGraphicFramePr>
            <a:graphic>
              <a:graphicData uri="http://schemas.openxmlformats.org/drawingml/2006/picture">
                <pic:pic>
                  <pic:nvPicPr>
                    <pic:cNvPr id="0" name="rsi_stability.png"/>
                    <pic:cNvPicPr/>
                  </pic:nvPicPr>
                  <pic:blipFill>
                    <a:blip r:embed="rId10"/>
                    <a:stretch>
                      <a:fillRect/>
                    </a:stretch>
                  </pic:blipFill>
                  <pic:spPr>
                    <a:xfrm>
                      <a:off x="0" y="0"/>
                      <a:ext cx="5688000" cy="4252219"/>
                    </a:xfrm>
                    <a:prstGeom prst="rect"/>
                  </pic:spPr>
                </pic:pic>
              </a:graphicData>
            </a:graphic>
          </wp:inline>
        </w:drawing>
      </w:r>
    </w:p>
    <w:p>
      <w:pPr>
        <w:jc w:val="center"/>
      </w:pPr>
      <w:r>
        <w:t>Figure 2. RSI stability response under roof-mechanical scenarios.</w:t>
      </w:r>
    </w:p>
    <w:p>
      <w:pPr>
        <w:jc w:val="center"/>
      </w:pPr>
      <w:r>
        <w:drawing>
          <wp:inline xmlns:a="http://schemas.openxmlformats.org/drawingml/2006/main" xmlns:pic="http://schemas.openxmlformats.org/drawingml/2006/picture">
            <wp:extent cx="5688000" cy="4377567"/>
            <wp:docPr id="3" name="Picture 3"/>
            <wp:cNvGraphicFramePr>
              <a:graphicFrameLocks noChangeAspect="1"/>
            </wp:cNvGraphicFramePr>
            <a:graphic>
              <a:graphicData uri="http://schemas.openxmlformats.org/drawingml/2006/picture">
                <pic:pic>
                  <pic:nvPicPr>
                    <pic:cNvPr id="0" name="bri_depth_curve.png"/>
                    <pic:cNvPicPr/>
                  </pic:nvPicPr>
                  <pic:blipFill>
                    <a:blip r:embed="rId11"/>
                    <a:stretch>
                      <a:fillRect/>
                    </a:stretch>
                  </pic:blipFill>
                  <pic:spPr>
                    <a:xfrm>
                      <a:off x="0" y="0"/>
                      <a:ext cx="5688000" cy="4377567"/>
                    </a:xfrm>
                    <a:prstGeom prst="rect"/>
                  </pic:spPr>
                </pic:pic>
              </a:graphicData>
            </a:graphic>
          </wp:inline>
        </w:drawing>
      </w:r>
    </w:p>
    <w:p>
      <w:pPr>
        <w:jc w:val="center"/>
      </w:pPr>
      <w:r>
        <w:t>Figure 3. BRI trend with mining depth and energy accumulation factors.</w:t>
      </w:r>
    </w:p>
    <w:p>
      <w:pPr>
        <w:jc w:val="center"/>
      </w:pPr>
      <w:r>
        <w:drawing>
          <wp:inline xmlns:a="http://schemas.openxmlformats.org/drawingml/2006/main" xmlns:pic="http://schemas.openxmlformats.org/drawingml/2006/picture">
            <wp:extent cx="5688000" cy="4377567"/>
            <wp:docPr id="4" name="Picture 4"/>
            <wp:cNvGraphicFramePr>
              <a:graphicFrameLocks noChangeAspect="1"/>
            </wp:cNvGraphicFramePr>
            <a:graphic>
              <a:graphicData uri="http://schemas.openxmlformats.org/drawingml/2006/picture">
                <pic:pic>
                  <pic:nvPicPr>
                    <pic:cNvPr id="0" name="asi_stress_profile.png"/>
                    <pic:cNvPicPr/>
                  </pic:nvPicPr>
                  <pic:blipFill>
                    <a:blip r:embed="rId12"/>
                    <a:stretch>
                      <a:fillRect/>
                    </a:stretch>
                  </pic:blipFill>
                  <pic:spPr>
                    <a:xfrm>
                      <a:off x="0" y="0"/>
                      <a:ext cx="5688000" cy="4377567"/>
                    </a:xfrm>
                    <a:prstGeom prst="rect"/>
                  </pic:spPr>
                </pic:pic>
              </a:graphicData>
            </a:graphic>
          </wp:inline>
        </w:drawing>
      </w:r>
    </w:p>
    <w:p>
      <w:pPr>
        <w:jc w:val="center"/>
      </w:pPr>
      <w:r>
        <w:t>Figure 4. ASI-UST stress distribution profile.</w:t>
      </w:r>
    </w:p>
    <w:p>
      <w:pPr>
        <w:jc w:val="center"/>
      </w:pPr>
      <w:r>
        <w:drawing>
          <wp:inline xmlns:a="http://schemas.openxmlformats.org/drawingml/2006/main" xmlns:pic="http://schemas.openxmlformats.org/drawingml/2006/picture">
            <wp:extent cx="5688000" cy="6256398"/>
            <wp:docPr id="5" name="Picture 5"/>
            <wp:cNvGraphicFramePr>
              <a:graphicFrameLocks noChangeAspect="1"/>
            </wp:cNvGraphicFramePr>
            <a:graphic>
              <a:graphicData uri="http://schemas.openxmlformats.org/drawingml/2006/picture">
                <pic:pic>
                  <pic:nvPicPr>
                    <pic:cNvPr id="0" name="mpi_panels.png"/>
                    <pic:cNvPicPr/>
                  </pic:nvPicPr>
                  <pic:blipFill>
                    <a:blip r:embed="rId13"/>
                    <a:stretch>
                      <a:fillRect/>
                    </a:stretch>
                  </pic:blipFill>
                  <pic:spPr>
                    <a:xfrm>
                      <a:off x="0" y="0"/>
                      <a:ext cx="5688000" cy="6256398"/>
                    </a:xfrm>
                    <a:prstGeom prst="rect"/>
                  </pic:spPr>
                </pic:pic>
              </a:graphicData>
            </a:graphic>
          </wp:inline>
        </w:drawing>
      </w:r>
    </w:p>
    <w:p>
      <w:pPr>
        <w:jc w:val="center"/>
      </w:pPr>
      <w:r>
        <w:t>Figure 5. Multi-indicator panels (RSI/BRI/ASI/MPI).</w:t>
      </w:r>
    </w:p>
    <w:p>
      <w:pPr>
        <w:pStyle w:val="Heading2"/>
      </w:pPr>
      <w:r>
        <w:t>6. Limitations and Near-Term Submission Plan</w:t>
      </w:r>
    </w:p>
    <w:p>
      <w:r>
        <w:t>The present quantitative table is generated from a small development split and should not be interpreted as final efficacy. Primary claims in manuscript submission must rely on strict real-label runs and larger field-scale validation. The next step is to freeze dataset manifests and complete RSI-phase-field and ASI-UST core experiment suites on production data.</w:t>
      </w:r>
    </w:p>
    <w:p>
      <w:pPr>
        <w:pStyle w:val="Heading1"/>
      </w:pPr>
      <w:r>
        <w:t>References</w:t>
      </w:r>
    </w:p>
    <w:p>
      <w:r>
        <w:t>1. Francfort, G. A., &amp; Marigo, J.-J. (1998). Revisiting brittle fracture as an energy minimization problem.</w:t>
      </w:r>
    </w:p>
    <w:p>
      <w:r>
        <w:t>2. Miehe, C., Hofacker, M., &amp; Welschinger, F. (2010). A phase field model for rate-independent crack propagation.</w:t>
      </w:r>
    </w:p>
    <w:p>
      <w:r>
        <w:t>3. Yu, M. H. (1998). Twin-shear theory and its applications.</w:t>
      </w:r>
    </w:p>
    <w:p>
      <w:r>
        <w:t>4. Project codebase: backend/app/services/mpi_calculator.py</w:t>
      </w:r>
    </w:p>
    <w:p>
      <w:r>
        <w:t>5. Project codebase: mpi_advanced/indicators/rsi_phase_field.py</w:t>
      </w:r>
    </w:p>
    <w:p>
      <w:r>
        <w:t>6. Project codebase: mpi_advanced/indicators/asi_indicator_ust.py</w:t>
      </w:r>
    </w:p>
    <w:p>
      <w:r>
        <w:t>7. Project protocol: docs/research_evaluation_protocol.md</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120"/>
    </w:pPr>
    <w:rPr>
      <w:rFonts w:ascii="Times New Roman" w:hAnsi="Times New Roman" w:eastAsia="Times New Roman"/>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line="480" w:lineRule="auto"/>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0" w:after="120" w:line="480" w:lineRule="auto"/>
      <w:outlineLvl w:val="1"/>
    </w:pPr>
    <w:rPr>
      <w:rFonts w:asciiTheme="majorHAnsi" w:eastAsiaTheme="majorEastAsia" w:hAnsiTheme="majorHAnsi" w:cstheme="majorBidi" w:ascii="Times New Roman" w:hAnsi="Times New Roman" w:eastAsia="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