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基于新MPI算法的论文初稿（RSI相场 + ASI-UST）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作者甲，作者乙，作者丙</w:t>
      </w:r>
    </w:p>
    <w:p>
      <w:pPr>
        <w:jc w:val="center"/>
      </w:pPr>
      <w:r>
        <w:rPr>
          <w:rFonts w:ascii="Times New Roman" w:hAnsi="Times New Roman" w:eastAsia="宋体"/>
          <w:b w:val="0"/>
          <w:sz w:val="22"/>
        </w:rPr>
        <w:t>（单位名称，城市 邮编）</w:t>
      </w:r>
    </w:p>
    <w:p>
      <w:r>
        <w:t>摘  要：</w:t>
      </w:r>
    </w:p>
    <w:p>
      <w:r>
        <w:t>本文初稿完全基于新MPI算法体系，不再使用旧版经验公式。RSI采用相场断裂模型与二维有限差分求解，显式输出收敛信息；ASI采用统一强度理论（UST）解析模型，并支持参数b校准与置信区间估计；BRI采用微震驱动架构，在无微震流条件下自动降级到物理约束分支。系统与研究接口联动，实现数据版本固定、切分审计、实验归档与结果追溯。探索性结论：文中给出基于新算法的演示性场景结果和当前图件，用于支撑中英文论文排版与结构成稿。</w:t>
      </w:r>
    </w:p>
    <w:p>
      <w:r>
        <w:t>关键词：矿压影响指标；相场断裂；统一强度理论；可复现性；风险评估</w:t>
      </w:r>
    </w:p>
    <w:p>
      <w:pPr>
        <w:pStyle w:val="Heading1"/>
      </w:pPr>
      <w:r>
        <w:t>1 引言</w:t>
      </w:r>
    </w:p>
    <w:p>
      <w:r>
        <w:t>旧版MPI经验公式已在本轮中退出主流程，当前后端计算与论文材料统一切换到新MPI算法实现。</w:t>
      </w:r>
    </w:p>
    <w:p>
      <w:pPr>
        <w:pStyle w:val="Heading1"/>
      </w:pPr>
      <w:r>
        <w:t>2 新MPI算法体系</w:t>
      </w:r>
    </w:p>
    <w:p>
      <w:pPr>
        <w:pStyle w:val="Heading2"/>
      </w:pPr>
      <w:r>
        <w:t>2.1 RSI相场模块</w:t>
      </w:r>
    </w:p>
    <w:p>
      <w:r>
        <w:t>采用二维有限差分相场求解器，包含边界条件、迭代收敛判据与损伤指标提取，见式（3）-（4）。</w:t>
      </w:r>
    </w:p>
    <w:p>
      <w:pPr>
        <w:pStyle w:val="Heading2"/>
      </w:pPr>
      <w:r>
        <w:t>2.2 ASI-UST模块</w:t>
      </w:r>
    </w:p>
    <w:p>
      <w:r>
        <w:t>采用统一强度理论解析解，支持参数b网格搜索与Bootstrap置信区间，见式（2）与式（5）。</w:t>
      </w:r>
    </w:p>
    <w:p>
      <w:pPr>
        <w:pStyle w:val="Heading2"/>
      </w:pPr>
      <w:r>
        <w:t>2.3 BRI模块</w:t>
      </w:r>
    </w:p>
    <w:p>
      <w:r>
        <w:t>采用微震驱动架构，在缺失微震流时走受约束降级分支，保证工程可用性与模型一致性。</w:t>
      </w:r>
    </w:p>
    <w:p>
      <w:pPr>
        <w:jc w:val="center"/>
      </w:pPr>
      <m:oMathPara>
        <m:oMath>
          <m:r>
            <m:t>MPI = w_RSI * RSI + w_BRI * BRI + w_ASI * ASI</m:t>
          </m:r>
        </m:oMath>
      </m:oMathPara>
    </w:p>
    <w:p>
      <w:pPr>
        <w:jc w:val="right"/>
      </w:pPr>
      <w:r>
        <w:t>（1）</w:t>
      </w:r>
    </w:p>
    <w:p>
      <w:pPr>
        <w:jc w:val="center"/>
      </w:pPr>
      <m:oMathPara>
        <m:oMath>
          <m:r>
            <m:t>F_UST = σ₁ - (σ₂ + b * σ₃)/(1 + b) - f_t</m:t>
          </m:r>
        </m:oMath>
      </m:oMathPara>
    </w:p>
    <w:p>
      <w:pPr>
        <w:jc w:val="right"/>
      </w:pPr>
      <w:r>
        <w:t>（2）</w:t>
      </w:r>
    </w:p>
    <w:p>
      <w:pPr>
        <w:jc w:val="center"/>
      </w:pPr>
      <m:oMathPara>
        <m:oMath>
          <m:r>
            <m:t>- l₀² * ∇²ϕ + ϕ = 1 - α * S(x,y)</m:t>
          </m:r>
        </m:oMath>
      </m:oMathPara>
    </w:p>
    <w:p>
      <w:pPr>
        <w:jc w:val="right"/>
      </w:pPr>
      <w:r>
        <w:t>（3）</w:t>
      </w:r>
    </w:p>
    <w:p>
      <w:pPr>
        <w:jc w:val="center"/>
      </w:pPr>
      <m:oMathPara>
        <m:oMath>
          <m:r>
            <m:t>D = 1 - ϕ</m:t>
          </m:r>
        </m:oMath>
      </m:oMathPara>
    </w:p>
    <w:p>
      <w:pPr>
        <w:jc w:val="right"/>
      </w:pPr>
      <w:r>
        <w:t>（4）</w:t>
      </w:r>
    </w:p>
    <w:p>
      <w:pPr>
        <w:jc w:val="center"/>
      </w:pPr>
      <m:oMathPara>
        <m:oMath>
          <m:r>
            <m:t>CI95(b) = [Q_2.5%(b*), Q_97.5%(b*)]</m:t>
          </m:r>
        </m:oMath>
      </m:oMathPara>
    </w:p>
    <w:p>
      <w:pPr>
        <w:jc w:val="right"/>
      </w:pPr>
      <w:r>
        <w:t>（5）</w:t>
      </w:r>
    </w:p>
    <w:p>
      <w:pPr>
        <w:pStyle w:val="Heading1"/>
      </w:pPr>
      <w:r>
        <w:t>3 可复现性协议</w:t>
      </w:r>
    </w:p>
    <w:p>
      <w:r>
        <w:t>中等结论：通过 /api/research/* 接口完成数据注册、切分、实验运行与产物追踪，保证图表和结论可追溯。</w:t>
      </w:r>
    </w:p>
    <w:p>
      <w:r>
        <w:t>中等结论：统计报告将覆盖显著性（p-value）与效应量，并在正式实验中给出相对提升（relative improvement）。</w:t>
      </w:r>
    </w:p>
    <w:p>
      <w:pPr>
        <w:pStyle w:val="Heading2"/>
      </w:pPr>
      <w:r>
        <w:t>4 新算法演示结果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t>场景</w:t>
            </w:r>
          </w:p>
        </w:tc>
        <w:tc>
          <w:tcPr>
            <w:tcW w:type="dxa" w:w="1814"/>
          </w:tcPr>
          <w:p>
            <w:r>
              <w:t>RSI</w:t>
            </w:r>
          </w:p>
        </w:tc>
        <w:tc>
          <w:tcPr>
            <w:tcW w:type="dxa" w:w="1814"/>
          </w:tcPr>
          <w:p>
            <w:r>
              <w:t>BRI</w:t>
            </w:r>
          </w:p>
        </w:tc>
        <w:tc>
          <w:tcPr>
            <w:tcW w:type="dxa" w:w="1814"/>
          </w:tcPr>
          <w:p>
            <w:r>
              <w:t>ASI</w:t>
            </w:r>
          </w:p>
        </w:tc>
        <w:tc>
          <w:tcPr>
            <w:tcW w:type="dxa" w:w="1814"/>
          </w:tcPr>
          <w:p>
            <w:r>
              <w:t>MPI</w:t>
            </w:r>
          </w:p>
        </w:tc>
      </w:tr>
      <w:tr>
        <w:tc>
          <w:tcPr>
            <w:tcW w:type="dxa" w:w="1814"/>
          </w:tcPr>
          <w:p>
            <w:r>
              <w:t>Scenario-LowRisk</w:t>
            </w:r>
          </w:p>
        </w:tc>
        <w:tc>
          <w:tcPr>
            <w:tcW w:type="dxa" w:w="1814"/>
          </w:tcPr>
          <w:p>
            <w:r>
              <w:t>86.87</w:t>
            </w:r>
          </w:p>
        </w:tc>
        <w:tc>
          <w:tcPr>
            <w:tcW w:type="dxa" w:w="1814"/>
          </w:tcPr>
          <w:p>
            <w:r>
              <w:t>93.61</w:t>
            </w:r>
          </w:p>
        </w:tc>
        <w:tc>
          <w:tcPr>
            <w:tcW w:type="dxa" w:w="1814"/>
          </w:tcPr>
          <w:p>
            <w:r>
              <w:t>39.41</w:t>
            </w:r>
          </w:p>
        </w:tc>
        <w:tc>
          <w:tcPr>
            <w:tcW w:type="dxa" w:w="1814"/>
          </w:tcPr>
          <w:p>
            <w:r>
              <w:t>77.36</w:t>
            </w:r>
          </w:p>
        </w:tc>
      </w:tr>
      <w:tr>
        <w:tc>
          <w:tcPr>
            <w:tcW w:type="dxa" w:w="1814"/>
          </w:tcPr>
          <w:p>
            <w:r>
              <w:t>Scenario-MidRisk</w:t>
            </w:r>
          </w:p>
        </w:tc>
        <w:tc>
          <w:tcPr>
            <w:tcW w:type="dxa" w:w="1814"/>
          </w:tcPr>
          <w:p>
            <w:r>
              <w:t>86.87</w:t>
            </w:r>
          </w:p>
        </w:tc>
        <w:tc>
          <w:tcPr>
            <w:tcW w:type="dxa" w:w="1814"/>
          </w:tcPr>
          <w:p>
            <w:r>
              <w:t>87.91</w:t>
            </w:r>
          </w:p>
        </w:tc>
        <w:tc>
          <w:tcPr>
            <w:tcW w:type="dxa" w:w="1814"/>
          </w:tcPr>
          <w:p>
            <w:r>
              <w:t>40.27</w:t>
            </w:r>
          </w:p>
        </w:tc>
        <w:tc>
          <w:tcPr>
            <w:tcW w:type="dxa" w:w="1814"/>
          </w:tcPr>
          <w:p>
            <w:r>
              <w:t>75.58</w:t>
            </w:r>
          </w:p>
        </w:tc>
      </w:tr>
      <w:tr>
        <w:tc>
          <w:tcPr>
            <w:tcW w:type="dxa" w:w="1814"/>
          </w:tcPr>
          <w:p>
            <w:r>
              <w:t>Scenario-HighRisk</w:t>
            </w:r>
          </w:p>
        </w:tc>
        <w:tc>
          <w:tcPr>
            <w:tcW w:type="dxa" w:w="1814"/>
          </w:tcPr>
          <w:p>
            <w:r>
              <w:t>86.87</w:t>
            </w:r>
          </w:p>
        </w:tc>
        <w:tc>
          <w:tcPr>
            <w:tcW w:type="dxa" w:w="1814"/>
          </w:tcPr>
          <w:p>
            <w:r>
              <w:t>69.70</w:t>
            </w:r>
          </w:p>
        </w:tc>
        <w:tc>
          <w:tcPr>
            <w:tcW w:type="dxa" w:w="1814"/>
          </w:tcPr>
          <w:p>
            <w:r>
              <w:t>41.02</w:t>
            </w:r>
          </w:p>
        </w:tc>
        <w:tc>
          <w:tcPr>
            <w:tcW w:type="dxa" w:w="1814"/>
          </w:tcPr>
          <w:p>
            <w:r>
              <w:t>69.40</w:t>
            </w:r>
          </w:p>
        </w:tc>
      </w:tr>
    </w:tbl>
    <w:p>
      <w:r>
        <w:t>探索性结论：UST参数b校准结果：best_b=0.600, RMSE=0.000, 95%CI=[0.600, 0.600], 样本数=4。</w:t>
      </w:r>
    </w:p>
    <w:p>
      <w:r>
        <w:t>探索性结论：当前演示数据未进行正式显著性检验（p-value），最终实证将报告显著性与效应量，并给出相对提升（relative improvement）与Cohen指标。</w:t>
      </w:r>
    </w:p>
    <w:p>
      <w:r>
        <w:t>注：上述结果用于验证新算法流程与排版结构，不作为最终投稿结论。</w:t>
      </w:r>
    </w:p>
    <w:p>
      <w:pPr>
        <w:pStyle w:val="Heading1"/>
      </w:pPr>
      <w:r>
        <w:t>5 当前图件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4628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62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 新MPI科研流程总览。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171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si_stabil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7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 RSI相场稳定性响应。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2944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_depth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94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图3 BRI随埋深与能量因子变化趋势。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2944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i_stress_prof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94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图4 ASI-UST应力剖面。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1376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pi_pane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137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图5 RSI/BRI/ASI/MPI综合面板。</w:t>
      </w:r>
    </w:p>
    <w:p>
      <w:pPr>
        <w:pStyle w:val="Heading1"/>
      </w:pPr>
      <w:r>
        <w:t>6 讨论与后续</w:t>
      </w:r>
    </w:p>
    <w:p>
      <w:r>
        <w:t>当前结果用于验证新算法流程与论文结构，最终投稿结论需基于真实矿压标签与严格切分实验。</w:t>
      </w:r>
    </w:p>
    <w:p>
      <w:pPr>
        <w:pStyle w:val="Heading1"/>
      </w:pPr>
      <w:r>
        <w:t>参考文献</w:t>
      </w:r>
    </w:p>
    <w:p>
      <w:r>
        <w:t>1. Francfort G A, Marigo J J. Revisiting brittle fracture as an energy minimization problem. DOI:10.1016/S0022-5096(98)00034-9.</w:t>
      </w:r>
    </w:p>
    <w:p>
      <w:r>
        <w:t>2. Miehe C, Hofacker M, Welschinger F. A phase field model for rate-independent crack propagation. DOI:10.1016/j.cma.2010.04.011.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120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