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2"/>
        </w:rPr>
        <w:t>New MPI Algorithm Draft for SCI Submission: RSI-PhaseField and ASI-UST Integration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Author A, Author B, Author C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Affiliation 1; Affiliation 2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One-sentence summary: A reproducible MPI pipeline built on new phase-field and UST algorithms.</w:t>
      </w:r>
    </w:p>
    <w:p>
      <w:pPr>
        <w:pStyle w:val="Heading1"/>
      </w:pPr>
      <w:r>
        <w:t>Abstract</w:t>
      </w:r>
    </w:p>
    <w:p>
      <w:r>
        <w:t>This manuscript draft is fully based on the new MPI algorithm stack. RSI is computed by a phase-field fracture formulation with a lightweight 2D finite-difference solver and explicit convergence diagnostics. [Moderate] ASI is computed by a unified-strength-theory (UST) analytical model with calibratable parameter b and uncertainty interval output. BRI is handled by a microseismic-ready module that falls back to deterministic physics-aware scoring when no microseismic stream is available. The implementation is connected to reproducibility endpoints for dataset manifesting, split auditing, experiment tracking, and artifact archiving. [Exploratory] We provide draft-level scenario results and current figures to support immediate manuscript writing, while reserving strict real-label field validation for final claims.</w:t>
      </w:r>
    </w:p>
    <w:p>
      <w:r>
        <w:t>Keywords: mine pressure; phase-field fracture; unified strength theory; reproducibility; risk assessment</w:t>
      </w:r>
    </w:p>
    <w:p>
      <w:pPr>
        <w:pStyle w:val="Heading1"/>
      </w:pPr>
      <w:r>
        <w:t>Main Text</w:t>
      </w:r>
    </w:p>
    <w:p>
      <w:pPr>
        <w:pStyle w:val="Heading2"/>
      </w:pPr>
      <w:r>
        <w:t>1. Introduction</w:t>
      </w:r>
    </w:p>
    <w:p>
      <w:r>
        <w:t>The previous empirical MPI formulas have been retired in this draft. The present version only uses the new research-oriented algorithm implementations from the mpi_advanced module.</w:t>
      </w:r>
    </w:p>
    <w:p>
      <w:pPr>
        <w:pStyle w:val="Heading2"/>
      </w:pPr>
      <w:r>
        <w:t>2. New MPI Algorithm Stack</w:t>
      </w:r>
    </w:p>
    <w:p>
      <w:r>
        <w:t>RSI module: RSI-PhaseField (2D finite-difference solver, boundary constraints, convergence checks; Eq. (3)-(4)).</w:t>
      </w:r>
    </w:p>
    <w:p>
      <w:r>
        <w:t>ASI module: ASI-UST (analytical stress field, parameter b calibration with bootstrap CI; Eq. (2), (5)).</w:t>
      </w:r>
    </w:p>
    <w:p>
      <w:r>
        <w:t>BRI module: microseismic-driven architecture with no-signal fallback branch.</w:t>
      </w:r>
    </w:p>
    <w:p>
      <w:r>
        <w:t>Fusion module: weighted MPI synthesis under explicit reproducibility metadata (Eq. (1)).</w:t>
      </w:r>
    </w:p>
    <w:p>
      <w:pPr>
        <w:jc w:val="center"/>
      </w:pPr>
      <m:oMathPara>
        <m:oMath>
          <m:r>
            <m:t>MPI = w_RSI * RSI + w_BRI * BRI + w_ASI * ASI</m:t>
          </m:r>
        </m:oMath>
      </m:oMathPara>
    </w:p>
    <w:p>
      <w:pPr>
        <w:jc w:val="right"/>
      </w:pPr>
      <w:r>
        <w:t>(1)</w:t>
      </w:r>
    </w:p>
    <w:p>
      <w:pPr>
        <w:jc w:val="center"/>
      </w:pPr>
      <m:oMathPara>
        <m:oMath>
          <m:r>
            <m:t>F_UST = σ₁ - (σ₂ + b * σ₃)/(1 + b) - f_t</m:t>
          </m:r>
        </m:oMath>
      </m:oMathPara>
    </w:p>
    <w:p>
      <w:pPr>
        <w:jc w:val="right"/>
      </w:pPr>
      <w:r>
        <w:t>(2)</w:t>
      </w:r>
    </w:p>
    <w:p>
      <w:pPr>
        <w:jc w:val="center"/>
      </w:pPr>
      <m:oMathPara>
        <m:oMath>
          <m:r>
            <m:t>- l₀² * ∇²ϕ + ϕ = 1 - α * S(x,y)</m:t>
          </m:r>
        </m:oMath>
      </m:oMathPara>
    </w:p>
    <w:p>
      <w:pPr>
        <w:jc w:val="right"/>
      </w:pPr>
      <w:r>
        <w:t>(3)</w:t>
      </w:r>
    </w:p>
    <w:p>
      <w:pPr>
        <w:jc w:val="center"/>
      </w:pPr>
      <m:oMathPara>
        <m:oMath>
          <m:r>
            <m:t>D = 1 - ϕ</m:t>
          </m:r>
        </m:oMath>
      </m:oMathPara>
    </w:p>
    <w:p>
      <w:pPr>
        <w:jc w:val="right"/>
      </w:pPr>
      <w:r>
        <w:t>(4)</w:t>
      </w:r>
    </w:p>
    <w:p>
      <w:pPr>
        <w:jc w:val="center"/>
      </w:pPr>
      <m:oMathPara>
        <m:oMath>
          <m:r>
            <m:t>CI95(b) = [Q_2.5%(b*), Q_97.5%(b*)]</m:t>
          </m:r>
        </m:oMath>
      </m:oMathPara>
    </w:p>
    <w:p>
      <w:pPr>
        <w:jc w:val="right"/>
      </w:pPr>
      <w:r>
        <w:t>(5)</w:t>
      </w:r>
    </w:p>
    <w:p>
      <w:pPr>
        <w:pStyle w:val="Heading2"/>
      </w:pPr>
      <w:r>
        <w:t>3. Reproducibility and Evidence Protocol</w:t>
      </w:r>
    </w:p>
    <w:p>
      <w:r>
        <w:t>All experiments are designed to bind dataset version, split manifest, seed, and model spec. Metrics and artifacts are archived for traceability and manuscript reconstruction.</w:t>
      </w:r>
    </w:p>
    <w:p>
      <w:r>
        <w:t>[Moderate] Statistical reporting protocol includes uncertainty, significance (p-value), and effect size requirements for submission-stage experiments.</w:t>
      </w:r>
    </w:p>
    <w:p>
      <w:r>
        <w:t>Calibration uncertainty is reported by Eq. (5), and all risk fusion outputs are tied to Eq. (1).</w:t>
      </w:r>
    </w:p>
    <w:p>
      <w:pPr>
        <w:pStyle w:val="Heading2"/>
      </w:pPr>
      <w:r>
        <w:t>4. New-Algorithm Demonstration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Scenario</w:t>
            </w:r>
          </w:p>
        </w:tc>
        <w:tc>
          <w:tcPr>
            <w:tcW w:type="dxa" w:w="1881"/>
          </w:tcPr>
          <w:p>
            <w:r>
              <w:t>RSI</w:t>
            </w:r>
          </w:p>
        </w:tc>
        <w:tc>
          <w:tcPr>
            <w:tcW w:type="dxa" w:w="1881"/>
          </w:tcPr>
          <w:p>
            <w:r>
              <w:t>BRI</w:t>
            </w:r>
          </w:p>
        </w:tc>
        <w:tc>
          <w:tcPr>
            <w:tcW w:type="dxa" w:w="1881"/>
          </w:tcPr>
          <w:p>
            <w:r>
              <w:t>ASI</w:t>
            </w:r>
          </w:p>
        </w:tc>
        <w:tc>
          <w:tcPr>
            <w:tcW w:type="dxa" w:w="1881"/>
          </w:tcPr>
          <w:p>
            <w:r>
              <w:t>MPI</w:t>
            </w:r>
          </w:p>
        </w:tc>
      </w:tr>
      <w:tr>
        <w:tc>
          <w:tcPr>
            <w:tcW w:type="dxa" w:w="1881"/>
          </w:tcPr>
          <w:p>
            <w:r>
              <w:t>Scenario-LowRisk</w:t>
            </w:r>
          </w:p>
        </w:tc>
        <w:tc>
          <w:tcPr>
            <w:tcW w:type="dxa" w:w="1881"/>
          </w:tcPr>
          <w:p>
            <w:r>
              <w:t>86.87</w:t>
            </w:r>
          </w:p>
        </w:tc>
        <w:tc>
          <w:tcPr>
            <w:tcW w:type="dxa" w:w="1881"/>
          </w:tcPr>
          <w:p>
            <w:r>
              <w:t>93.61</w:t>
            </w:r>
          </w:p>
        </w:tc>
        <w:tc>
          <w:tcPr>
            <w:tcW w:type="dxa" w:w="1881"/>
          </w:tcPr>
          <w:p>
            <w:r>
              <w:t>39.41</w:t>
            </w:r>
          </w:p>
        </w:tc>
        <w:tc>
          <w:tcPr>
            <w:tcW w:type="dxa" w:w="1881"/>
          </w:tcPr>
          <w:p>
            <w:r>
              <w:t>77.36</w:t>
            </w:r>
          </w:p>
        </w:tc>
      </w:tr>
      <w:tr>
        <w:tc>
          <w:tcPr>
            <w:tcW w:type="dxa" w:w="1881"/>
          </w:tcPr>
          <w:p>
            <w:r>
              <w:t>Scenario-MidRisk</w:t>
            </w:r>
          </w:p>
        </w:tc>
        <w:tc>
          <w:tcPr>
            <w:tcW w:type="dxa" w:w="1881"/>
          </w:tcPr>
          <w:p>
            <w:r>
              <w:t>86.87</w:t>
            </w:r>
          </w:p>
        </w:tc>
        <w:tc>
          <w:tcPr>
            <w:tcW w:type="dxa" w:w="1881"/>
          </w:tcPr>
          <w:p>
            <w:r>
              <w:t>87.91</w:t>
            </w:r>
          </w:p>
        </w:tc>
        <w:tc>
          <w:tcPr>
            <w:tcW w:type="dxa" w:w="1881"/>
          </w:tcPr>
          <w:p>
            <w:r>
              <w:t>40.27</w:t>
            </w:r>
          </w:p>
        </w:tc>
        <w:tc>
          <w:tcPr>
            <w:tcW w:type="dxa" w:w="1881"/>
          </w:tcPr>
          <w:p>
            <w:r>
              <w:t>75.58</w:t>
            </w:r>
          </w:p>
        </w:tc>
      </w:tr>
      <w:tr>
        <w:tc>
          <w:tcPr>
            <w:tcW w:type="dxa" w:w="1881"/>
          </w:tcPr>
          <w:p>
            <w:r>
              <w:t>Scenario-HighRisk</w:t>
            </w:r>
          </w:p>
        </w:tc>
        <w:tc>
          <w:tcPr>
            <w:tcW w:type="dxa" w:w="1881"/>
          </w:tcPr>
          <w:p>
            <w:r>
              <w:t>86.87</w:t>
            </w:r>
          </w:p>
        </w:tc>
        <w:tc>
          <w:tcPr>
            <w:tcW w:type="dxa" w:w="1881"/>
          </w:tcPr>
          <w:p>
            <w:r>
              <w:t>69.70</w:t>
            </w:r>
          </w:p>
        </w:tc>
        <w:tc>
          <w:tcPr>
            <w:tcW w:type="dxa" w:w="1881"/>
          </w:tcPr>
          <w:p>
            <w:r>
              <w:t>41.02</w:t>
            </w:r>
          </w:p>
        </w:tc>
        <w:tc>
          <w:tcPr>
            <w:tcW w:type="dxa" w:w="1881"/>
          </w:tcPr>
          <w:p>
            <w:r>
              <w:t>69.40</w:t>
            </w:r>
          </w:p>
        </w:tc>
      </w:tr>
    </w:tbl>
    <w:p>
      <w:r>
        <w:t>[Exploratory] UST b-parameter calibration: best_b=0.600, RMSE=0.000, 95%CI=[0.600, 0.600], samples=4.</w:t>
      </w:r>
    </w:p>
    <w:p>
      <w:r>
        <w:t>[Exploratory] No formal significance test (p-value) is claimed for draft scenarios; final field-label runs will report significance and effect size, including relative improvement and Cohen's d.</w:t>
      </w:r>
    </w:p>
    <w:p>
      <w:r>
        <w:t>Note: This table validates the new algorithm pipeline and manuscript structure only.</w:t>
      </w:r>
    </w:p>
    <w:p>
      <w:pPr>
        <w:pStyle w:val="Heading2"/>
      </w:pPr>
      <w:r>
        <w:t>5. Current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4628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6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Workflow of the new MPI research pipeline.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71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si_stabi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7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RSI-PhaseField stability behavior.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944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_depth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94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3. BRI trend under depth and energy factors.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944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_stress_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94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4. ASI-UST stress profile.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1376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i_pan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137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5. RSI/BRI/ASI/MPI panels.</w:t>
      </w:r>
    </w:p>
    <w:p>
      <w:pPr>
        <w:pStyle w:val="Heading2"/>
      </w:pPr>
      <w:r>
        <w:t>6. Limitations and Next Submission Step</w:t>
      </w:r>
    </w:p>
    <w:p>
      <w:r>
        <w:t>Current values are scenario demonstrations for pipeline verification. Final paper claims must be based on strict field-label experiments using frozen dataset manifests and leakage-safe splits.</w:t>
      </w:r>
    </w:p>
    <w:p>
      <w:pPr>
        <w:pStyle w:val="Heading1"/>
      </w:pPr>
      <w:r>
        <w:t>References</w:t>
      </w:r>
    </w:p>
    <w:p>
      <w:r>
        <w:t>1. Francfort, G. A., &amp; Marigo, J.-J. (1998). Revisiting brittle fracture as an energy minimization problem. DOI:10.1016/S0022-5096(98)00034-9.</w:t>
      </w:r>
    </w:p>
    <w:p>
      <w:r>
        <w:t>2. Miehe, C., Hofacker, M., &amp; Welschinger, F. (2010). A phase field model for rate-independent crack propagation. DOI:10.1016/j.cma.2010.04.011.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120"/>
    </w:pPr>
    <w:rPr>
      <w:rFonts w:ascii="Times New Roman" w:hAnsi="Times New Roman" w:eastAsia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