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2"/>
        </w:rPr>
        <w:t>New MPI Algorithm Draft for SCI Submission: RSI-PhaseField and ASI-UST Integration</w:t>
      </w:r>
    </w:p>
    <w:p>
      <w:pPr>
        <w:pStyle w:val="Subtitle"/>
        <w:jc w:val="center"/>
      </w:pPr>
      <w:r>
        <w:rPr>
          <w:rFonts w:ascii="Times New Roman" w:hAnsi="Times New Roman" w:eastAsia="Times New Roman"/>
          <w:b w:val="0"/>
          <w:sz w:val="24"/>
        </w:rPr>
        <w:t>Author A, Author B, Author C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Affiliation 1; Affiliation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One-sentence summary: A reproducible MPI pipeline built on new phase-field and UST algorithms.</w:t>
      </w:r>
    </w:p>
    <w:p>
      <w:pPr>
        <w:pStyle w:val="Heading1"/>
      </w:pPr>
      <w:r>
        <w:t>Abstract</w:t>
      </w:r>
    </w:p>
    <w:p>
      <w:r>
        <w:t>This manuscript draft is fully based on the new MPI algorithm stack. RSI is computed by a phase-field fracture formulation with a lightweight 2D finite-difference solver and explicit convergence diagnostics. [Moderate] ASI is computed by a unified-strength-theory (UST) analytical model with calibratable parameter b and uncertainty interval output. BRI is handled by a microseismic-ready module that falls back to deterministic physics-aware scoring when no microseismic stream is available. The implementation is connected to reproducibility endpoints for dataset manifesting, split auditing, experiment tracking, and artifact archiving. [Exploratory] We provide draft-level scenario results and current figures to support immediate manuscript writing, while reserving strict real-label field validation for final claims.</w:t>
      </w:r>
    </w:p>
    <w:p>
      <w:r>
        <w:t>Keywords: mine pressure; phase-field fracture; unified strength theory; reproducibility; risk assessment</w:t>
      </w:r>
    </w:p>
    <w:p>
      <w:pPr>
        <w:pStyle w:val="Heading2"/>
      </w:pPr>
      <w:r>
        <w:t>1. Introduction</w:t>
      </w:r>
    </w:p>
    <w:p>
      <w:r>
        <w:t>The previous empirical MPI formulas have been retired in this draft. The present version only uses the new research-oriented algorithm implementations from the mpi_advanced module.</w:t>
      </w:r>
    </w:p>
    <w:p>
      <w:pPr>
        <w:pStyle w:val="Heading2"/>
      </w:pPr>
      <w:r>
        <w:t>2. New MPI Algorithm Stack</w:t>
      </w:r>
    </w:p>
    <w:p>
      <w:pPr>
        <w:pStyle w:val="Heading3"/>
      </w:pPr>
      <w:r>
        <w:t>2.1 Indicator Definition and Fusion Rule</w:t>
      </w:r>
    </w:p>
    <w:p>
      <w:pPr/>
      <w:r>
        <w:t>The upgraded MPI stack combines RSI, BRI, and ASI under an explicitly versioned fusion rule. All indicator outputs are bounded to [0, 1] before fusion to preserve interpretability and cross-dataset comparability.</w:t>
      </w:r>
    </w:p>
    <w:p>
      <w:pPr/>
      <w:r>
        <w:t>Eq. (1)  MPI_t = w_RSI,t * RSI_t + w_BRI,t * BRI_t + w_ASI,t * ASI_t,  with  w_RSI,t + w_BRI,t + w_ASI,t = 1.</w:t>
      </w:r>
      <m:oMathPara>
        <m:oMath>
          <m:r>
            <m:t>MPI_t = w_RSI,t*RSI_t + w_BRI,t*BRI_t + w_ASI,t*ASI_t</m:t>
          </m:r>
        </m:oMath>
      </m:oMathPara>
    </w:p>
    <w:p>
      <w:pPr/>
      <w:r>
        <w:t>In the current reproducibility baseline, weights are fixed per run and stored with dataset/split metadata; adaptive weighting remains available as an ablation branch.</w:t>
      </w:r>
    </w:p>
    <w:p>
      <w:pPr>
        <w:pStyle w:val="Heading3"/>
      </w:pPr>
      <w:r>
        <w:t>2.2 ASI-UST Module (Analytical Stress Branch)</w:t>
      </w:r>
    </w:p>
    <w:p>
      <w:pPr/>
      <w:r>
        <w:t>The ASI branch follows a Unified Strength Theory (UST) formulation where the intermediate principal stress contribution is controlled by parameter b.</w:t>
      </w:r>
    </w:p>
    <w:p>
      <w:pPr/>
      <w:r>
        <w:t>Eq. (2)  sigma_eq = sigma_1 - b * sigma_2 + k * sigma_3,  b in [0, 1].</w:t>
      </w:r>
      <m:oMathPara>
        <m:oMath>
          <m:r>
            <m:t>sigma_eq = sigma_1 - b*sigma_2 + k*sigma_3</m:t>
          </m:r>
        </m:oMath>
      </m:oMathPara>
    </w:p>
    <w:p>
      <w:pPr/>
      <w:r>
        <w:t>ASI is then obtained by calibrated normalization of sigma_eq to [0, 1]. Parameter b is estimated by bootstrap calibration on training folds only to avoid test leakage.</w:t>
      </w:r>
    </w:p>
    <w:p>
      <w:pPr/>
      <w:r>
        <w:t>Eq. (5)  CI_95%(b) = [Q_2.5%(b*), Q_97.5%(b*)], where b* is the bootstrap sample estimate.</w:t>
      </w:r>
      <m:oMathPara>
        <m:oMath>
          <m:r>
            <m:t>CI_95%(b) = [Q_2.5%(b*), Q_97.5%(b*)]</m:t>
          </m:r>
        </m:oMath>
      </m:oMathPara>
    </w:p>
    <w:p>
      <w:pPr>
        <w:pStyle w:val="Heading3"/>
      </w:pPr>
      <w:r>
        <w:t>2.3 RSI-PhaseField Module (Roof Stability Branch)</w:t>
      </w:r>
    </w:p>
    <w:p>
      <w:pPr/>
      <w:r>
        <w:t>The RSI branch uses a 2D finite-difference phase-field solver with boundary constraints and convergence checks. The formulation follows a regularized brittle-fracture energy functional.</w:t>
      </w:r>
    </w:p>
    <w:p>
      <w:pPr/>
      <w:r>
        <w:t>Eq. (3)  Psi(phi) = Integral( g(phi) * psi_elastic + G_c * (phi^2/(2*l0) + l0*|grad(phi)|^2/2 ) ) dOmega.</w:t>
      </w:r>
      <m:oMathPara>
        <m:oMath>
          <m:r>
            <m:t>Psi(phi) = Integral( g(phi)*psi_elastic + G_c*(phi^2/(2*l0) + l0*|grad(phi)|^2/2 ) ) dOmega</m:t>
          </m:r>
        </m:oMath>
      </m:oMathPara>
    </w:p>
    <w:p>
      <w:pPr/>
      <w:r>
        <w:t>Eq. (4)  phi^(n+1) = phi^(n) - eta * dPsi/dphi, with monotonic damage constraint and residual-based stopping criteria.</w:t>
      </w:r>
      <m:oMathPara>
        <m:oMath>
          <m:r>
            <m:t>phi^(n+1) = phi^(n) - eta*dPsi/dphi</m:t>
          </m:r>
        </m:oMath>
      </m:oMathPara>
    </w:p>
    <w:p>
      <w:pPr/>
      <w:r>
        <w:t>The final RSI value is derived from normalized damage accumulation and stress concentration terms, then clipped to [0, 1].</w:t>
      </w:r>
    </w:p>
    <w:p>
      <w:pPr>
        <w:pStyle w:val="Heading3"/>
      </w:pPr>
      <w:r>
        <w:t>2.4 BRI Microseismic Module (Dynamic Hazard Branch)</w:t>
      </w:r>
    </w:p>
    <w:p>
      <w:pPr/>
      <w:r>
        <w:t>The BRI branch integrates microseismic features (event density, energy statistics, temporal burstness, and optional source-mechanism descriptors). A no-signal fallback branch is used when microseismic input is unavailable.</w:t>
      </w:r>
    </w:p>
    <w:p>
      <w:pPr/>
      <w:r>
        <w:t>In fallback mode, BRI is computed from conservative priors and static geological cues, and the mode flag is persisted for downstream traceability.</w:t>
      </w:r>
    </w:p>
    <w:p>
      <w:pPr>
        <w:pStyle w:val="Heading3"/>
      </w:pPr>
      <w:r>
        <w:t>2.5 Implementation and Experimental Protocol</w:t>
      </w:r>
    </w:p>
    <w:p>
      <w:pPr/>
      <w:r>
        <w:t>Implementation is based on Python 3.11 with FastAPI service endpoints and reproducible experiment manifests. Each experiment binds dataset_version, split_id, model_type, seed, and parameter snapshot.</w:t>
      </w:r>
    </w:p>
    <w:p>
      <w:pPr/>
      <w:r>
        <w:t>The current manuscript reports reproducibility-focused results using frozen leakage-safe splits and multi-seed reruns. Submission-stage claims will additionally report paired significance tests and effect sizes on expanded field-labeled datasets.</w:t>
      </w:r>
    </w:p>
    <w:p>
      <w:pPr>
        <w:pStyle w:val="Heading2"/>
      </w:pPr>
      <w:r>
        <w:t>3. Reproducibility and Evidence Protocol</w:t>
      </w:r>
    </w:p>
    <w:p>
      <w:r>
        <w:t>All experiments are designed to bind dataset version, split manifest, seed, and model spec. Metrics and artifacts are archived for traceability and manuscript reconstruction.</w:t>
      </w:r>
    </w:p>
    <w:p>
      <w:r>
        <w:t>[Moderate] Statistical reporting protocol includes uncertainty, significance (p-value), and effect size requirements for submission-stage experiments.</w:t>
      </w:r>
    </w:p>
    <w:p>
      <w:r>
        <w:t>Calibration uncertainty is reported by Eq. (5), and all risk fusion outputs are tied to Eq. (1).</w:t>
      </w:r>
    </w:p>
    <w:p>
      <w:pPr>
        <w:pStyle w:val="Heading2"/>
      </w:pPr>
      <w:r>
        <w:t>4. New-Algorithm Demonstration Results</w:t>
      </w:r>
    </w:p>
    <w:p>
      <w:pPr/>
      <w:r>
        <w:t>[Exploratory] Table 1 presents scenario-level indicator outputs for demonstration scenarios (RSI, BRI, ASI, and fused MPI).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RSI</w:t>
            </w:r>
          </w:p>
        </w:tc>
        <w:tc>
          <w:tcPr>
            <w:tcW w:type="dxa" w:w="1881"/>
          </w:tcPr>
          <w:p>
            <w:r>
              <w:t>BRI</w:t>
            </w:r>
          </w:p>
        </w:tc>
        <w:tc>
          <w:tcPr>
            <w:tcW w:type="dxa" w:w="1881"/>
          </w:tcPr>
          <w:p>
            <w:r>
              <w:t>ASI</w:t>
            </w:r>
          </w:p>
        </w:tc>
        <w:tc>
          <w:tcPr>
            <w:tcW w:type="dxa" w:w="1881"/>
          </w:tcPr>
          <w:p>
            <w:r>
              <w:t>MPI</w:t>
            </w:r>
          </w:p>
        </w:tc>
      </w:tr>
      <w:tr>
        <w:tc>
          <w:tcPr>
            <w:tcW w:type="dxa" w:w="1881"/>
          </w:tcPr>
          <w:p>
            <w:r>
              <w:t>Scenario-LowRisk</w:t>
            </w:r>
          </w:p>
        </w:tc>
        <w:tc>
          <w:tcPr>
            <w:tcW w:type="dxa" w:w="1881"/>
          </w:tcPr>
          <w:p>
            <w:r>
              <w:t>86.87</w:t>
            </w:r>
          </w:p>
        </w:tc>
        <w:tc>
          <w:tcPr>
            <w:tcW w:type="dxa" w:w="1881"/>
          </w:tcPr>
          <w:p>
            <w:r>
              <w:t>93.61</w:t>
            </w:r>
          </w:p>
        </w:tc>
        <w:tc>
          <w:tcPr>
            <w:tcW w:type="dxa" w:w="1881"/>
          </w:tcPr>
          <w:p>
            <w:r>
              <w:t>39.41</w:t>
            </w:r>
          </w:p>
        </w:tc>
        <w:tc>
          <w:tcPr>
            <w:tcW w:type="dxa" w:w="1881"/>
          </w:tcPr>
          <w:p>
            <w:r>
              <w:t>77.36</w:t>
            </w:r>
          </w:p>
        </w:tc>
      </w:tr>
      <w:tr>
        <w:tc>
          <w:tcPr>
            <w:tcW w:type="dxa" w:w="1881"/>
          </w:tcPr>
          <w:p>
            <w:r>
              <w:t>Scenario-MidRisk</w:t>
            </w:r>
          </w:p>
        </w:tc>
        <w:tc>
          <w:tcPr>
            <w:tcW w:type="dxa" w:w="1881"/>
          </w:tcPr>
          <w:p>
            <w:r>
              <w:t>86.87</w:t>
            </w:r>
          </w:p>
        </w:tc>
        <w:tc>
          <w:tcPr>
            <w:tcW w:type="dxa" w:w="1881"/>
          </w:tcPr>
          <w:p>
            <w:r>
              <w:t>87.91</w:t>
            </w:r>
          </w:p>
        </w:tc>
        <w:tc>
          <w:tcPr>
            <w:tcW w:type="dxa" w:w="1881"/>
          </w:tcPr>
          <w:p>
            <w:r>
              <w:t>40.27</w:t>
            </w:r>
          </w:p>
        </w:tc>
        <w:tc>
          <w:tcPr>
            <w:tcW w:type="dxa" w:w="1881"/>
          </w:tcPr>
          <w:p>
            <w:r>
              <w:t>75.58</w:t>
            </w:r>
          </w:p>
        </w:tc>
      </w:tr>
      <w:tr>
        <w:tc>
          <w:tcPr>
            <w:tcW w:type="dxa" w:w="1881"/>
          </w:tcPr>
          <w:p>
            <w:r>
              <w:t>Scenario-HighRisk</w:t>
            </w:r>
          </w:p>
        </w:tc>
        <w:tc>
          <w:tcPr>
            <w:tcW w:type="dxa" w:w="1881"/>
          </w:tcPr>
          <w:p>
            <w:r>
              <w:t>86.87</w:t>
            </w:r>
          </w:p>
        </w:tc>
        <w:tc>
          <w:tcPr>
            <w:tcW w:type="dxa" w:w="1881"/>
          </w:tcPr>
          <w:p>
            <w:r>
              <w:t>69.70</w:t>
            </w:r>
          </w:p>
        </w:tc>
        <w:tc>
          <w:tcPr>
            <w:tcW w:type="dxa" w:w="1881"/>
          </w:tcPr>
          <w:p>
            <w:r>
              <w:t>41.02</w:t>
            </w:r>
          </w:p>
        </w:tc>
        <w:tc>
          <w:tcPr>
            <w:tcW w:type="dxa" w:w="1881"/>
          </w:tcPr>
          <w:p>
            <w:r>
              <w:t>69.40</w:t>
            </w:r>
          </w:p>
        </w:tc>
      </w:tr>
    </w:tbl>
    <w:p>
      <w:pPr>
        <w:pStyle w:val="Heading3"/>
      </w:pPr>
      <w:r>
        <w:t>4.1 Baseline and Method Comparison</w:t>
      </w:r>
    </w:p>
    <w:p>
      <w:pPr/>
      <w:r>
        <w:t>[Moderate] Table 2 summarizes the representative single-split comparison on dataset research_boreholes_36 (fixed split: split_20260222_134800_0efe6a). [Moderate] Relative to the kriging baseline, all hybrid/geomodel-aware variants improved discriminative and calibration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Model</w:t>
            </w:r>
          </w:p>
        </w:tc>
        <w:tc>
          <w:tcPr>
            <w:tcW w:type="dxa" w:w="1568"/>
          </w:tcPr>
          <w:p>
            <w:r>
              <w:t>AUC</w:t>
            </w:r>
          </w:p>
        </w:tc>
        <w:tc>
          <w:tcPr>
            <w:tcW w:type="dxa" w:w="1568"/>
          </w:tcPr>
          <w:p>
            <w:r>
              <w:t>PR-AUC</w:t>
            </w:r>
          </w:p>
        </w:tc>
        <w:tc>
          <w:tcPr>
            <w:tcW w:type="dxa" w:w="1568"/>
          </w:tcPr>
          <w:p>
            <w:r>
              <w:t>Brier</w:t>
            </w:r>
          </w:p>
        </w:tc>
        <w:tc>
          <w:tcPr>
            <w:tcW w:type="dxa" w:w="1568"/>
          </w:tcPr>
          <w:p>
            <w:r>
              <w:t>F1</w:t>
            </w:r>
          </w:p>
        </w:tc>
        <w:tc>
          <w:tcPr>
            <w:tcW w:type="dxa" w:w="1568"/>
          </w:tcPr>
          <w:p>
            <w:r>
              <w:t>RMSE</w:t>
            </w:r>
          </w:p>
        </w:tc>
      </w:tr>
      <w:tr>
        <w:tc>
          <w:tcPr>
            <w:tcW w:type="dxa" w:w="1568"/>
          </w:tcPr>
          <w:p>
            <w:r>
              <w:t>Kriging baseline (exp001)</w:t>
            </w:r>
          </w:p>
        </w:tc>
        <w:tc>
          <w:tcPr>
            <w:tcW w:type="dxa" w:w="1568"/>
          </w:tcPr>
          <w:p>
            <w:r>
              <w:t>0.666667</w:t>
            </w:r>
          </w:p>
        </w:tc>
        <w:tc>
          <w:tcPr>
            <w:tcW w:type="dxa" w:w="1568"/>
          </w:tcPr>
          <w:p>
            <w:r>
              <w:t>0.638889</w:t>
            </w:r>
          </w:p>
        </w:tc>
        <w:tc>
          <w:tcPr>
            <w:tcW w:type="dxa" w:w="1568"/>
          </w:tcPr>
          <w:p>
            <w:r>
              <w:t>0.244266</w:t>
            </w:r>
          </w:p>
        </w:tc>
        <w:tc>
          <w:tcPr>
            <w:tcW w:type="dxa" w:w="1568"/>
          </w:tcPr>
          <w:p>
            <w:r>
              <w:t>0.400000</w:t>
            </w:r>
          </w:p>
        </w:tc>
        <w:tc>
          <w:tcPr>
            <w:tcW w:type="dxa" w:w="1568"/>
          </w:tcPr>
          <w:p>
            <w:r>
              <w:t>0.494233</w:t>
            </w:r>
          </w:p>
        </w:tc>
      </w:tr>
      <w:tr>
        <w:tc>
          <w:tcPr>
            <w:tcW w:type="dxa" w:w="1568"/>
          </w:tcPr>
          <w:p>
            <w:r>
              <w:t>Geomodel-aware (exp003)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0.195077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0.441676</w:t>
            </w:r>
          </w:p>
        </w:tc>
      </w:tr>
      <w:tr>
        <w:tc>
          <w:tcPr>
            <w:tcW w:type="dxa" w:w="1568"/>
          </w:tcPr>
          <w:p>
            <w:r>
              <w:t>Hybrid-augmented (exp004)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0.201764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0.449182</w:t>
            </w:r>
          </w:p>
        </w:tc>
      </w:tr>
      <w:tr>
        <w:tc>
          <w:tcPr>
            <w:tcW w:type="dxa" w:w="1568"/>
          </w:tcPr>
          <w:p>
            <w:r>
              <w:t>Geomodel ablation (exp005)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0.189901</w:t>
            </w:r>
          </w:p>
        </w:tc>
        <w:tc>
          <w:tcPr>
            <w:tcW w:type="dxa" w:w="1568"/>
          </w:tcPr>
          <w:p>
            <w:r>
              <w:t>1.000000</w:t>
            </w:r>
          </w:p>
        </w:tc>
        <w:tc>
          <w:tcPr>
            <w:tcW w:type="dxa" w:w="1568"/>
          </w:tcPr>
          <w:p>
            <w:r>
              <w:t>0.435776</w:t>
            </w:r>
          </w:p>
        </w:tc>
      </w:tr>
      <w:tr>
        <w:tc>
          <w:tcPr>
            <w:tcW w:type="dxa" w:w="1568"/>
          </w:tcPr>
          <w:p>
            <w:r>
              <w:t>No spatial zoning (exp006)</w:t>
            </w:r>
          </w:p>
        </w:tc>
        <w:tc>
          <w:tcPr>
            <w:tcW w:type="dxa" w:w="1568"/>
          </w:tcPr>
          <w:p>
            <w:r>
              <w:t>0.333333</w:t>
            </w:r>
          </w:p>
        </w:tc>
        <w:tc>
          <w:tcPr>
            <w:tcW w:type="dxa" w:w="1568"/>
          </w:tcPr>
          <w:p>
            <w:r>
              <w:t>0.477778</w:t>
            </w:r>
          </w:p>
        </w:tc>
        <w:tc>
          <w:tcPr>
            <w:tcW w:type="dxa" w:w="1568"/>
          </w:tcPr>
          <w:p>
            <w:r>
              <w:t>0.278001</w:t>
            </w:r>
          </w:p>
        </w:tc>
        <w:tc>
          <w:tcPr>
            <w:tcW w:type="dxa" w:w="1568"/>
          </w:tcPr>
          <w:p>
            <w:r>
              <w:t>0.000000</w:t>
            </w:r>
          </w:p>
        </w:tc>
        <w:tc>
          <w:tcPr>
            <w:tcW w:type="dxa" w:w="1568"/>
          </w:tcPr>
          <w:p>
            <w:r>
              <w:t>0.527258</w:t>
            </w:r>
          </w:p>
        </w:tc>
      </w:tr>
    </w:tbl>
    <w:p>
      <w:pPr/>
      <w:r>
        <w:t>[Moderate] Compared with the baseline, the main hybrid/geomodel-aware settings achieved +0.333333 AUC and +0.600000 F1 gains. [Moderate] The no-zoning variant showed substantial degradation across all metrics, indicating spatial zoning as a core contributor.</w:t>
      </w:r>
    </w:p>
    <w:p>
      <w:pPr>
        <w:pStyle w:val="Heading3"/>
      </w:pPr>
      <w:r>
        <w:t>4.2 Multi-Seed Robustness Across Two Datasets</w:t>
      </w:r>
    </w:p>
    <w:p>
      <w:pPr/>
      <w:r>
        <w:t>[Exploratory] To reduce split/seed sensitivity, we executed five seeds per model on two datasets with frozen splits (research_boreholes_28 and research_boreholes_36; 50 runs total).</w:t>
      </w:r>
    </w:p>
    <w:p>
      <w:pPr/>
      <w:r>
        <w:t>[Moderate] Table 3 reports multi-seed robustness on dataset research_boreholes_36 (mean +/- std).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[Moderate] Model</w:t>
            </w:r>
          </w:p>
        </w:tc>
        <w:tc>
          <w:tcPr>
            <w:tcW w:type="dxa" w:w="1881"/>
          </w:tcPr>
          <w:p>
            <w:r>
              <w:t>AUC (mean +/- std)</w:t>
            </w:r>
          </w:p>
        </w:tc>
        <w:tc>
          <w:tcPr>
            <w:tcW w:type="dxa" w:w="1881"/>
          </w:tcPr>
          <w:p>
            <w:r>
              <w:t>Brier (mean +/- std)</w:t>
            </w:r>
          </w:p>
        </w:tc>
        <w:tc>
          <w:tcPr>
            <w:tcW w:type="dxa" w:w="1881"/>
          </w:tcPr>
          <w:p>
            <w:r>
              <w:t>F1 (mean +/- std)</w:t>
            </w:r>
          </w:p>
        </w:tc>
        <w:tc>
          <w:tcPr>
            <w:tcW w:type="dxa" w:w="1881"/>
          </w:tcPr>
          <w:p>
            <w:r>
              <w:t>RMSE (mean +/- std)</w:t>
            </w:r>
          </w:p>
        </w:tc>
      </w:tr>
      <w:tr>
        <w:tc>
          <w:tcPr>
            <w:tcW w:type="dxa" w:w="1881"/>
          </w:tcPr>
          <w:p>
            <w:r>
              <w:t>Kriging baseline</w:t>
            </w:r>
          </w:p>
        </w:tc>
        <w:tc>
          <w:tcPr>
            <w:tcW w:type="dxa" w:w="1881"/>
          </w:tcPr>
          <w:p>
            <w:r>
              <w:t>0.644445 +/- 0.044444</w:t>
            </w:r>
          </w:p>
        </w:tc>
        <w:tc>
          <w:tcPr>
            <w:tcW w:type="dxa" w:w="1881"/>
          </w:tcPr>
          <w:p>
            <w:r>
              <w:t>0.240584 +/- 0.008727</w:t>
            </w:r>
          </w:p>
        </w:tc>
        <w:tc>
          <w:tcPr>
            <w:tcW w:type="dxa" w:w="1881"/>
          </w:tcPr>
          <w:p>
            <w:r>
              <w:t>0.240000 +/- 0.195959</w:t>
            </w:r>
          </w:p>
        </w:tc>
        <w:tc>
          <w:tcPr>
            <w:tcW w:type="dxa" w:w="1881"/>
          </w:tcPr>
          <w:p>
            <w:r>
              <w:t>0.490413 +/- 0.008884</w:t>
            </w:r>
          </w:p>
        </w:tc>
      </w:tr>
      <w:tr>
        <w:tc>
          <w:tcPr>
            <w:tcW w:type="dxa" w:w="1881"/>
          </w:tcPr>
          <w:p>
            <w:r>
              <w:t>Geomodel-aware</w:t>
            </w:r>
          </w:p>
        </w:tc>
        <w:tc>
          <w:tcPr>
            <w:tcW w:type="dxa" w:w="1881"/>
          </w:tcPr>
          <w:p>
            <w:r>
              <w:t>1.000000 +/- 0.000000</w:t>
            </w:r>
          </w:p>
        </w:tc>
        <w:tc>
          <w:tcPr>
            <w:tcW w:type="dxa" w:w="1881"/>
          </w:tcPr>
          <w:p>
            <w:r>
              <w:t>0.201201 +/- 0.004423</w:t>
            </w:r>
          </w:p>
        </w:tc>
        <w:tc>
          <w:tcPr>
            <w:tcW w:type="dxa" w:w="1881"/>
          </w:tcPr>
          <w:p>
            <w:r>
              <w:t>0.880000 +/- 0.097980</w:t>
            </w:r>
          </w:p>
        </w:tc>
        <w:tc>
          <w:tcPr>
            <w:tcW w:type="dxa" w:w="1881"/>
          </w:tcPr>
          <w:p>
            <w:r>
              <w:t>0.448527 +/- 0.004931</w:t>
            </w:r>
          </w:p>
        </w:tc>
      </w:tr>
      <w:tr>
        <w:tc>
          <w:tcPr>
            <w:tcW w:type="dxa" w:w="1881"/>
          </w:tcPr>
          <w:p>
            <w:r>
              <w:t>Hybrid-augmented</w:t>
            </w:r>
          </w:p>
        </w:tc>
        <w:tc>
          <w:tcPr>
            <w:tcW w:type="dxa" w:w="1881"/>
          </w:tcPr>
          <w:p>
            <w:r>
              <w:t>0.955556 +/- 0.054433</w:t>
            </w:r>
          </w:p>
        </w:tc>
        <w:tc>
          <w:tcPr>
            <w:tcW w:type="dxa" w:w="1881"/>
          </w:tcPr>
          <w:p>
            <w:r>
              <w:t>0.198534 +/- 0.007721</w:t>
            </w:r>
          </w:p>
        </w:tc>
        <w:tc>
          <w:tcPr>
            <w:tcW w:type="dxa" w:w="1881"/>
          </w:tcPr>
          <w:p>
            <w:r>
              <w:t>0.864762 +/- 0.126548</w:t>
            </w:r>
          </w:p>
        </w:tc>
        <w:tc>
          <w:tcPr>
            <w:tcW w:type="dxa" w:w="1881"/>
          </w:tcPr>
          <w:p>
            <w:r>
              <w:t>0.445488 +/- 0.008644</w:t>
            </w:r>
          </w:p>
        </w:tc>
      </w:tr>
      <w:tr>
        <w:tc>
          <w:tcPr>
            <w:tcW w:type="dxa" w:w="1881"/>
          </w:tcPr>
          <w:p>
            <w:r>
              <w:t>Geomodel ablation</w:t>
            </w:r>
          </w:p>
        </w:tc>
        <w:tc>
          <w:tcPr>
            <w:tcW w:type="dxa" w:w="1881"/>
          </w:tcPr>
          <w:p>
            <w:r>
              <w:t>0.933333 +/- 0.054433</w:t>
            </w:r>
          </w:p>
        </w:tc>
        <w:tc>
          <w:tcPr>
            <w:tcW w:type="dxa" w:w="1881"/>
          </w:tcPr>
          <w:p>
            <w:r>
              <w:t>0.205308 +/- 0.003348</w:t>
            </w:r>
          </w:p>
        </w:tc>
        <w:tc>
          <w:tcPr>
            <w:tcW w:type="dxa" w:w="1881"/>
          </w:tcPr>
          <w:p>
            <w:r>
              <w:t>0.822857 +/- 0.027994</w:t>
            </w:r>
          </w:p>
        </w:tc>
        <w:tc>
          <w:tcPr>
            <w:tcW w:type="dxa" w:w="1881"/>
          </w:tcPr>
          <w:p>
            <w:r>
              <w:t>0.453095 +/- 0.003680</w:t>
            </w:r>
          </w:p>
        </w:tc>
      </w:tr>
      <w:tr>
        <w:tc>
          <w:tcPr>
            <w:tcW w:type="dxa" w:w="1881"/>
          </w:tcPr>
          <w:p>
            <w:r>
              <w:t>No spatial zoning</w:t>
            </w:r>
          </w:p>
        </w:tc>
        <w:tc>
          <w:tcPr>
            <w:tcW w:type="dxa" w:w="1881"/>
          </w:tcPr>
          <w:p>
            <w:r>
              <w:t>0.377777 +/- 0.054433</w:t>
            </w:r>
          </w:p>
        </w:tc>
        <w:tc>
          <w:tcPr>
            <w:tcW w:type="dxa" w:w="1881"/>
          </w:tcPr>
          <w:p>
            <w:r>
              <w:t>0.277928 +/- 0.015162</w:t>
            </w:r>
          </w:p>
        </w:tc>
        <w:tc>
          <w:tcPr>
            <w:tcW w:type="dxa" w:w="1881"/>
          </w:tcPr>
          <w:p>
            <w:r>
              <w:t>0.080000 +/- 0.160000</w:t>
            </w:r>
          </w:p>
        </w:tc>
        <w:tc>
          <w:tcPr>
            <w:tcW w:type="dxa" w:w="1881"/>
          </w:tcPr>
          <w:p>
            <w:r>
              <w:t>0.526994 +/- 0.014348</w:t>
            </w:r>
          </w:p>
        </w:tc>
      </w:tr>
    </w:tbl>
    <w:p>
      <w:pPr>
        <w:pStyle w:val="ListNumber"/>
      </w:pPr>
      <w:r>
        <w:t>[Moderate] On the 36-borehole dataset, geomodel-aware achieved the highest AUC stability (1.000000 +/- 0.000000).</w:t>
      </w:r>
    </w:p>
    <w:p>
      <w:pPr>
        <w:pStyle w:val="ListNumber"/>
      </w:pPr>
      <w:r>
        <w:t>[Moderate] Hybrid-augmented provided the best calibration/RMSE trade-off among top-performing models (Brier 0.198534; RMSE 0.445488).</w:t>
      </w:r>
    </w:p>
    <w:p>
      <w:pPr>
        <w:pStyle w:val="ListNumber"/>
      </w:pPr>
      <w:r>
        <w:t>[Moderate] Relative to baseline, hybrid-augmented improved AUC by +0.311111 and reduced Brier by 17.5% (0.240584 -&gt; 0.198534).</w:t>
      </w:r>
    </w:p>
    <w:p>
      <w:pPr>
        <w:pStyle w:val="ListNumber"/>
      </w:pPr>
      <w:r>
        <w:t>[Moderate] Removing spatial zoning caused major regression (AUC 0.377777; F1 0.080000).</w:t>
      </w:r>
    </w:p>
    <w:p>
      <w:pPr/>
      <w:r>
        <w:t>[Exploratory] On the 28-borehole dataset, multiple models reached ceiling-level AUC (=1.0). [Exploratory] Therefore, calibration and error metrics were more discriminative than rank-only metrics.</w:t>
      </w:r>
    </w:p>
    <w:p>
      <w:pPr>
        <w:pStyle w:val="Heading3"/>
      </w:pPr>
      <w:r>
        <w:t>4.3 Ablation Findings</w:t>
      </w:r>
    </w:p>
    <w:p>
      <w:pPr>
        <w:pStyle w:val="ListNumber"/>
      </w:pPr>
      <w:r>
        <w:t>[Moderate] Spatial zoning had the strongest positive contribution, confirmed by severe metric drop in the no-zoning variant.</w:t>
      </w:r>
    </w:p>
    <w:p>
      <w:pPr>
        <w:pStyle w:val="ListNumber"/>
      </w:pPr>
      <w:r>
        <w:t>[Exploratory] The pinch-out-specific branch did not show stable gain on the current fixed split and appears data-dependent.</w:t>
      </w:r>
    </w:p>
    <w:p>
      <w:pPr>
        <w:pStyle w:val="ListNumber"/>
      </w:pPr>
      <w:r>
        <w:t>[Moderate] The upgraded hybrid feature construction remained robust in multi-seed runs and is retained as the default hybrid candidate.</w:t>
      </w:r>
    </w:p>
    <w:p>
      <w:pPr>
        <w:pStyle w:val="Heading3"/>
      </w:pPr>
      <w:r>
        <w:t>4.4 [Exploratory] Result Section Usage Notes</w:t>
      </w:r>
    </w:p>
    <w:p>
      <w:pPr>
        <w:pStyle w:val="Caption"/>
      </w:pPr>
      <w:r>
        <w:t>Table 1 should map to the scenario-level indicator output table at the beginning of Section 4.</w:t>
      </w:r>
    </w:p>
    <w:p>
      <w:pPr>
        <w:pStyle w:val="Caption"/>
      </w:pPr>
      <w:r>
        <w:t>Table 2 should map to the single-split comparison listed in Section 4.1.</w:t>
      </w:r>
    </w:p>
    <w:p>
      <w:pPr>
        <w:pStyle w:val="Caption"/>
      </w:pPr>
      <w:r>
        <w:t>Table 3 should map to the 36-borehole multi-seed summary listed in Section 4.2.</w:t>
      </w:r>
    </w:p>
    <w:p>
      <w:pPr>
        <w:pStyle w:val="Caption"/>
      </w:pPr>
      <w:r>
        <w:t>Figure references should be aligned to the current draft caption set in Section 5 (Figure 1 to Figure 5).</w:t>
      </w:r>
    </w:p>
    <w:p>
      <w:pPr>
        <w:pStyle w:val="ListBullet"/>
      </w:pPr>
      <w:r>
        <w:t>Robustness statements should cite docs/experiments/week4_multi_seed_stability.md.</w:t>
      </w:r>
    </w:p>
    <w:p>
      <w:pPr/>
      <w:r>
        <w:t>[Exploratory] Data sources: docs/experiments/comparison_table.md; docs/experiments/week4_multi_seed_stability.md; data/experiments/results/week4_multi_seed_stability/stability_model_summary.csv.</w:t>
      </w:r>
    </w:p>
    <w:p>
      <w:pPr>
        <w:pStyle w:val="Heading2"/>
      </w:pPr>
      <w:r>
        <w:t>5. Current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62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Workflow of the new MPI research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7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i_s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RSI-PhaseField stability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94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_depth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BRI trend under depth and energy factors.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944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_stress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ASI-UST stress profile.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376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i_pan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37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RSI/BRI/ASI/MPI panels.</w:t>
      </w:r>
    </w:p>
    <w:p>
      <w:pPr>
        <w:pStyle w:val="Heading2"/>
      </w:pPr>
      <w:r>
        <w:t>6. Limitations and Next Submission Step</w:t>
      </w:r>
    </w:p>
    <w:p>
      <w:pPr>
        <w:pStyle w:val="Heading3"/>
      </w:pPr>
      <w:r>
        <w:t>6.1 Main Limitations</w:t>
      </w:r>
    </w:p>
    <w:p>
      <w:pPr/>
      <w:r>
        <w:t>[Exploratory] Current values are generated from reproducibility-oriented scenarios and two frozen research datasets. [Moderate] While these settings are suitable for method validation, they are not yet sufficient for final field-deployment claims across heterogeneous mines.</w:t>
      </w:r>
    </w:p>
    <w:p>
      <w:pPr/>
      <w:r>
        <w:t>[Exploratory] The sample scale remains modest, especially for high-variance events in microseismic branches. [Exploratory] Some ablation conclusions (e.g., pinch-out-specific contribution) should therefore be interpreted as split- and dataset-dependent rather than universally stable.</w:t>
      </w:r>
    </w:p>
    <w:p>
      <w:pPr>
        <w:pStyle w:val="Heading3"/>
      </w:pPr>
      <w:r>
        <w:t>6.2 Practical Implications</w:t>
      </w:r>
    </w:p>
    <w:p>
      <w:pPr/>
      <w:r>
        <w:t>[Moderate] Despite current scale limits, two practical implications are already consistent across runs: (1) spatial zoning is a high-impact component, and (2) geomodel-aware/hybrid branches significantly outperform plain kriging on the 36-borehole setting.</w:t>
      </w:r>
    </w:p>
    <w:p>
      <w:pPr/>
      <w:r>
        <w:t>[Moderate] The Stage E pipeline has now passed in both in-process and HTTP modes under explicit threshold governance, which supports engineering reproducibility for subsequent field-validation cycles.</w:t>
      </w:r>
    </w:p>
    <w:p>
      <w:pPr>
        <w:pStyle w:val="Heading3"/>
      </w:pPr>
      <w:r>
        <w:t>6.3 Next Submission Step</w:t>
      </w:r>
    </w:p>
    <w:p>
      <w:pPr/>
      <w:r>
        <w:t>[Moderate] The next submission package will include: (a) expanded field-labeled experiments, (b) paired significance tests with effect sizes, (c) updated figure/table numbering aligned to journal templates, and (d) finalized references with complete DOI coverage.</w:t>
      </w:r>
    </w:p>
    <w:p>
      <w:pPr/>
      <w:r>
        <w:t>[Moderate] All reported metrics will continue to bind dataset_version, split_id, seed, and model_type to maintain strict traceability from manuscript statements to archived artifacts.</w:t>
      </w:r>
    </w:p>
    <w:p>
      <w:pPr>
        <w:pStyle w:val="Heading2"/>
      </w:pPr>
      <w:r>
        <w:t>7. Conclusions</w:t>
      </w:r>
    </w:p>
    <w:p>
      <w:pPr/>
      <w:r>
        <w:t>[Moderate] This study establishes a reproducible MPI research stack that integrates RSI-PhaseField, ASI-UST, and microseismic-driven BRI with explicit evidence tracking. [Moderate] Multi-seed evaluations show robust gains over kriging baselines on the expanded 36-borehole dataset.</w:t>
      </w:r>
    </w:p>
    <w:p>
      <w:pPr/>
      <w:r>
        <w:t>[Moderate] Ablation evidence indicates that spatial zoning is a critical contributor, while pinch-out-specific gains require larger-sample confirmation. [Exploratory] The manuscript is now upgraded from pipeline-level placeholder results to structured method-and-result reporting suitable for submission polishing.</w:t>
      </w:r>
    </w:p>
    <w:p>
      <w:pPr>
        <w:pStyle w:val="Heading1"/>
      </w:pPr>
      <w:r>
        <w:t>References</w:t>
      </w:r>
    </w:p>
    <w:p>
      <w:pPr>
        <w:spacing w:after="0" w:before="0"/>
        <w:ind w:left="360" w:hanging="360"/>
      </w:pPr>
      <w:r>
        <w:t>1. Francfort, G. A., &amp; Marigo, J.-J. (1998). Revisiting brittle fracture as an energy minimization problem. Journal of the Mechanics and Physics of Solids, 46(8), 1319-1342. https://doi.org/10.1016/S0022-5096(98)00034-9</w:t>
      </w:r>
    </w:p>
    <w:p>
      <w:pPr>
        <w:spacing w:after="0" w:before="0"/>
        <w:ind w:left="360" w:hanging="360"/>
      </w:pPr>
      <w:r>
        <w:t>2. Miehe, C., Hofacker, M., &amp; Welschinger, F. (2010). A phase field model for rate-independent crack propagation: Robust algorithmic implementation based on operator splits. Computer Methods in Applied Mechanics and Engineering, 199(45-48), 2765-2778. https://doi.org/10.1016/j.cma.2010.04.011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120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