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74F3" w14:textId="3A223A6C" w:rsidR="007E22B6" w:rsidRDefault="00D76BC3">
      <w:pPr>
        <w:jc w:val="center"/>
        <w:rPr>
          <w:lang w:eastAsia="zh-CN"/>
        </w:rPr>
      </w:pPr>
      <w:proofErr w:type="gramStart"/>
      <w:r w:rsidRPr="00D76BC3">
        <w:rPr>
          <w:rFonts w:ascii="黑体" w:eastAsia="黑体" w:hAnsi="黑体" w:hint="eastAsia"/>
          <w:b/>
          <w:sz w:val="36"/>
          <w:lang w:eastAsia="zh-CN"/>
        </w:rPr>
        <w:t>基于覆岩扰动</w:t>
      </w:r>
      <w:proofErr w:type="gramEnd"/>
      <w:r w:rsidRPr="00D76BC3">
        <w:rPr>
          <w:rFonts w:ascii="黑体" w:eastAsia="黑体" w:hAnsi="黑体" w:hint="eastAsia"/>
          <w:b/>
          <w:sz w:val="36"/>
          <w:lang w:eastAsia="zh-CN"/>
        </w:rPr>
        <w:t>指数约束的采区多目标协同规划方法</w:t>
      </w:r>
    </w:p>
    <w:p w14:paraId="7072887C" w14:textId="77777777" w:rsidR="007E22B6" w:rsidRDefault="00000000">
      <w:pPr>
        <w:jc w:val="center"/>
        <w:rPr>
          <w:lang w:eastAsia="zh-CN"/>
        </w:rPr>
      </w:pPr>
      <w:r>
        <w:rPr>
          <w:rFonts w:ascii="宋体" w:hAnsi="宋体"/>
          <w:sz w:val="22"/>
          <w:lang w:eastAsia="zh-CN"/>
        </w:rPr>
        <w:t>作者：李杨，王楠，刘浩天（通信作者）</w:t>
      </w:r>
    </w:p>
    <w:p w14:paraId="74EAE0C6" w14:textId="77777777" w:rsidR="007E22B6" w:rsidRDefault="00000000">
      <w:pPr>
        <w:jc w:val="center"/>
        <w:rPr>
          <w:lang w:eastAsia="zh-CN"/>
        </w:rPr>
      </w:pPr>
      <w:r>
        <w:rPr>
          <w:rFonts w:ascii="宋体" w:hAnsi="宋体"/>
          <w:sz w:val="22"/>
          <w:lang w:eastAsia="zh-CN"/>
        </w:rPr>
        <w:t>单位：中国矿业大学（北京）能源与矿业学院，北京 100083</w:t>
      </w:r>
    </w:p>
    <w:p w14:paraId="3655B306"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10C1CA18"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7572B72F" w14:textId="5696716B" w:rsidR="007E22B6" w:rsidRDefault="00000000">
      <w:pPr>
        <w:spacing w:after="60"/>
        <w:rPr>
          <w:lang w:eastAsia="zh-CN"/>
        </w:rPr>
      </w:pPr>
      <w:r>
        <w:rPr>
          <w:rFonts w:ascii="黑体" w:eastAsia="黑体" w:hAnsi="黑体"/>
          <w:b/>
          <w:lang w:eastAsia="zh-CN"/>
        </w:rPr>
        <w:t>摘要：</w:t>
      </w:r>
      <w:r w:rsidR="00DE4743" w:rsidRPr="00DE4743">
        <w:rPr>
          <w:rFonts w:ascii="宋体" w:hAnsi="宋体"/>
          <w:lang w:eastAsia="zh-CN"/>
        </w:rPr>
        <w:t>针对采区规划中地质信息离散、扰动约束异构以及方案生成与后续评价脱节等问题，提出一种</w:t>
      </w:r>
      <w:proofErr w:type="gramStart"/>
      <w:r w:rsidR="00DE4743" w:rsidRPr="00DE4743">
        <w:rPr>
          <w:rFonts w:ascii="宋体" w:hAnsi="宋体"/>
          <w:lang w:eastAsia="zh-CN"/>
        </w:rPr>
        <w:t>基于覆岩扰动</w:t>
      </w:r>
      <w:proofErr w:type="gramEnd"/>
      <w:r w:rsidR="00DE4743" w:rsidRPr="00DE4743">
        <w:rPr>
          <w:rFonts w:ascii="宋体" w:hAnsi="宋体"/>
          <w:lang w:eastAsia="zh-CN"/>
        </w:rPr>
        <w:t>指数（overburden disturbance index，ODI）约束的采区多目标协同规划方法。首先，以采区边界、钻孔与分层信息为基础，构建有效</w:t>
      </w:r>
      <w:proofErr w:type="gramStart"/>
      <w:r w:rsidR="00DE4743" w:rsidRPr="00DE4743">
        <w:rPr>
          <w:rFonts w:ascii="宋体" w:hAnsi="宋体"/>
          <w:lang w:eastAsia="zh-CN"/>
        </w:rPr>
        <w:t>布置域与连续</w:t>
      </w:r>
      <w:proofErr w:type="gramEnd"/>
      <w:r w:rsidR="00DE4743" w:rsidRPr="00DE4743">
        <w:rPr>
          <w:rFonts w:ascii="宋体" w:hAnsi="宋体"/>
          <w:lang w:eastAsia="zh-CN"/>
        </w:rPr>
        <w:t>参数场，实现离散地质信息向可计算规划约束的转化；其次，将地表沉陷、含水层扰动和上行开采等多场景风险统一组织为 ODI 约束指标，并以前</w:t>
      </w:r>
      <w:proofErr w:type="gramStart"/>
      <w:r w:rsidR="00DE4743" w:rsidRPr="00DE4743">
        <w:rPr>
          <w:rFonts w:ascii="宋体" w:hAnsi="宋体"/>
          <w:lang w:eastAsia="zh-CN"/>
        </w:rPr>
        <w:t>置方式</w:t>
      </w:r>
      <w:proofErr w:type="gramEnd"/>
      <w:r w:rsidR="00DE4743" w:rsidRPr="00DE4743">
        <w:rPr>
          <w:rFonts w:ascii="宋体" w:hAnsi="宋体"/>
          <w:lang w:eastAsia="zh-CN"/>
        </w:rPr>
        <w:t>嵌入候选方案生成过程；进一步，围绕工程效率、资源回收和</w:t>
      </w:r>
      <w:proofErr w:type="gramStart"/>
      <w:r w:rsidR="00DE4743" w:rsidRPr="00DE4743">
        <w:rPr>
          <w:rFonts w:ascii="宋体" w:hAnsi="宋体"/>
          <w:lang w:eastAsia="zh-CN"/>
        </w:rPr>
        <w:t>覆岩</w:t>
      </w:r>
      <w:proofErr w:type="gramEnd"/>
      <w:r w:rsidR="00DE4743" w:rsidRPr="00DE4743">
        <w:rPr>
          <w:rFonts w:ascii="宋体" w:hAnsi="宋体"/>
          <w:lang w:eastAsia="zh-CN"/>
        </w:rPr>
        <w:t>扰动控制构建多目标规划模型，形成权重可调的方案比选与优选方法。以研究区样</w:t>
      </w:r>
      <w:proofErr w:type="gramStart"/>
      <w:r w:rsidR="00DE4743" w:rsidRPr="00DE4743">
        <w:rPr>
          <w:rFonts w:ascii="宋体" w:hAnsi="宋体"/>
          <w:lang w:eastAsia="zh-CN"/>
        </w:rPr>
        <w:t>例开展</w:t>
      </w:r>
      <w:proofErr w:type="gramEnd"/>
      <w:r w:rsidR="00DE4743" w:rsidRPr="00DE4743">
        <w:rPr>
          <w:rFonts w:ascii="宋体" w:hAnsi="宋体"/>
          <w:lang w:eastAsia="zh-CN"/>
        </w:rPr>
        <w:t>验证。结果表明：所提方法能够实现采区边界约束处理、</w:t>
      </w:r>
      <w:proofErr w:type="gramStart"/>
      <w:r w:rsidR="00DE4743" w:rsidRPr="00DE4743">
        <w:rPr>
          <w:rFonts w:ascii="宋体" w:hAnsi="宋体"/>
          <w:lang w:eastAsia="zh-CN"/>
        </w:rPr>
        <w:t>参数场</w:t>
      </w:r>
      <w:proofErr w:type="gramEnd"/>
      <w:r w:rsidR="00DE4743" w:rsidRPr="00DE4743">
        <w:rPr>
          <w:rFonts w:ascii="宋体" w:hAnsi="宋体"/>
          <w:lang w:eastAsia="zh-CN"/>
        </w:rPr>
        <w:t>构建、ODI 风险评价与规划方案生成的协同联动；在样</w:t>
      </w:r>
      <w:proofErr w:type="gramStart"/>
      <w:r w:rsidR="00DE4743" w:rsidRPr="00DE4743">
        <w:rPr>
          <w:rFonts w:ascii="宋体" w:hAnsi="宋体"/>
          <w:lang w:eastAsia="zh-CN"/>
        </w:rPr>
        <w:t>例条件</w:t>
      </w:r>
      <w:proofErr w:type="gramEnd"/>
      <w:r w:rsidR="00DE4743" w:rsidRPr="00DE4743">
        <w:rPr>
          <w:rFonts w:ascii="宋体" w:hAnsi="宋体"/>
          <w:lang w:eastAsia="zh-CN"/>
        </w:rPr>
        <w:t xml:space="preserve">下，以 15 </w:t>
      </w:r>
      <w:proofErr w:type="gramStart"/>
      <w:r w:rsidR="00DE4743" w:rsidRPr="00DE4743">
        <w:rPr>
          <w:rFonts w:ascii="宋体" w:hAnsi="宋体"/>
          <w:lang w:eastAsia="zh-CN"/>
        </w:rPr>
        <w:t>个</w:t>
      </w:r>
      <w:proofErr w:type="gramEnd"/>
      <w:r w:rsidR="00DE4743" w:rsidRPr="00DE4743">
        <w:rPr>
          <w:rFonts w:ascii="宋体" w:hAnsi="宋体"/>
          <w:lang w:eastAsia="zh-CN"/>
        </w:rPr>
        <w:t xml:space="preserve">钻孔样点为输入，形成 3 </w:t>
      </w:r>
      <w:proofErr w:type="gramStart"/>
      <w:r w:rsidR="00DE4743" w:rsidRPr="00DE4743">
        <w:rPr>
          <w:rFonts w:ascii="宋体" w:hAnsi="宋体"/>
          <w:lang w:eastAsia="zh-CN"/>
        </w:rPr>
        <w:t>个</w:t>
      </w:r>
      <w:proofErr w:type="gramEnd"/>
      <w:r w:rsidR="00DE4743" w:rsidRPr="00DE4743">
        <w:rPr>
          <w:rFonts w:ascii="宋体" w:hAnsi="宋体"/>
          <w:lang w:eastAsia="zh-CN"/>
        </w:rPr>
        <w:t>工作面和 11 条巷道的结构化布局结果，并可继续传递至采掘接续与工程经济评价环节，构成</w:t>
      </w:r>
      <w:proofErr w:type="gramStart"/>
      <w:r w:rsidR="00DE4743" w:rsidRPr="00DE4743">
        <w:rPr>
          <w:rFonts w:ascii="宋体" w:hAnsi="宋体"/>
          <w:lang w:eastAsia="zh-CN"/>
        </w:rPr>
        <w:t>由风险</w:t>
      </w:r>
      <w:proofErr w:type="gramEnd"/>
      <w:r w:rsidR="00DE4743" w:rsidRPr="00DE4743">
        <w:rPr>
          <w:rFonts w:ascii="宋体" w:hAnsi="宋体"/>
          <w:lang w:eastAsia="zh-CN"/>
        </w:rPr>
        <w:t>约束到经济指标的连续决策链。研究结果表明，该方法可为采区规划中的多目标权衡、风险前置控制与方案优选提供统一的计算框架和技术路径。</w:t>
      </w:r>
    </w:p>
    <w:p w14:paraId="4CEA7651" w14:textId="2F8A0DFD"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w:t>
      </w:r>
      <w:proofErr w:type="gramStart"/>
      <w:r w:rsidR="00D76BC3" w:rsidRPr="00D76BC3">
        <w:rPr>
          <w:rFonts w:ascii="宋体" w:hAnsi="宋体" w:hint="eastAsia"/>
          <w:lang w:eastAsia="zh-CN"/>
        </w:rPr>
        <w:t>覆岩扰动</w:t>
      </w:r>
      <w:proofErr w:type="gramEnd"/>
      <w:r w:rsidR="00D76BC3" w:rsidRPr="00D76BC3">
        <w:rPr>
          <w:rFonts w:ascii="宋体" w:hAnsi="宋体" w:hint="eastAsia"/>
          <w:lang w:eastAsia="zh-CN"/>
        </w:rPr>
        <w:t>指数；多目标协同规划；风险前置约束；采掘接续；工程经济评价</w:t>
      </w:r>
    </w:p>
    <w:p w14:paraId="59C9DF29" w14:textId="15024F15" w:rsidR="007E22B6" w:rsidRDefault="00DE4743">
      <w:pPr>
        <w:spacing w:before="40" w:after="40"/>
        <w:jc w:val="center"/>
      </w:pPr>
      <w:r w:rsidRPr="00DE4743">
        <w:rPr>
          <w:b/>
          <w:sz w:val="26"/>
        </w:rPr>
        <w:t>Multi-objective collaborative planning method for mining district constrained by overburden disturbance index</w:t>
      </w:r>
    </w:p>
    <w:p w14:paraId="30830AA7" w14:textId="77777777" w:rsidR="007E22B6" w:rsidRDefault="00000000">
      <w:pPr>
        <w:spacing w:after="40"/>
        <w:jc w:val="center"/>
      </w:pPr>
      <w:r>
        <w:t>LI Yang, WANG Nan, LIU Haotian (Corresponding author)</w:t>
      </w:r>
    </w:p>
    <w:p w14:paraId="2E3C6B95" w14:textId="77777777" w:rsidR="007E22B6" w:rsidRDefault="00000000">
      <w:pPr>
        <w:spacing w:after="40"/>
        <w:jc w:val="center"/>
      </w:pPr>
      <w:r>
        <w:t>School of Energy and Mining Engineering, China University of Mining and Technology-Beijing, Beijing 100083, China</w:t>
      </w:r>
    </w:p>
    <w:p w14:paraId="39A6E1A5" w14:textId="77777777" w:rsidR="00DE4743" w:rsidRDefault="00000000">
      <w:pPr>
        <w:spacing w:after="60"/>
      </w:pPr>
      <w:r>
        <w:rPr>
          <w:b/>
        </w:rPr>
        <w:t xml:space="preserve">Abstract: </w:t>
      </w:r>
      <w:r w:rsidR="00DE4743" w:rsidRPr="00DE4743">
        <w:t xml:space="preserve">To address the problems of discrete geological information, heterogeneous disturbance constraints, and the </w:t>
      </w:r>
      <w:proofErr w:type="gramStart"/>
      <w:r w:rsidR="00DE4743" w:rsidRPr="00DE4743">
        <w:t>disconnection</w:t>
      </w:r>
      <w:proofErr w:type="gramEnd"/>
      <w:r w:rsidR="00DE4743" w:rsidRPr="00DE4743">
        <w:t xml:space="preserve">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optimization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optimization in mining-district planning.</w:t>
      </w:r>
    </w:p>
    <w:p w14:paraId="15E87906" w14:textId="6DDF57F0"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3B3F7A18" w14:textId="77777777" w:rsidR="007E22B6" w:rsidRDefault="007E22B6">
      <w:pPr>
        <w:sectPr w:rsidR="007E22B6" w:rsidSect="009330B5">
          <w:pgSz w:w="12240" w:h="15840"/>
          <w:pgMar w:top="1247" w:right="1077" w:bottom="1247" w:left="1077" w:header="720" w:footer="720" w:gutter="0"/>
          <w:cols w:space="425"/>
          <w:docGrid w:linePitch="360"/>
        </w:sectPr>
      </w:pPr>
    </w:p>
    <w:p w14:paraId="0D3BB9EC" w14:textId="77777777" w:rsidR="007E22B6" w:rsidRPr="00A046E0" w:rsidRDefault="00000000" w:rsidP="00A046E0">
      <w:pPr>
        <w:pStyle w:val="1"/>
        <w:rPr>
          <w:rFonts w:ascii="宋体" w:hAnsi="宋体"/>
          <w:lang w:eastAsia="zh-CN"/>
        </w:rPr>
      </w:pPr>
      <w:r w:rsidRPr="00A046E0">
        <w:rPr>
          <w:rFonts w:ascii="宋体" w:hAnsi="宋体"/>
          <w:lang w:eastAsia="zh-CN"/>
        </w:rPr>
        <w:t>0 引言</w:t>
      </w:r>
    </w:p>
    <w:p w14:paraId="36528295" w14:textId="77777777" w:rsidR="00D76BC3" w:rsidRDefault="00D76BC3" w:rsidP="00D76BC3">
      <w:pPr>
        <w:spacing w:after="40"/>
        <w:ind w:firstLine="420"/>
        <w:rPr>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w:t>
      </w:r>
      <w:proofErr w:type="gramStart"/>
      <w:r>
        <w:rPr>
          <w:rFonts w:hint="eastAsia"/>
          <w:lang w:eastAsia="zh-CN"/>
        </w:rPr>
        <w:t>源数据</w:t>
      </w:r>
      <w:proofErr w:type="gramEnd"/>
      <w:r>
        <w:rPr>
          <w:rFonts w:hint="eastAsia"/>
          <w:lang w:eastAsia="zh-CN"/>
        </w:rPr>
        <w:t>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w:t>
      </w:r>
      <w:proofErr w:type="gramStart"/>
      <w:r>
        <w:rPr>
          <w:rFonts w:hint="eastAsia"/>
          <w:lang w:eastAsia="zh-CN"/>
        </w:rPr>
        <w:t>规划全</w:t>
      </w:r>
      <w:proofErr w:type="gramEnd"/>
      <w:r>
        <w:rPr>
          <w:rFonts w:hint="eastAsia"/>
          <w:lang w:eastAsia="zh-CN"/>
        </w:rPr>
        <w:t>过程构建统一的数据组织、风险约束与方案决策方法，已成为煤矿规划设计由经验驱动向数据驱动和协同决策转变的重要需求。</w:t>
      </w:r>
    </w:p>
    <w:p w14:paraId="3DF66BF0" w14:textId="77777777" w:rsidR="00D76BC3" w:rsidRDefault="00D76BC3" w:rsidP="00D76BC3">
      <w:pPr>
        <w:spacing w:after="40"/>
        <w:ind w:firstLine="420"/>
        <w:rPr>
          <w:lang w:eastAsia="zh-CN"/>
        </w:rPr>
      </w:pPr>
      <w:r>
        <w:rPr>
          <w:rFonts w:hint="eastAsia"/>
          <w:lang w:eastAsia="zh-CN"/>
        </w:rPr>
        <w:t>围绕</w:t>
      </w:r>
      <w:proofErr w:type="gramStart"/>
      <w:r>
        <w:rPr>
          <w:rFonts w:hint="eastAsia"/>
          <w:lang w:eastAsia="zh-CN"/>
        </w:rPr>
        <w:t>采动覆岩</w:t>
      </w:r>
      <w:proofErr w:type="gramEnd"/>
      <w:r>
        <w:rPr>
          <w:rFonts w:hint="eastAsia"/>
          <w:lang w:eastAsia="zh-CN"/>
        </w:rPr>
        <w:t>响应、地表沉陷、导水裂隙带发育、含水层受扰及上行开采可行性等问题，已有研究从采动应力重分布、裂隙演化规律、</w:t>
      </w:r>
      <w:proofErr w:type="gramStart"/>
      <w:r>
        <w:rPr>
          <w:rFonts w:hint="eastAsia"/>
          <w:lang w:eastAsia="zh-CN"/>
        </w:rPr>
        <w:t>覆岩失稳</w:t>
      </w:r>
      <w:proofErr w:type="gramEnd"/>
      <w:r>
        <w:rPr>
          <w:rFonts w:hint="eastAsia"/>
          <w:lang w:eastAsia="zh-CN"/>
        </w:rPr>
        <w:t>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24EC7B56" w14:textId="77777777" w:rsidR="00D76BC3" w:rsidRDefault="00D76BC3" w:rsidP="00D76BC3">
      <w:pPr>
        <w:spacing w:after="40"/>
        <w:ind w:firstLine="420"/>
        <w:rPr>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AF3E158" w14:textId="77777777" w:rsidR="00D76BC3" w:rsidRDefault="00D76BC3" w:rsidP="00D76BC3">
      <w:pPr>
        <w:spacing w:after="40"/>
        <w:ind w:firstLine="420"/>
        <w:rPr>
          <w:lang w:eastAsia="zh-CN"/>
        </w:rPr>
      </w:pPr>
      <w:r>
        <w:rPr>
          <w:rFonts w:hint="eastAsia"/>
          <w:lang w:eastAsia="zh-CN"/>
        </w:rPr>
        <w:t>从采区规划的工程语境看，规划对象并不是孤立存在的几何图形，而是受地质条件、保护约束、资源价值和</w:t>
      </w:r>
      <w:proofErr w:type="gramStart"/>
      <w:r>
        <w:rPr>
          <w:rFonts w:hint="eastAsia"/>
          <w:lang w:eastAsia="zh-CN"/>
        </w:rPr>
        <w:t>覆岩</w:t>
      </w:r>
      <w:proofErr w:type="gramEnd"/>
      <w:r>
        <w:rPr>
          <w:rFonts w:hint="eastAsia"/>
          <w:lang w:eastAsia="zh-CN"/>
        </w:rPr>
        <w:t>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w:t>
      </w:r>
      <w:proofErr w:type="gramStart"/>
      <w:r>
        <w:rPr>
          <w:rFonts w:hint="eastAsia"/>
          <w:lang w:eastAsia="zh-CN"/>
        </w:rPr>
        <w:t>单阶段</w:t>
      </w:r>
      <w:proofErr w:type="gramEnd"/>
      <w:r>
        <w:rPr>
          <w:rFonts w:hint="eastAsia"/>
          <w:lang w:eastAsia="zh-CN"/>
        </w:rPr>
        <w:t>输出转变为可持续传递的上游决策对象。</w:t>
      </w:r>
    </w:p>
    <w:p w14:paraId="622337D3" w14:textId="77777777" w:rsidR="00D76BC3" w:rsidRDefault="00D76BC3" w:rsidP="00D76BC3">
      <w:pPr>
        <w:spacing w:after="40"/>
        <w:ind w:firstLine="420"/>
        <w:rPr>
          <w:lang w:eastAsia="zh-CN"/>
        </w:rPr>
      </w:pPr>
      <w:r>
        <w:rPr>
          <w:rFonts w:hint="eastAsia"/>
          <w:lang w:eastAsia="zh-CN"/>
        </w:rPr>
        <w:t>基于此，本文提出一种</w:t>
      </w:r>
      <w:proofErr w:type="gramStart"/>
      <w:r>
        <w:rPr>
          <w:rFonts w:hint="eastAsia"/>
          <w:lang w:eastAsia="zh-CN"/>
        </w:rPr>
        <w:t>基于覆岩扰动</w:t>
      </w:r>
      <w:proofErr w:type="gramEnd"/>
      <w:r>
        <w:rPr>
          <w:rFonts w:hint="eastAsia"/>
          <w:lang w:eastAsia="zh-CN"/>
        </w:rPr>
        <w:t>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w:t>
      </w:r>
      <w:proofErr w:type="gramStart"/>
      <w:r>
        <w:rPr>
          <w:rFonts w:hint="eastAsia"/>
          <w:lang w:eastAsia="zh-CN"/>
        </w:rPr>
        <w:t>布置域与连续</w:t>
      </w:r>
      <w:proofErr w:type="gramEnd"/>
      <w:r>
        <w:rPr>
          <w:rFonts w:hint="eastAsia"/>
          <w:lang w:eastAsia="zh-CN"/>
        </w:rPr>
        <w:t>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w:t>
      </w:r>
      <w:proofErr w:type="gramStart"/>
      <w:r>
        <w:rPr>
          <w:rFonts w:hint="eastAsia"/>
          <w:lang w:eastAsia="zh-CN"/>
        </w:rPr>
        <w:t>置方式</w:t>
      </w:r>
      <w:proofErr w:type="gramEnd"/>
      <w:r>
        <w:rPr>
          <w:rFonts w:hint="eastAsia"/>
          <w:lang w:eastAsia="zh-CN"/>
        </w:rPr>
        <w:t>嵌入候选方案生成过程；在此基础上，围绕工程效率、资源回收和</w:t>
      </w:r>
      <w:proofErr w:type="gramStart"/>
      <w:r>
        <w:rPr>
          <w:rFonts w:hint="eastAsia"/>
          <w:lang w:eastAsia="zh-CN"/>
        </w:rPr>
        <w:t>覆岩</w:t>
      </w:r>
      <w:proofErr w:type="gramEnd"/>
      <w:r>
        <w:rPr>
          <w:rFonts w:hint="eastAsia"/>
          <w:lang w:eastAsia="zh-CN"/>
        </w:rPr>
        <w:t>扰动控制构建多目标协同规划模型，形成工程效率优先、资源回收优先、</w:t>
      </w:r>
      <w:proofErr w:type="gramStart"/>
      <w:r>
        <w:rPr>
          <w:rFonts w:hint="eastAsia"/>
          <w:lang w:eastAsia="zh-CN"/>
        </w:rPr>
        <w:t>覆岩扰动</w:t>
      </w:r>
      <w:proofErr w:type="gramEnd"/>
      <w:r>
        <w:rPr>
          <w:rFonts w:hint="eastAsia"/>
          <w:lang w:eastAsia="zh-CN"/>
        </w:rPr>
        <w:t>优先和综合权衡等多模式方案比选方法；同时，将规划结果继续传递至采掘接续与工程经济评价环节，构建</w:t>
      </w:r>
      <w:proofErr w:type="gramStart"/>
      <w:r>
        <w:rPr>
          <w:rFonts w:hint="eastAsia"/>
          <w:lang w:eastAsia="zh-CN"/>
        </w:rPr>
        <w:t>由风险</w:t>
      </w:r>
      <w:proofErr w:type="gramEnd"/>
      <w:r>
        <w:rPr>
          <w:rFonts w:hint="eastAsia"/>
          <w:lang w:eastAsia="zh-CN"/>
        </w:rPr>
        <w:t>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11CC7F6E"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w:t>
      </w:r>
      <w:proofErr w:type="gramStart"/>
      <w:r>
        <w:rPr>
          <w:rFonts w:hint="eastAsia"/>
          <w:lang w:eastAsia="zh-CN"/>
        </w:rPr>
        <w:t>布置域与连续</w:t>
      </w:r>
      <w:proofErr w:type="gramEnd"/>
      <w:r>
        <w:rPr>
          <w:rFonts w:hint="eastAsia"/>
          <w:lang w:eastAsia="zh-CN"/>
        </w:rPr>
        <w:t>参数场，建立多场景</w:t>
      </w:r>
      <w:r>
        <w:rPr>
          <w:rFonts w:hint="eastAsia"/>
          <w:lang w:eastAsia="zh-CN"/>
        </w:rPr>
        <w:t xml:space="preserve"> ODI </w:t>
      </w:r>
      <w:r>
        <w:rPr>
          <w:rFonts w:hint="eastAsia"/>
          <w:lang w:eastAsia="zh-CN"/>
        </w:rPr>
        <w:t>风险统一表达方法；构建面向工程效率、资源回收</w:t>
      </w:r>
      <w:proofErr w:type="gramStart"/>
      <w:r>
        <w:rPr>
          <w:rFonts w:hint="eastAsia"/>
          <w:lang w:eastAsia="zh-CN"/>
        </w:rPr>
        <w:t>与覆岩</w:t>
      </w:r>
      <w:proofErr w:type="gramEnd"/>
      <w:r>
        <w:rPr>
          <w:rFonts w:hint="eastAsia"/>
          <w:lang w:eastAsia="zh-CN"/>
        </w:rPr>
        <w:t>扰动控制的多目</w:t>
      </w:r>
    </w:p>
    <w:p w14:paraId="4E2C4B33" w14:textId="0B606F77" w:rsidR="00633AE9" w:rsidRDefault="00D76BC3" w:rsidP="00D76BC3">
      <w:pPr>
        <w:spacing w:after="40"/>
        <w:ind w:firstLine="420"/>
        <w:rPr>
          <w:lang w:eastAsia="zh-CN"/>
        </w:rPr>
      </w:pPr>
      <w:r>
        <w:rPr>
          <w:rFonts w:hint="eastAsia"/>
          <w:lang w:eastAsia="zh-CN"/>
        </w:rPr>
        <w:lastRenderedPageBreak/>
        <w:t>标协同规划模型，形成多模式候选方案生成与比选机制；结合研究区案例，对</w:t>
      </w:r>
      <w:proofErr w:type="gramStart"/>
      <w:r>
        <w:rPr>
          <w:rFonts w:hint="eastAsia"/>
          <w:lang w:eastAsia="zh-CN"/>
        </w:rPr>
        <w:t>参数场</w:t>
      </w:r>
      <w:proofErr w:type="gramEnd"/>
      <w:r>
        <w:rPr>
          <w:rFonts w:hint="eastAsia"/>
          <w:lang w:eastAsia="zh-CN"/>
        </w:rPr>
        <w:t>构建结果、</w:t>
      </w:r>
      <w:r>
        <w:rPr>
          <w:rFonts w:hint="eastAsia"/>
          <w:lang w:eastAsia="zh-CN"/>
        </w:rPr>
        <w:t xml:space="preserve">ODI </w:t>
      </w:r>
      <w:r>
        <w:rPr>
          <w:rFonts w:hint="eastAsia"/>
          <w:lang w:eastAsia="zh-CN"/>
        </w:rPr>
        <w:t>风险分布、</w:t>
      </w:r>
      <w:proofErr w:type="gramStart"/>
      <w:r>
        <w:rPr>
          <w:rFonts w:hint="eastAsia"/>
          <w:lang w:eastAsia="zh-CN"/>
        </w:rPr>
        <w:t>四模式</w:t>
      </w:r>
      <w:proofErr w:type="gramEnd"/>
      <w:r>
        <w:rPr>
          <w:rFonts w:hint="eastAsia"/>
          <w:lang w:eastAsia="zh-CN"/>
        </w:rPr>
        <w:t>规划结果以及规划结果向采掘接续和工程经济评价的传递过程进行分析。研究结果可为采区规划中的多目标权衡、风险前置控制与方案优选提供统一的计算框架和技术路径</w:t>
      </w:r>
      <w:r w:rsidR="00633AE9" w:rsidRPr="00633AE9">
        <w:rPr>
          <w:lang w:eastAsia="zh-CN"/>
        </w:rPr>
        <w:t>。</w:t>
      </w:r>
    </w:p>
    <w:p w14:paraId="4E30F143"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4182D4AD" w14:textId="5BB1A498" w:rsidR="007E22B6" w:rsidRDefault="00000000" w:rsidP="00A046E0">
      <w:pPr>
        <w:pStyle w:val="1"/>
        <w:rPr>
          <w:lang w:eastAsia="zh-CN"/>
        </w:rPr>
      </w:pPr>
      <w:r>
        <w:rPr>
          <w:lang w:eastAsia="zh-CN"/>
        </w:rPr>
        <w:t xml:space="preserve">1 </w:t>
      </w:r>
      <w:proofErr w:type="gramStart"/>
      <w:r w:rsidR="00532DB1" w:rsidRPr="00532DB1">
        <w:rPr>
          <w:rFonts w:hint="eastAsia"/>
          <w:lang w:eastAsia="zh-CN"/>
        </w:rPr>
        <w:t>基于覆岩扰动</w:t>
      </w:r>
      <w:proofErr w:type="gramEnd"/>
      <w:r w:rsidR="00532DB1" w:rsidRPr="00532DB1">
        <w:rPr>
          <w:rFonts w:hint="eastAsia"/>
          <w:lang w:eastAsia="zh-CN"/>
        </w:rPr>
        <w:t>指数约束的采区多目标协同规划方法</w:t>
      </w:r>
    </w:p>
    <w:p w14:paraId="5325D447" w14:textId="570B90EC" w:rsidR="007E22B6" w:rsidRDefault="00000000" w:rsidP="00A046E0">
      <w:pPr>
        <w:pStyle w:val="21"/>
        <w:rPr>
          <w:lang w:eastAsia="zh-CN"/>
        </w:rPr>
      </w:pPr>
      <w:r>
        <w:rPr>
          <w:lang w:eastAsia="zh-CN"/>
        </w:rPr>
        <w:t xml:space="preserve">1.1 </w:t>
      </w:r>
      <w:proofErr w:type="gramStart"/>
      <w:r w:rsidR="00532DB1" w:rsidRPr="00532DB1">
        <w:rPr>
          <w:rFonts w:hint="eastAsia"/>
          <w:lang w:eastAsia="zh-CN"/>
        </w:rPr>
        <w:t>覆岩扰动</w:t>
      </w:r>
      <w:proofErr w:type="gramEnd"/>
      <w:r w:rsidR="00532DB1" w:rsidRPr="00532DB1">
        <w:rPr>
          <w:rFonts w:hint="eastAsia"/>
          <w:lang w:eastAsia="zh-CN"/>
        </w:rPr>
        <w:t>约束机理与</w:t>
      </w:r>
      <w:r w:rsidR="00532DB1" w:rsidRPr="00532DB1">
        <w:rPr>
          <w:rFonts w:hint="eastAsia"/>
          <w:lang w:eastAsia="zh-CN"/>
        </w:rPr>
        <w:t xml:space="preserve"> ODI </w:t>
      </w:r>
      <w:r w:rsidR="00532DB1" w:rsidRPr="00532DB1">
        <w:rPr>
          <w:rFonts w:hint="eastAsia"/>
          <w:lang w:eastAsia="zh-CN"/>
        </w:rPr>
        <w:t>统一表达</w:t>
      </w:r>
    </w:p>
    <w:p w14:paraId="158B3FBF" w14:textId="00DCD169" w:rsidR="00E05130" w:rsidRPr="00E05130" w:rsidRDefault="009330B5" w:rsidP="00E05130">
      <w:pPr>
        <w:spacing w:after="40"/>
        <w:ind w:firstLine="420"/>
        <w:rPr>
          <w:lang w:eastAsia="zh-CN"/>
        </w:rPr>
      </w:pPr>
      <w:r w:rsidRPr="009330B5">
        <w:rPr>
          <w:rFonts w:hint="eastAsia"/>
          <w:lang w:eastAsia="zh-CN"/>
        </w:rPr>
        <w:t>采区规划的本质是在几何可实施性、资源回收</w:t>
      </w:r>
      <w:proofErr w:type="gramStart"/>
      <w:r w:rsidRPr="009330B5">
        <w:rPr>
          <w:rFonts w:hint="eastAsia"/>
          <w:lang w:eastAsia="zh-CN"/>
        </w:rPr>
        <w:t>与覆岩</w:t>
      </w:r>
      <w:proofErr w:type="gramEnd"/>
      <w:r w:rsidRPr="009330B5">
        <w:rPr>
          <w:rFonts w:hint="eastAsia"/>
          <w:lang w:eastAsia="zh-CN"/>
        </w:rPr>
        <w:t>扰动控制之间寻求可接受折中。</w:t>
      </w:r>
      <w:proofErr w:type="gramStart"/>
      <w:r w:rsidRPr="009330B5">
        <w:rPr>
          <w:rFonts w:hint="eastAsia"/>
          <w:lang w:eastAsia="zh-CN"/>
        </w:rPr>
        <w:t>当采动引起的覆岩变形</w:t>
      </w:r>
      <w:proofErr w:type="gramEnd"/>
      <w:r w:rsidRPr="009330B5">
        <w:rPr>
          <w:rFonts w:hint="eastAsia"/>
          <w:lang w:eastAsia="zh-CN"/>
        </w:rPr>
        <w:t>、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w:t>
      </w:r>
      <w:proofErr w:type="gramStart"/>
      <w:r w:rsidRPr="009330B5">
        <w:rPr>
          <w:rFonts w:hint="eastAsia"/>
          <w:lang w:eastAsia="zh-CN"/>
        </w:rPr>
        <w:t>受覆岩</w:t>
      </w:r>
      <w:proofErr w:type="gramEnd"/>
      <w:r w:rsidRPr="009330B5">
        <w:rPr>
          <w:rFonts w:hint="eastAsia"/>
          <w:lang w:eastAsia="zh-CN"/>
        </w:rPr>
        <w:t>扰动约束驱动的多目标协同决策问题。图</w:t>
      </w:r>
      <w:r w:rsidRPr="009330B5">
        <w:rPr>
          <w:rFonts w:hint="eastAsia"/>
          <w:lang w:eastAsia="zh-CN"/>
        </w:rPr>
        <w:t>1</w:t>
      </w:r>
      <w:r w:rsidRPr="009330B5">
        <w:rPr>
          <w:rFonts w:hint="eastAsia"/>
          <w:lang w:eastAsia="zh-CN"/>
        </w:rPr>
        <w:t>可将</w:t>
      </w:r>
      <w:proofErr w:type="gramStart"/>
      <w:r w:rsidRPr="009330B5">
        <w:rPr>
          <w:rFonts w:hint="eastAsia"/>
          <w:lang w:eastAsia="zh-CN"/>
        </w:rPr>
        <w:t>该关系</w:t>
      </w:r>
      <w:proofErr w:type="gramEnd"/>
      <w:r w:rsidRPr="009330B5">
        <w:rPr>
          <w:rFonts w:hint="eastAsia"/>
          <w:lang w:eastAsia="zh-CN"/>
        </w:rPr>
        <w:t>概括为“采区规划决策变量—覆岩扰动响应特征—规划决策约束结果”的传递链，即规划变量通过布置方式、尺度参数与推进组织</w:t>
      </w:r>
      <w:proofErr w:type="gramStart"/>
      <w:r w:rsidRPr="009330B5">
        <w:rPr>
          <w:rFonts w:hint="eastAsia"/>
          <w:lang w:eastAsia="zh-CN"/>
        </w:rPr>
        <w:t>影响覆岩扰动</w:t>
      </w:r>
      <w:proofErr w:type="gramEnd"/>
      <w:r w:rsidRPr="009330B5">
        <w:rPr>
          <w:rFonts w:hint="eastAsia"/>
          <w:lang w:eastAsia="zh-CN"/>
        </w:rPr>
        <w:t>的空间分布、强度水平和演化特征，扰动</w:t>
      </w:r>
      <w:proofErr w:type="gramStart"/>
      <w:r w:rsidRPr="009330B5">
        <w:rPr>
          <w:rFonts w:hint="eastAsia"/>
          <w:lang w:eastAsia="zh-CN"/>
        </w:rPr>
        <w:t>响应再</w:t>
      </w:r>
      <w:proofErr w:type="gramEnd"/>
      <w:r w:rsidRPr="009330B5">
        <w:rPr>
          <w:rFonts w:hint="eastAsia"/>
          <w:lang w:eastAsia="zh-CN"/>
        </w:rPr>
        <w:t>反向作用于空间约束、强度约束和过程约束，最终参与规划方案的形成与筛选</w:t>
      </w:r>
      <w:r w:rsidR="00E05130" w:rsidRPr="00E05130">
        <w:rPr>
          <w:rFonts w:hint="eastAsia"/>
          <w:lang w:eastAsia="zh-CN"/>
        </w:rPr>
        <w:t>。</w:t>
      </w:r>
    </w:p>
    <w:p>
      <w:pPr>
        <w:jc w:val="center"/>
      </w:pPr>
      <w:r>
        <w:drawing>
          <wp:inline xmlns:a="http://schemas.openxmlformats.org/drawingml/2006/main" xmlns:pic="http://schemas.openxmlformats.org/drawingml/2006/picture">
            <wp:extent cx="5832000" cy="2891513"/>
            <wp:docPr id="1" name="Picture 1"/>
            <wp:cNvGraphicFramePr>
              <a:graphicFrameLocks noChangeAspect="1"/>
            </wp:cNvGraphicFramePr>
            <a:graphic>
              <a:graphicData uri="http://schemas.openxmlformats.org/drawingml/2006/picture">
                <pic:pic>
                  <pic:nvPicPr>
                    <pic:cNvPr id="0" name="01-覆岩扰动约束机理示意图.png"/>
                    <pic:cNvPicPr/>
                  </pic:nvPicPr>
                  <pic:blipFill>
                    <a:blip r:embed="rId11"/>
                    <a:stretch>
                      <a:fillRect/>
                    </a:stretch>
                  </pic:blipFill>
                  <pic:spPr>
                    <a:xfrm>
                      <a:off x="0" y="0"/>
                      <a:ext cx="5832000" cy="2891513"/>
                    </a:xfrm>
                    <a:prstGeom prst="rect"/>
                  </pic:spPr>
                </pic:pic>
              </a:graphicData>
            </a:graphic>
          </wp:inline>
        </w:drawing>
      </w:r>
    </w:p>
    <w:p>
      <w:pPr>
        <w:jc w:val="center"/>
      </w:pPr>
      <w:r>
        <w:rPr>
          <w:b w:val="0"/>
          <w:sz w:val="21"/>
        </w:rPr>
        <w:t>图1 覆岩扰动约束机理示意图</w:t>
      </w:r>
    </w:p>
    <w:p w14:paraId="14C42ACD" w14:textId="47FA38DE" w:rsidR="00E05130" w:rsidRDefault="009330B5" w:rsidP="00E05130">
      <w:pPr>
        <w:spacing w:after="40"/>
        <w:ind w:firstLine="420"/>
        <w:rPr>
          <w:lang w:eastAsia="zh-CN"/>
        </w:rPr>
      </w:pPr>
      <w:r w:rsidRPr="009330B5">
        <w:rPr>
          <w:lang w:eastAsia="zh-CN"/>
        </w:rPr>
        <w:t>为统一不同风险场景下的约束表达，本文</w:t>
      </w:r>
      <w:proofErr w:type="gramStart"/>
      <w:r w:rsidRPr="009330B5">
        <w:rPr>
          <w:lang w:eastAsia="zh-CN"/>
        </w:rPr>
        <w:t>引入覆岩扰动</w:t>
      </w:r>
      <w:proofErr w:type="gramEnd"/>
      <w:r w:rsidRPr="009330B5">
        <w:rPr>
          <w:lang w:eastAsia="zh-CN"/>
        </w:rPr>
        <w:t>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65293CFA" w14:textId="685FBCF0"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7CB81FBD" w14:textId="7E8B7E47" w:rsidR="00E05130" w:rsidRDefault="00E05130" w:rsidP="009330B5">
      <w:pPr>
        <w:spacing w:after="40"/>
        <w:rPr>
          <w:lang w:eastAsia="zh-CN"/>
        </w:rPr>
      </w:pPr>
      <w:r w:rsidRPr="00E05130">
        <w:rPr>
          <w:rFonts w:hint="eastAsia"/>
          <w:lang w:eastAsia="zh-CN"/>
        </w:rPr>
        <w:t>并满足</w:t>
      </w:r>
    </w:p>
    <w:p w14:paraId="211B8404" w14:textId="73FC0E71"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4D007420" w14:textId="07885438"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2573C977" w14:textId="382A0DBE"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w:t>
      </w:r>
      <w:proofErr w:type="gramStart"/>
      <w:r w:rsidRPr="009330B5">
        <w:rPr>
          <w:lang w:eastAsia="zh-CN"/>
        </w:rPr>
        <w:t>高分位</w:t>
      </w:r>
      <w:proofErr w:type="gramEnd"/>
      <w:r w:rsidRPr="009330B5">
        <w:rPr>
          <w:lang w:eastAsia="zh-CN"/>
        </w:rPr>
        <w:t>水平及超限暴露比例上的差异，为方案排序提供统一依据；其三，作为后续调控、接续与经济评价的上游输入，使扰动判据能够从规划阶段持续传递至生产组织和效益分析环节。为便于</w:t>
      </w:r>
      <w:proofErr w:type="gramStart"/>
      <w:r w:rsidRPr="009330B5">
        <w:rPr>
          <w:lang w:eastAsia="zh-CN"/>
        </w:rPr>
        <w:t>方案级评价</w:t>
      </w:r>
      <w:proofErr w:type="gramEnd"/>
      <w:r w:rsidRPr="009330B5">
        <w:rPr>
          <w:lang w:eastAsia="zh-CN"/>
        </w:rPr>
        <w:t>，进一步定义候选方案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7402630E" w14:textId="623857AC"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2DEBDA91" w14:textId="08D962E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057883D7" w14:textId="77777777" w:rsidR="009330B5" w:rsidRDefault="009330B5" w:rsidP="009330B5">
      <w:pPr>
        <w:spacing w:after="40"/>
        <w:ind w:firstLine="420"/>
        <w:rPr>
          <w:lang w:eastAsia="zh-CN"/>
        </w:rPr>
      </w:pPr>
    </w:p>
    <w:p w14:paraId="25B52AED" w14:textId="09D21B4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25A9F45F" w14:textId="45FF7AEB" w:rsidR="009330B5" w:rsidRDefault="009330B5" w:rsidP="009330B5">
      <w:pPr>
        <w:spacing w:after="40"/>
        <w:ind w:firstLine="420"/>
        <w:rPr>
          <w:lang w:eastAsia="zh-CN"/>
        </w:rPr>
      </w:pPr>
      <w:r w:rsidRPr="009330B5">
        <w:rPr>
          <w:lang w:eastAsia="zh-CN"/>
        </w:rPr>
        <w:lastRenderedPageBreak/>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w:t>
      </w:r>
      <w:proofErr w:type="gramStart"/>
      <w:r w:rsidRPr="009330B5">
        <w:rPr>
          <w:lang w:eastAsia="zh-CN"/>
        </w:rPr>
        <w:t>风险场进入</w:t>
      </w:r>
      <w:proofErr w:type="gramEnd"/>
      <w:r w:rsidRPr="009330B5">
        <w:rPr>
          <w:lang w:eastAsia="zh-CN"/>
        </w:rPr>
        <w:t>规划、接续与经济评价链路的统一接口。</w:t>
      </w:r>
    </w:p>
    <w:p w14:paraId="487867BF"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139774F0" w14:textId="1A3AE2FE" w:rsidR="007E22B6" w:rsidRDefault="00000000" w:rsidP="00A046E0">
      <w:pPr>
        <w:pStyle w:val="21"/>
        <w:rPr>
          <w:lang w:eastAsia="zh-CN"/>
        </w:rPr>
      </w:pPr>
      <w:r>
        <w:rPr>
          <w:lang w:eastAsia="zh-CN"/>
        </w:rPr>
        <w:t xml:space="preserve">1.2 </w:t>
      </w:r>
      <w:r w:rsidR="009330B5" w:rsidRPr="009330B5">
        <w:rPr>
          <w:lang w:eastAsia="zh-CN"/>
        </w:rPr>
        <w:t>有效布置</w:t>
      </w:r>
      <w:proofErr w:type="gramStart"/>
      <w:r w:rsidR="009330B5" w:rsidRPr="009330B5">
        <w:rPr>
          <w:lang w:eastAsia="zh-CN"/>
        </w:rPr>
        <w:t>域与连续参数场</w:t>
      </w:r>
      <w:proofErr w:type="gramEnd"/>
      <w:r w:rsidR="009330B5" w:rsidRPr="009330B5">
        <w:rPr>
          <w:lang w:eastAsia="zh-CN"/>
        </w:rPr>
        <w:t>构建</w:t>
      </w:r>
    </w:p>
    <w:p w14:paraId="426DE6B0" w14:textId="77777777" w:rsidR="009330B5" w:rsidRPr="009330B5" w:rsidRDefault="009330B5" w:rsidP="009330B5">
      <w:pPr>
        <w:spacing w:after="40"/>
        <w:ind w:firstLine="420"/>
        <w:rPr>
          <w:lang w:eastAsia="zh-CN"/>
        </w:rPr>
      </w:pPr>
      <w:r w:rsidRPr="009330B5">
        <w:rPr>
          <w:lang w:eastAsia="zh-CN"/>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图</w:t>
      </w:r>
      <w:r w:rsidRPr="009330B5">
        <w:rPr>
          <w:lang w:eastAsia="zh-CN"/>
        </w:rPr>
        <w:t>2</w:t>
      </w:r>
      <w:r w:rsidRPr="009330B5">
        <w:rPr>
          <w:lang w:eastAsia="zh-CN"/>
        </w:rPr>
        <w:t>展示了</w:t>
      </w:r>
      <w:r w:rsidRPr="009330B5">
        <w:rPr>
          <w:lang w:eastAsia="zh-CN"/>
        </w:rPr>
        <w:t>“</w:t>
      </w:r>
      <w:r w:rsidRPr="009330B5">
        <w:rPr>
          <w:lang w:eastAsia="zh-CN"/>
        </w:rPr>
        <w:t>数据输入</w:t>
      </w:r>
      <w:r w:rsidRPr="009330B5">
        <w:rPr>
          <w:lang w:eastAsia="zh-CN"/>
        </w:rPr>
        <w:t>—</w:t>
      </w:r>
      <w:r w:rsidRPr="009330B5">
        <w:rPr>
          <w:lang w:eastAsia="zh-CN"/>
        </w:rPr>
        <w:t>参数体系构建</w:t>
      </w:r>
      <w:r w:rsidRPr="009330B5">
        <w:rPr>
          <w:lang w:eastAsia="zh-CN"/>
        </w:rPr>
        <w:t>—</w:t>
      </w:r>
      <w:r w:rsidRPr="009330B5">
        <w:rPr>
          <w:lang w:eastAsia="zh-CN"/>
        </w:rPr>
        <w:t>采区规划输出</w:t>
      </w:r>
      <w:r w:rsidRPr="009330B5">
        <w:rPr>
          <w:lang w:eastAsia="zh-CN"/>
        </w:rPr>
        <w:t>”</w:t>
      </w:r>
      <w:r w:rsidRPr="009330B5">
        <w:rPr>
          <w:lang w:eastAsia="zh-CN"/>
        </w:rPr>
        <w:t>的完整过程，说明采区规划并不是直接对原始边界做简单布置，而是需要经过边界合法性校核、有效布置域提取、尺度参数输入和评价指标联动等环节，才能形成可参与方案生成与优选的统一参数体系。</w:t>
      </w:r>
    </w:p>
    <w:p w14:paraId="0D37D0D9" w14:textId="423EBC54"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508771EE" w14:textId="5182337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4789434" w14:textId="3044AE36"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w:t>
      </w:r>
      <w:proofErr w:type="gramStart"/>
      <w:r w:rsidRPr="009330B5">
        <w:rPr>
          <w:lang w:eastAsia="zh-CN"/>
        </w:rPr>
        <w:t>若内缩后</w:t>
      </w:r>
      <w:proofErr w:type="gramEnd"/>
      <w:r w:rsidRPr="009330B5">
        <w:rPr>
          <w:lang w:eastAsia="zh-CN"/>
        </w:rPr>
        <w:t>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50DA7624" w14:textId="660AF288" w:rsidR="009330B5" w:rsidRPr="009330B5" w:rsidRDefault="009330B5" w:rsidP="009330B5">
      <w:pPr>
        <w:spacing w:after="40"/>
        <w:ind w:firstLine="420"/>
        <w:rPr>
          <w:lang w:eastAsia="zh-CN"/>
        </w:rPr>
      </w:pPr>
      <w:r w:rsidRPr="009330B5">
        <w:rPr>
          <w:lang w:eastAsia="zh-CN"/>
        </w:rPr>
        <w:t>在连续</w:t>
      </w:r>
      <w:proofErr w:type="gramStart"/>
      <w:r w:rsidRPr="009330B5">
        <w:rPr>
          <w:lang w:eastAsia="zh-CN"/>
        </w:rPr>
        <w:t>参数场</w:t>
      </w:r>
      <w:proofErr w:type="gramEnd"/>
      <w:r w:rsidRPr="009330B5">
        <w:rPr>
          <w:lang w:eastAsia="zh-CN"/>
        </w:rPr>
        <w:t>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w:t>
      </w:r>
      <w:proofErr w:type="gramStart"/>
      <w:r w:rsidRPr="009330B5">
        <w:rPr>
          <w:lang w:eastAsia="zh-CN"/>
        </w:rPr>
        <w:t>参数场</w:t>
      </w:r>
      <w:proofErr w:type="gramEnd"/>
      <w:r w:rsidRPr="009330B5">
        <w:rPr>
          <w:lang w:eastAsia="zh-CN"/>
        </w:rPr>
        <w:t>可表示为</w:t>
      </w:r>
    </w:p>
    <w:p w14:paraId="2BF7F0D4" w14:textId="428BF9EB"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03B2F6A" w14:textId="67E370FA"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w:t>
      </w:r>
      <w:proofErr w:type="gramStart"/>
      <w:r w:rsidRPr="009330B5">
        <w:rPr>
          <w:lang w:eastAsia="zh-CN"/>
        </w:rPr>
        <w:t>反距离</w:t>
      </w:r>
      <w:proofErr w:type="gramEnd"/>
      <w:r w:rsidRPr="009330B5">
        <w:rPr>
          <w:lang w:eastAsia="zh-CN"/>
        </w:rPr>
        <w:t>加权插值思想，其目的并不在于追求复杂模型形式，而在于为采区规划提供连续、可计算、可传递的地质参数底图。</w:t>
      </w:r>
      <w:proofErr w:type="gramStart"/>
      <w:r w:rsidRPr="009330B5">
        <w:rPr>
          <w:lang w:eastAsia="zh-CN"/>
        </w:rPr>
        <w:t>参数场</w:t>
      </w:r>
      <w:proofErr w:type="gramEnd"/>
      <w:r w:rsidRPr="009330B5">
        <w:rPr>
          <w:lang w:eastAsia="zh-CN"/>
        </w:rPr>
        <w:t>的意义不在于单独展示地质属性，而在于使地质信息能够实质性进入后续的方案生成与约束筛选过程。</w:t>
      </w:r>
    </w:p>
    <w:p w14:paraId="5996D50A"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w:t>
      </w:r>
      <w:proofErr w:type="gramStart"/>
      <w:r w:rsidRPr="009330B5">
        <w:rPr>
          <w:lang w:eastAsia="zh-CN"/>
        </w:rPr>
        <w:t>厚度场</w:t>
      </w:r>
      <w:proofErr w:type="gramEnd"/>
      <w:r w:rsidRPr="009330B5">
        <w:rPr>
          <w:lang w:eastAsia="zh-CN"/>
        </w:rPr>
        <w:t>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w:t>
      </w:r>
      <w:proofErr w:type="gramStart"/>
      <w:r w:rsidRPr="009330B5">
        <w:rPr>
          <w:lang w:eastAsia="zh-CN"/>
        </w:rPr>
        <w:t>一评价</w:t>
      </w:r>
      <w:proofErr w:type="gramEnd"/>
      <w:r w:rsidRPr="009330B5">
        <w:rPr>
          <w:lang w:eastAsia="zh-CN"/>
        </w:rPr>
        <w:t>框架下共同作用于候选方案生成过程。</w:t>
      </w:r>
    </w:p>
    <w:p w14:paraId="03A5ADDA" w14:textId="710A8067" w:rsidR="007E22B6" w:rsidRDefault="00000000" w:rsidP="00A046E0">
      <w:pPr>
        <w:pStyle w:val="21"/>
        <w:rPr>
          <w:lang w:eastAsia="zh-CN"/>
        </w:rPr>
      </w:pPr>
      <w:r>
        <w:rPr>
          <w:lang w:eastAsia="zh-CN"/>
        </w:rPr>
        <w:t xml:space="preserve">1.3 </w:t>
      </w:r>
      <w:r w:rsidR="009330B5" w:rsidRPr="009330B5">
        <w:rPr>
          <w:lang w:eastAsia="zh-CN"/>
        </w:rPr>
        <w:t>候选方案生成与多目标协同规划模型</w:t>
      </w:r>
    </w:p>
    <w:p w14:paraId="659B8C4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在满足几何可实施性和安全隔离要求的前提下，采区规划需要在工程效率、资源回收和</w:t>
      </w:r>
      <w:proofErr w:type="gramStart"/>
      <w:r w:rsidRPr="009330B5">
        <w:rPr>
          <w:rFonts w:ascii="宋体" w:hAnsi="宋体"/>
          <w:lang w:eastAsia="zh-CN"/>
        </w:rPr>
        <w:t>覆岩</w:t>
      </w:r>
      <w:proofErr w:type="gramEnd"/>
      <w:r w:rsidRPr="009330B5">
        <w:rPr>
          <w:rFonts w:ascii="宋体" w:hAnsi="宋体"/>
          <w:lang w:eastAsia="zh-CN"/>
        </w:rPr>
        <w:t>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1B61FAE1" w14:textId="45C78010"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w:t>
      </w:r>
      <w:proofErr w:type="gramStart"/>
      <w:r w:rsidRPr="009330B5">
        <w:rPr>
          <w:rFonts w:ascii="宋体" w:hAnsi="宋体"/>
          <w:lang w:eastAsia="zh-CN"/>
        </w:rPr>
        <w:t>厚度场</w:t>
      </w:r>
      <w:proofErr w:type="gramEnd"/>
      <w:r w:rsidRPr="009330B5">
        <w:rPr>
          <w:rFonts w:ascii="宋体" w:hAnsi="宋体"/>
          <w:lang w:eastAsia="zh-CN"/>
        </w:rPr>
        <w:t>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w:t>
      </w:r>
      <w:proofErr w:type="gramStart"/>
      <w:r w:rsidRPr="009330B5">
        <w:rPr>
          <w:rFonts w:ascii="宋体" w:hAnsi="宋体"/>
          <w:lang w:eastAsia="zh-CN"/>
        </w:rPr>
        <w:t>高分位</w:t>
      </w:r>
      <w:proofErr w:type="gramEnd"/>
      <w:r w:rsidRPr="009330B5">
        <w:rPr>
          <w:rFonts w:ascii="宋体" w:hAnsi="宋体"/>
          <w:lang w:eastAsia="zh-CN"/>
        </w:rPr>
        <w:t>值和超限暴露比例综合计算得到。经归一化后，综合目标函数可写为</w:t>
      </w:r>
    </w:p>
    <w:p w14:paraId="61520238" w14:textId="66B43F8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1835F3A0" w14:textId="282D5BD9" w:rsidR="009330B5" w:rsidRDefault="009330B5">
      <w:pPr>
        <w:spacing w:after="40"/>
        <w:ind w:firstLine="420"/>
        <w:rPr>
          <w:rFonts w:ascii="宋体" w:hAnsi="宋体" w:hint="eastAsia"/>
          <w:lang w:eastAsia="zh-CN"/>
        </w:rPr>
      </w:pPr>
      <w:r w:rsidRPr="009330B5">
        <w:rPr>
          <w:rFonts w:ascii="宋体" w:hAnsi="宋体"/>
          <w:lang w:eastAsia="zh-CN"/>
        </w:rPr>
        <w:lastRenderedPageBreak/>
        <w:t>并满足</w:t>
      </w:r>
    </w:p>
    <w:p w14:paraId="411D935D" w14:textId="2191DFD8"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0E7FDC97" w14:textId="5C28DF79"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w:t>
      </w:r>
      <w:proofErr w:type="gramStart"/>
      <w:r w:rsidRPr="009330B5">
        <w:rPr>
          <w:rFonts w:ascii="宋体" w:hAnsi="宋体"/>
          <w:lang w:eastAsia="zh-CN"/>
        </w:rPr>
        <w:t>风险场</w:t>
      </w:r>
      <w:proofErr w:type="gramEnd"/>
      <w:r w:rsidRPr="009330B5">
        <w:rPr>
          <w:rFonts w:ascii="宋体" w:hAnsi="宋体"/>
          <w:lang w:eastAsia="zh-CN"/>
        </w:rPr>
        <w:t>在特定工况下</w:t>
      </w:r>
      <w:proofErr w:type="gramStart"/>
      <w:r w:rsidRPr="009330B5">
        <w:rPr>
          <w:rFonts w:ascii="宋体" w:hAnsi="宋体"/>
          <w:lang w:eastAsia="zh-CN"/>
        </w:rPr>
        <w:t>不</w:t>
      </w:r>
      <w:proofErr w:type="gramEnd"/>
      <w:r w:rsidRPr="009330B5">
        <w:rPr>
          <w:rFonts w:ascii="宋体" w:hAnsi="宋体"/>
          <w:lang w:eastAsia="zh-CN"/>
        </w:rPr>
        <w:t>可用，则相应权重可退化并重新归</w:t>
      </w:r>
      <w:proofErr w:type="gramStart"/>
      <w:r w:rsidRPr="009330B5">
        <w:rPr>
          <w:rFonts w:ascii="宋体" w:hAnsi="宋体"/>
          <w:lang w:eastAsia="zh-CN"/>
        </w:rPr>
        <w:t>一</w:t>
      </w:r>
      <w:proofErr w:type="gramEnd"/>
      <w:r w:rsidRPr="009330B5">
        <w:rPr>
          <w:rFonts w:ascii="宋体" w:hAnsi="宋体"/>
          <w:lang w:eastAsia="zh-CN"/>
        </w:rPr>
        <w:t>，从而保持多模式方案比较的一致性。</w:t>
      </w:r>
    </w:p>
    <w:p w14:paraId="5A3E46C6"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w:t>
      </w:r>
      <w:proofErr w:type="gramStart"/>
      <w:r w:rsidRPr="009330B5">
        <w:rPr>
          <w:rFonts w:ascii="宋体" w:hAnsi="宋体"/>
          <w:lang w:eastAsia="zh-CN"/>
        </w:rPr>
        <w:t>厚度场</w:t>
      </w:r>
      <w:proofErr w:type="gramEnd"/>
      <w:r w:rsidRPr="009330B5">
        <w:rPr>
          <w:rFonts w:ascii="宋体" w:hAnsi="宋体"/>
          <w:lang w:eastAsia="zh-CN"/>
        </w:rPr>
        <w:t>和可采吨位估计，使高厚度区和高资源价值区在排序中获得更高权重；</w:t>
      </w:r>
      <w:proofErr w:type="gramStart"/>
      <w:r w:rsidRPr="009330B5">
        <w:rPr>
          <w:rFonts w:ascii="宋体" w:hAnsi="宋体"/>
          <w:lang w:eastAsia="zh-CN"/>
        </w:rPr>
        <w:t>覆岩扰动</w:t>
      </w:r>
      <w:proofErr w:type="gramEnd"/>
      <w:r w:rsidRPr="009330B5">
        <w:rPr>
          <w:rFonts w:ascii="宋体" w:hAnsi="宋体"/>
          <w:lang w:eastAsia="zh-CN"/>
        </w:rPr>
        <w:t>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222E036E"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从实现流程看，候选方案生成并不是</w:t>
      </w:r>
      <w:proofErr w:type="gramStart"/>
      <w:r w:rsidRPr="009330B5">
        <w:rPr>
          <w:rFonts w:ascii="宋体" w:hAnsi="宋体"/>
          <w:lang w:eastAsia="zh-CN"/>
        </w:rPr>
        <w:t>先完全脱离风险场</w:t>
      </w:r>
      <w:proofErr w:type="gramEnd"/>
      <w:r w:rsidRPr="009330B5">
        <w:rPr>
          <w:rFonts w:ascii="宋体" w:hAnsi="宋体"/>
          <w:lang w:eastAsia="zh-CN"/>
        </w:rPr>
        <w:t>形成几何结果，再进行后验校核，而是在有效布置域、</w:t>
      </w:r>
      <w:proofErr w:type="gramStart"/>
      <w:r w:rsidRPr="009330B5">
        <w:rPr>
          <w:rFonts w:ascii="宋体" w:hAnsi="宋体"/>
          <w:lang w:eastAsia="zh-CN"/>
        </w:rPr>
        <w:t>参数场</w:t>
      </w:r>
      <w:proofErr w:type="gramEnd"/>
      <w:r w:rsidRPr="009330B5">
        <w:rPr>
          <w:rFonts w:ascii="宋体" w:hAnsi="宋体"/>
          <w:lang w:eastAsia="zh-CN"/>
        </w:rPr>
        <w:t>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7CBA3F86"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02C306" w14:textId="4B6B889D" w:rsidR="00E05130" w:rsidRPr="00E05130" w:rsidRDefault="00E05130" w:rsidP="00A046E0">
      <w:pPr>
        <w:pStyle w:val="21"/>
        <w:rPr>
          <w:rFonts w:hint="eastAsia"/>
          <w:lang w:eastAsia="zh-CN"/>
        </w:rPr>
      </w:pPr>
      <w:r w:rsidRPr="00E05130">
        <w:rPr>
          <w:lang w:eastAsia="zh-CN"/>
        </w:rPr>
        <w:t xml:space="preserve">1.4 </w:t>
      </w:r>
      <w:r w:rsidR="009330B5" w:rsidRPr="009330B5">
        <w:rPr>
          <w:lang w:eastAsia="zh-CN"/>
        </w:rPr>
        <w:t>方案传递与评价流程</w:t>
      </w:r>
    </w:p>
    <w:p w14:paraId="6B0FB2A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w:t>
      </w:r>
      <w:proofErr w:type="gramStart"/>
      <w:r w:rsidRPr="009330B5">
        <w:rPr>
          <w:rFonts w:ascii="宋体" w:hAnsi="宋体"/>
          <w:lang w:eastAsia="zh-CN"/>
        </w:rPr>
        <w:t>式规划</w:t>
      </w:r>
      <w:proofErr w:type="gramEnd"/>
      <w:r w:rsidRPr="009330B5">
        <w:rPr>
          <w:rFonts w:ascii="宋体" w:hAnsi="宋体"/>
          <w:lang w:eastAsia="zh-CN"/>
        </w:rPr>
        <w:t>流程的重要特点。</w:t>
      </w:r>
    </w:p>
    <w:p w14:paraId="54462BE7"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在调控层面，规划结果可进一步转化为工作面级和生产级控制变量。例如，在含水层扰动场景下，可将工作面采高、工作面宽度、区段煤柱宽度以及推进长度作为主要调控参数，通过比较不同参数条件下 ODI 均值、</w:t>
      </w:r>
      <w:proofErr w:type="gramStart"/>
      <w:r w:rsidRPr="009330B5">
        <w:rPr>
          <w:rFonts w:ascii="宋体" w:hAnsi="宋体"/>
          <w:lang w:eastAsia="zh-CN"/>
        </w:rPr>
        <w:t>高分位</w:t>
      </w:r>
      <w:proofErr w:type="gramEnd"/>
      <w:r w:rsidRPr="009330B5">
        <w:rPr>
          <w:rFonts w:ascii="宋体" w:hAnsi="宋体"/>
          <w:lang w:eastAsia="zh-CN"/>
        </w:rPr>
        <w:t>值和超限比例的变化，识别对扰动强度最敏感的控制量，并据此开展局部优化。这意味着规划阶段并不直接产出不可更改的</w:t>
      </w:r>
      <w:proofErr w:type="gramStart"/>
      <w:r w:rsidRPr="009330B5">
        <w:rPr>
          <w:rFonts w:ascii="宋体" w:hAnsi="宋体"/>
          <w:lang w:eastAsia="zh-CN"/>
        </w:rPr>
        <w:t>最终工程</w:t>
      </w:r>
      <w:proofErr w:type="gramEnd"/>
      <w:r w:rsidRPr="009330B5">
        <w:rPr>
          <w:rFonts w:ascii="宋体" w:hAnsi="宋体"/>
          <w:lang w:eastAsia="zh-CN"/>
        </w:rPr>
        <w:t>方案，而是先形成满足底线约束的候选空间对象，再通过参数调控提升其在扰动约束下的适应性。</w:t>
      </w:r>
    </w:p>
    <w:p w14:paraId="230F1868" w14:textId="45AA2758"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7561BBCC" w14:textId="219122DD"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61FCF239" w14:textId="255B9181"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3FE55058" w14:textId="5A705C21"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proofErr w:type="gramStart"/>
      <w:r w:rsidRPr="004D2816">
        <w:rPr>
          <w:lang w:eastAsia="zh-CN"/>
        </w:rPr>
        <w:t>月净现金</w:t>
      </w:r>
      <w:proofErr w:type="gramEnd"/>
      <w:r w:rsidRPr="004D2816">
        <w:rPr>
          <w:lang w:eastAsia="zh-CN"/>
        </w:rPr>
        <w:t>流可表示为</w:t>
      </w:r>
    </w:p>
    <w:p w14:paraId="10E63EE8" w14:textId="4EAE9700"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7CA104EF" w14:textId="0676A6B6" w:rsidR="004D2816" w:rsidRPr="00E05130" w:rsidRDefault="004D2816" w:rsidP="00E05130">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2FBC89D3" w14:textId="5D763642"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17E3FD99" w14:textId="77345C54"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proofErr w:type="gramStart"/>
      <w:r w:rsidRPr="00E05130">
        <w:rPr>
          <w:lang w:eastAsia="zh-CN"/>
        </w:rPr>
        <w:t>月净现金</w:t>
      </w:r>
      <w:proofErr w:type="gramEnd"/>
      <w:r w:rsidRPr="00E05130">
        <w:rPr>
          <w:lang w:eastAsia="zh-CN"/>
        </w:rPr>
        <w:t>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24F690A0" w14:textId="18D3039B" w:rsidR="00E05130" w:rsidRPr="00E05130" w:rsidRDefault="00E05130" w:rsidP="00E05130">
      <w:pPr>
        <w:spacing w:after="40"/>
        <w:ind w:firstLine="420"/>
        <w:rPr>
          <w:lang w:eastAsia="zh-CN"/>
        </w:rPr>
      </w:pPr>
      <w:r w:rsidRPr="00E05130">
        <w:rPr>
          <w:lang w:eastAsia="zh-CN"/>
        </w:rPr>
        <w:lastRenderedPageBreak/>
        <w:t>因此，本文方法可以概括为：以有效布置域和连续</w:t>
      </w:r>
      <w:proofErr w:type="gramStart"/>
      <w:r w:rsidRPr="00E05130">
        <w:rPr>
          <w:lang w:eastAsia="zh-CN"/>
        </w:rPr>
        <w:t>参数场</w:t>
      </w:r>
      <w:proofErr w:type="gramEnd"/>
      <w:r w:rsidRPr="00E05130">
        <w:rPr>
          <w:lang w:eastAsia="zh-CN"/>
        </w:rPr>
        <w:t>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4C5168A6" w14:textId="1DE5D46C" w:rsidR="007E22B6" w:rsidRDefault="00000000" w:rsidP="00A046E0">
      <w:pPr>
        <w:pStyle w:val="1"/>
        <w:rPr>
          <w:lang w:eastAsia="zh-CN"/>
        </w:rPr>
      </w:pPr>
      <w:r>
        <w:rPr>
          <w:lang w:eastAsia="zh-CN"/>
        </w:rPr>
        <w:t xml:space="preserve">2 </w:t>
      </w:r>
      <w:r w:rsidR="00801D65" w:rsidRPr="00801D65">
        <w:rPr>
          <w:rFonts w:hint="eastAsia"/>
          <w:lang w:eastAsia="zh-CN"/>
        </w:rPr>
        <w:t>工程案例与结果分析</w:t>
      </w:r>
    </w:p>
    <w:p w14:paraId="6A287A93" w14:textId="0657938A" w:rsidR="007E22B6" w:rsidRDefault="00000000" w:rsidP="00A046E0">
      <w:pPr>
        <w:pStyle w:val="21"/>
        <w:rPr>
          <w:lang w:eastAsia="zh-CN"/>
        </w:rPr>
      </w:pPr>
      <w:r>
        <w:rPr>
          <w:lang w:eastAsia="zh-CN"/>
        </w:rPr>
        <w:t xml:space="preserve">2.1 </w:t>
      </w:r>
      <w:r w:rsidR="00801D65" w:rsidRPr="00801D65">
        <w:rPr>
          <w:rFonts w:hint="eastAsia"/>
          <w:lang w:eastAsia="zh-CN"/>
        </w:rPr>
        <w:t>研究区概况与输入数据</w:t>
      </w:r>
    </w:p>
    <w:p w14:paraId="2DF3442D" w14:textId="1A69BA75" w:rsidR="007E22B6" w:rsidRDefault="00801D65">
      <w:pPr>
        <w:spacing w:after="40"/>
        <w:ind w:firstLine="420"/>
        <w:rPr>
          <w:rFonts w:ascii="宋体" w:hAnsi="宋体" w:hint="eastAsia"/>
          <w:lang w:eastAsia="zh-CN"/>
        </w:rPr>
      </w:pPr>
      <w:r w:rsidRPr="00801D65">
        <w:rPr>
          <w:rFonts w:ascii="宋体" w:hAnsi="宋体"/>
          <w:lang w:eastAsia="zh-CN"/>
        </w:rPr>
        <w:t>为验证所提方法在采区规划场景中的适用性与链路贯通能力，选取研究区样</w:t>
      </w:r>
      <w:proofErr w:type="gramStart"/>
      <w:r w:rsidRPr="00801D65">
        <w:rPr>
          <w:rFonts w:ascii="宋体" w:hAnsi="宋体"/>
          <w:lang w:eastAsia="zh-CN"/>
        </w:rPr>
        <w:t>例开展</w:t>
      </w:r>
      <w:proofErr w:type="gramEnd"/>
      <w:r w:rsidRPr="00801D65">
        <w:rPr>
          <w:rFonts w:ascii="宋体" w:hAnsi="宋体"/>
          <w:lang w:eastAsia="zh-CN"/>
        </w:rPr>
        <w:t>分析。该研究区以采区边界、钻孔数据、分层信息及规划参数为基础输入，通过统一空间参照完成</w:t>
      </w:r>
      <w:proofErr w:type="gramStart"/>
      <w:r w:rsidRPr="00801D65">
        <w:rPr>
          <w:rFonts w:ascii="宋体" w:hAnsi="宋体"/>
          <w:lang w:eastAsia="zh-CN"/>
        </w:rPr>
        <w:t>参数场</w:t>
      </w:r>
      <w:proofErr w:type="gramEnd"/>
      <w:r w:rsidRPr="00801D65">
        <w:rPr>
          <w:rFonts w:ascii="宋体" w:hAnsi="宋体"/>
          <w:lang w:eastAsia="zh-CN"/>
        </w:rPr>
        <w:t>构建、ODI 风险组织、候选方案生成以及规划结果向采掘接续和工程经济评价环节的传递。需要说明的是，本文当前阶段的验证目标限定为样</w:t>
      </w:r>
      <w:proofErr w:type="gramStart"/>
      <w:r w:rsidRPr="00801D65">
        <w:rPr>
          <w:rFonts w:ascii="宋体" w:hAnsi="宋体"/>
          <w:lang w:eastAsia="zh-CN"/>
        </w:rPr>
        <w:t>例条件</w:t>
      </w:r>
      <w:proofErr w:type="gramEnd"/>
      <w:r w:rsidRPr="00801D65">
        <w:rPr>
          <w:rFonts w:ascii="宋体" w:hAnsi="宋体"/>
          <w:lang w:eastAsia="zh-CN"/>
        </w:rPr>
        <w:t>下的方法贯通与对象传递，而非真实矿井条件下的工业级优选结论。现有稿件中的样例验证已经形成“边界—钻孔—参数场—规划对象—接续与评价”的连续链路，这也是本文开展案例分析的基础</w:t>
      </w:r>
      <w:r>
        <w:rPr>
          <w:rFonts w:ascii="宋体" w:hAnsi="宋体"/>
          <w:lang w:eastAsia="zh-CN"/>
        </w:rPr>
        <w:t>。</w:t>
      </w:r>
    </w:p>
    <w:p w14:paraId="052F01CF" w14:textId="110327C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w:t>
      </w:r>
      <w:proofErr w:type="gramStart"/>
      <w:r w:rsidRPr="00801D65">
        <w:rPr>
          <w:lang w:eastAsia="zh-CN"/>
        </w:rPr>
        <w:t>当前样</w:t>
      </w:r>
      <w:proofErr w:type="gramEnd"/>
      <w:r w:rsidRPr="00801D65">
        <w:rPr>
          <w:lang w:eastAsia="zh-CN"/>
        </w:rPr>
        <w:t>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w:t>
      </w:r>
      <w:proofErr w:type="gramStart"/>
      <w:r w:rsidRPr="00801D65">
        <w:rPr>
          <w:lang w:eastAsia="zh-CN"/>
        </w:rPr>
        <w:t>参数场</w:t>
      </w:r>
      <w:proofErr w:type="gramEnd"/>
      <w:r w:rsidRPr="00801D65">
        <w:rPr>
          <w:lang w:eastAsia="zh-CN"/>
        </w:rPr>
        <w:t>插值的样本基础，也为后续资源评价与候选方案比选提供底层依据。</w:t>
      </w:r>
    </w:p>
    <w:p>
      <w:pPr>
        <w:jc w:val="center"/>
      </w:pPr>
      <w:r>
        <w:drawing>
          <wp:inline xmlns:a="http://schemas.openxmlformats.org/drawingml/2006/main" xmlns:pic="http://schemas.openxmlformats.org/drawingml/2006/picture">
            <wp:extent cx="5616000" cy="3460045"/>
            <wp:docPr id="2" name="Picture 2"/>
            <wp:cNvGraphicFramePr>
              <a:graphicFrameLocks noChangeAspect="1"/>
            </wp:cNvGraphicFramePr>
            <a:graphic>
              <a:graphicData uri="http://schemas.openxmlformats.org/drawingml/2006/picture">
                <pic:pic>
                  <pic:nvPicPr>
                    <pic:cNvPr id="0" name="02-研究区钻孔空间分布图.png"/>
                    <pic:cNvPicPr/>
                  </pic:nvPicPr>
                  <pic:blipFill>
                    <a:blip r:embed="rId12"/>
                    <a:stretch>
                      <a:fillRect/>
                    </a:stretch>
                  </pic:blipFill>
                  <pic:spPr>
                    <a:xfrm>
                      <a:off x="0" y="0"/>
                      <a:ext cx="5616000" cy="3460045"/>
                    </a:xfrm>
                    <a:prstGeom prst="rect"/>
                  </pic:spPr>
                </pic:pic>
              </a:graphicData>
            </a:graphic>
          </wp:inline>
        </w:drawing>
      </w:r>
    </w:p>
    <w:p>
      <w:pPr>
        <w:jc w:val="center"/>
      </w:pPr>
      <w:r>
        <w:rPr>
          <w:b w:val="0"/>
          <w:sz w:val="21"/>
        </w:rPr>
        <w:t>图2 研究区钻孔空间分布图</w:t>
      </w:r>
    </w:p>
    <w:p w14:paraId="44643AB6" w14:textId="5F86B44C"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w:t>
      </w:r>
      <w:proofErr w:type="gramStart"/>
      <w:r w:rsidRPr="00801D65">
        <w:rPr>
          <w:lang w:eastAsia="zh-CN"/>
        </w:rPr>
        <w:t>参数场</w:t>
      </w:r>
      <w:proofErr w:type="gramEnd"/>
      <w:r w:rsidRPr="00801D65">
        <w:rPr>
          <w:lang w:eastAsia="zh-CN"/>
        </w:rPr>
        <w:t>结果、风险统计量和规划输出能够保持同一空间参照与统一参数口径，为后续方案比较和下游评价提供一致的数据基础。</w:t>
      </w:r>
    </w:p>
    <w:p w14:paraId="43FE1421" w14:textId="486E4B2A"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37638DD7" w14:textId="60CE4E08" w:rsidR="00801D65" w:rsidRDefault="00801D65">
      <w:pPr>
        <w:spacing w:after="40"/>
        <w:ind w:firstLine="420"/>
        <w:rPr>
          <w:lang w:eastAsia="zh-CN"/>
        </w:rPr>
      </w:pPr>
      <w:r w:rsidRPr="00801D65">
        <w:rPr>
          <w:lang w:eastAsia="zh-CN"/>
        </w:rPr>
        <w:t>因此，本研究区案例的意义并不在于单纯展示一个样例采区，而在于为所提方法提供一套能够连续运行和</w:t>
      </w:r>
      <w:proofErr w:type="gramStart"/>
      <w:r w:rsidRPr="00801D65">
        <w:rPr>
          <w:lang w:eastAsia="zh-CN"/>
        </w:rPr>
        <w:t>可</w:t>
      </w:r>
      <w:proofErr w:type="gramEnd"/>
      <w:r w:rsidRPr="00801D65">
        <w:rPr>
          <w:lang w:eastAsia="zh-CN"/>
        </w:rPr>
        <w:t>复核的输入基础。后续分析将围绕连续</w:t>
      </w:r>
      <w:proofErr w:type="gramStart"/>
      <w:r w:rsidRPr="00801D65">
        <w:rPr>
          <w:lang w:eastAsia="zh-CN"/>
        </w:rPr>
        <w:t>参数场</w:t>
      </w:r>
      <w:proofErr w:type="gramEnd"/>
      <w:r w:rsidRPr="00801D65">
        <w:rPr>
          <w:lang w:eastAsia="zh-CN"/>
        </w:rPr>
        <w:t>构建、多场景</w:t>
      </w:r>
      <w:r w:rsidRPr="00801D65">
        <w:rPr>
          <w:lang w:eastAsia="zh-CN"/>
        </w:rPr>
        <w:t xml:space="preserve"> ODI </w:t>
      </w:r>
      <w:r w:rsidRPr="00801D65">
        <w:rPr>
          <w:lang w:eastAsia="zh-CN"/>
        </w:rPr>
        <w:t>风险表征、</w:t>
      </w:r>
      <w:proofErr w:type="gramStart"/>
      <w:r w:rsidRPr="00801D65">
        <w:rPr>
          <w:lang w:eastAsia="zh-CN"/>
        </w:rPr>
        <w:t>四模式</w:t>
      </w:r>
      <w:proofErr w:type="gramEnd"/>
      <w:r w:rsidRPr="00801D65">
        <w:rPr>
          <w:lang w:eastAsia="zh-CN"/>
        </w:rPr>
        <w:t>候选规划与后续评价链路展开，以检验本文提出的采区多目标协同规划方法是否能够在统一对象体系下实现从输入组织到结果传递的整体贯通。</w:t>
      </w:r>
    </w:p>
    <w:p w14:paraId="62BD65C9" w14:textId="77777777" w:rsidR="00A046E0" w:rsidRPr="00A046E0" w:rsidRDefault="00A046E0" w:rsidP="00A046E0">
      <w:pPr>
        <w:spacing w:after="40"/>
        <w:ind w:firstLine="420"/>
        <w:rPr>
          <w:lang w:eastAsia="zh-CN"/>
        </w:rPr>
      </w:pPr>
      <w:r w:rsidRPr="00A046E0">
        <w:rPr>
          <w:b/>
          <w:bCs/>
          <w:lang w:eastAsia="zh-CN"/>
        </w:rPr>
        <w:t>表</w:t>
      </w:r>
      <w:r w:rsidRPr="00A046E0">
        <w:rPr>
          <w:b/>
          <w:bCs/>
          <w:lang w:eastAsia="zh-CN"/>
        </w:rPr>
        <w:t xml:space="preserve">1 </w:t>
      </w:r>
      <w:r w:rsidRPr="00A046E0">
        <w:rPr>
          <w:b/>
          <w:bCs/>
          <w:lang w:eastAsia="zh-CN"/>
        </w:rPr>
        <w:t>研究区输入参数与约束条件</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30"/>
        <w:gridCol w:w="2793"/>
        <w:gridCol w:w="1200"/>
        <w:gridCol w:w="1418"/>
        <w:gridCol w:w="709"/>
        <w:gridCol w:w="2835"/>
      </w:tblGrid>
      <w:tr w:rsidR="00A046E0" w:rsidRPr="00A046E0" w14:paraId="38064848" w14:textId="77777777" w:rsidTr="00A046E0">
        <w:trPr>
          <w:tblHeader/>
          <w:tblCellSpacing w:w="15" w:type="dxa"/>
        </w:trPr>
        <w:tc>
          <w:tcPr>
            <w:tcW w:w="1176" w:type="dxa"/>
            <w:gridSpan w:val="2"/>
            <w:tcBorders>
              <w:top w:val="single" w:sz="4" w:space="0" w:color="auto"/>
              <w:bottom w:val="single" w:sz="4" w:space="0" w:color="auto"/>
            </w:tcBorders>
            <w:vAlign w:val="center"/>
            <w:hideMark/>
          </w:tcPr>
          <w:p w14:paraId="16F6BE04" w14:textId="77777777" w:rsidR="00A046E0" w:rsidRPr="00A046E0" w:rsidRDefault="00A046E0" w:rsidP="00A046E0">
            <w:pPr>
              <w:spacing w:after="40"/>
              <w:jc w:val="center"/>
              <w:rPr>
                <w:b/>
                <w:bCs/>
                <w:lang w:eastAsia="zh-CN"/>
              </w:rPr>
            </w:pPr>
            <w:r w:rsidRPr="00A046E0">
              <w:rPr>
                <w:b/>
                <w:bCs/>
                <w:lang w:eastAsia="zh-CN"/>
              </w:rPr>
              <w:t>类别</w:t>
            </w:r>
          </w:p>
        </w:tc>
        <w:tc>
          <w:tcPr>
            <w:tcW w:w="2763" w:type="dxa"/>
            <w:tcBorders>
              <w:top w:val="single" w:sz="4" w:space="0" w:color="auto"/>
              <w:bottom w:val="single" w:sz="4" w:space="0" w:color="auto"/>
            </w:tcBorders>
            <w:vAlign w:val="center"/>
            <w:hideMark/>
          </w:tcPr>
          <w:p w14:paraId="12E46BCF" w14:textId="77777777" w:rsidR="00A046E0" w:rsidRPr="00A046E0" w:rsidRDefault="00A046E0" w:rsidP="00A046E0">
            <w:pPr>
              <w:spacing w:after="40"/>
              <w:jc w:val="center"/>
              <w:rPr>
                <w:b/>
                <w:bCs/>
                <w:lang w:eastAsia="zh-CN"/>
              </w:rPr>
            </w:pPr>
            <w:r w:rsidRPr="00A046E0">
              <w:rPr>
                <w:b/>
                <w:bCs/>
                <w:lang w:eastAsia="zh-CN"/>
              </w:rPr>
              <w:t>参数名称</w:t>
            </w:r>
          </w:p>
        </w:tc>
        <w:tc>
          <w:tcPr>
            <w:tcW w:w="1170" w:type="dxa"/>
            <w:tcBorders>
              <w:top w:val="single" w:sz="4" w:space="0" w:color="auto"/>
              <w:bottom w:val="single" w:sz="4" w:space="0" w:color="auto"/>
            </w:tcBorders>
            <w:vAlign w:val="center"/>
            <w:hideMark/>
          </w:tcPr>
          <w:p w14:paraId="60089B32" w14:textId="77777777" w:rsidR="00A046E0" w:rsidRPr="00A046E0" w:rsidRDefault="00A046E0" w:rsidP="00A046E0">
            <w:pPr>
              <w:spacing w:after="40"/>
              <w:jc w:val="center"/>
              <w:rPr>
                <w:b/>
                <w:bCs/>
                <w:lang w:eastAsia="zh-CN"/>
              </w:rPr>
            </w:pPr>
            <w:r w:rsidRPr="00A046E0">
              <w:rPr>
                <w:b/>
                <w:bCs/>
                <w:lang w:eastAsia="zh-CN"/>
              </w:rPr>
              <w:t>符号</w:t>
            </w:r>
          </w:p>
        </w:tc>
        <w:tc>
          <w:tcPr>
            <w:tcW w:w="1388" w:type="dxa"/>
            <w:tcBorders>
              <w:top w:val="single" w:sz="4" w:space="0" w:color="auto"/>
              <w:bottom w:val="single" w:sz="4" w:space="0" w:color="auto"/>
            </w:tcBorders>
            <w:vAlign w:val="center"/>
            <w:hideMark/>
          </w:tcPr>
          <w:p w14:paraId="4536B371" w14:textId="77777777" w:rsidR="00A046E0" w:rsidRPr="00A046E0" w:rsidRDefault="00A046E0" w:rsidP="00A046E0">
            <w:pPr>
              <w:spacing w:after="40"/>
              <w:jc w:val="center"/>
              <w:rPr>
                <w:b/>
                <w:bCs/>
                <w:lang w:eastAsia="zh-CN"/>
              </w:rPr>
            </w:pPr>
            <w:r w:rsidRPr="00A046E0">
              <w:rPr>
                <w:b/>
                <w:bCs/>
                <w:lang w:eastAsia="zh-CN"/>
              </w:rPr>
              <w:t>数值</w:t>
            </w:r>
            <w:r w:rsidRPr="00A046E0">
              <w:rPr>
                <w:b/>
                <w:bCs/>
                <w:lang w:eastAsia="zh-CN"/>
              </w:rPr>
              <w:t>/</w:t>
            </w:r>
            <w:r w:rsidRPr="00A046E0">
              <w:rPr>
                <w:b/>
                <w:bCs/>
                <w:lang w:eastAsia="zh-CN"/>
              </w:rPr>
              <w:t>范围</w:t>
            </w:r>
          </w:p>
        </w:tc>
        <w:tc>
          <w:tcPr>
            <w:tcW w:w="679" w:type="dxa"/>
            <w:tcBorders>
              <w:top w:val="single" w:sz="4" w:space="0" w:color="auto"/>
              <w:bottom w:val="single" w:sz="4" w:space="0" w:color="auto"/>
            </w:tcBorders>
            <w:vAlign w:val="center"/>
            <w:hideMark/>
          </w:tcPr>
          <w:p w14:paraId="5E8ECD91" w14:textId="77777777" w:rsidR="00A046E0" w:rsidRPr="00A046E0" w:rsidRDefault="00A046E0" w:rsidP="00A046E0">
            <w:pPr>
              <w:spacing w:after="40"/>
              <w:jc w:val="center"/>
              <w:rPr>
                <w:b/>
                <w:bCs/>
                <w:lang w:eastAsia="zh-CN"/>
              </w:rPr>
            </w:pPr>
            <w:r w:rsidRPr="00A046E0">
              <w:rPr>
                <w:b/>
                <w:bCs/>
                <w:lang w:eastAsia="zh-CN"/>
              </w:rPr>
              <w:t>单位</w:t>
            </w:r>
          </w:p>
        </w:tc>
        <w:tc>
          <w:tcPr>
            <w:tcW w:w="2790" w:type="dxa"/>
            <w:tcBorders>
              <w:top w:val="single" w:sz="4" w:space="0" w:color="auto"/>
              <w:bottom w:val="single" w:sz="4" w:space="0" w:color="auto"/>
            </w:tcBorders>
            <w:vAlign w:val="center"/>
            <w:hideMark/>
          </w:tcPr>
          <w:p w14:paraId="27711383" w14:textId="77777777" w:rsidR="00A046E0" w:rsidRPr="00A046E0" w:rsidRDefault="00A046E0" w:rsidP="00A046E0">
            <w:pPr>
              <w:spacing w:after="40"/>
              <w:jc w:val="center"/>
              <w:rPr>
                <w:b/>
                <w:bCs/>
                <w:lang w:eastAsia="zh-CN"/>
              </w:rPr>
            </w:pPr>
            <w:r w:rsidRPr="00A046E0">
              <w:rPr>
                <w:b/>
                <w:bCs/>
                <w:lang w:eastAsia="zh-CN"/>
              </w:rPr>
              <w:t>说明</w:t>
            </w:r>
          </w:p>
        </w:tc>
      </w:tr>
      <w:tr w:rsidR="00A046E0" w:rsidRPr="00A046E0" w14:paraId="6B777444" w14:textId="77777777" w:rsidTr="00A046E0">
        <w:trPr>
          <w:tblCellSpacing w:w="15" w:type="dxa"/>
        </w:trPr>
        <w:tc>
          <w:tcPr>
            <w:tcW w:w="1176" w:type="dxa"/>
            <w:gridSpan w:val="2"/>
            <w:vAlign w:val="center"/>
            <w:hideMark/>
          </w:tcPr>
          <w:p w14:paraId="640FB4C4"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4996AF66" w14:textId="77777777" w:rsidR="00A046E0" w:rsidRPr="00A046E0" w:rsidRDefault="00A046E0" w:rsidP="00A046E0">
            <w:pPr>
              <w:spacing w:after="40"/>
              <w:jc w:val="center"/>
              <w:rPr>
                <w:lang w:eastAsia="zh-CN"/>
              </w:rPr>
            </w:pPr>
            <w:r w:rsidRPr="00A046E0">
              <w:rPr>
                <w:lang w:eastAsia="zh-CN"/>
              </w:rPr>
              <w:t>钻孔数量</w:t>
            </w:r>
          </w:p>
        </w:tc>
        <w:tc>
          <w:tcPr>
            <w:tcW w:w="1170" w:type="dxa"/>
            <w:vAlign w:val="center"/>
            <w:hideMark/>
          </w:tcPr>
          <w:p w14:paraId="34D3C0FC" w14:textId="4A23055D" w:rsidR="00A046E0" w:rsidRPr="00A046E0" w:rsidRDefault="00A046E0" w:rsidP="00A046E0">
            <w:pPr>
              <w:spacing w:after="40"/>
              <w:jc w:val="center"/>
              <w:rPr>
                <w:lang w:eastAsia="zh-CN"/>
              </w:rPr>
            </w:pPr>
            <m:oMathPara>
              <m:oMath>
                <m:r>
                  <w:rPr>
                    <w:rFonts w:ascii="Cambria Math" w:hAnsi="Cambria Math"/>
                    <w:lang w:eastAsia="zh-CN"/>
                  </w:rPr>
                  <m:t>n</m:t>
                </m:r>
              </m:oMath>
            </m:oMathPara>
          </w:p>
        </w:tc>
        <w:tc>
          <w:tcPr>
            <w:tcW w:w="1388" w:type="dxa"/>
            <w:vAlign w:val="center"/>
            <w:hideMark/>
          </w:tcPr>
          <w:p w14:paraId="3A9F50B9" w14:textId="77777777" w:rsidR="00A046E0" w:rsidRPr="00A046E0" w:rsidRDefault="00A046E0" w:rsidP="00A046E0">
            <w:pPr>
              <w:spacing w:after="40"/>
              <w:jc w:val="center"/>
              <w:rPr>
                <w:lang w:eastAsia="zh-CN"/>
              </w:rPr>
            </w:pPr>
            <w:r w:rsidRPr="00A046E0">
              <w:rPr>
                <w:lang w:eastAsia="zh-CN"/>
              </w:rPr>
              <w:t>15</w:t>
            </w:r>
          </w:p>
        </w:tc>
        <w:tc>
          <w:tcPr>
            <w:tcW w:w="679" w:type="dxa"/>
            <w:vAlign w:val="center"/>
            <w:hideMark/>
          </w:tcPr>
          <w:p w14:paraId="0CE8A67F" w14:textId="77777777" w:rsidR="00A046E0" w:rsidRPr="00A046E0" w:rsidRDefault="00A046E0" w:rsidP="00A046E0">
            <w:pPr>
              <w:spacing w:after="40"/>
              <w:jc w:val="center"/>
              <w:rPr>
                <w:lang w:eastAsia="zh-CN"/>
              </w:rPr>
            </w:pPr>
            <w:proofErr w:type="gramStart"/>
            <w:r w:rsidRPr="00A046E0">
              <w:rPr>
                <w:lang w:eastAsia="zh-CN"/>
              </w:rPr>
              <w:t>个</w:t>
            </w:r>
            <w:proofErr w:type="gramEnd"/>
          </w:p>
        </w:tc>
        <w:tc>
          <w:tcPr>
            <w:tcW w:w="2790" w:type="dxa"/>
            <w:vAlign w:val="center"/>
            <w:hideMark/>
          </w:tcPr>
          <w:p w14:paraId="54480F15" w14:textId="77777777" w:rsidR="00A046E0" w:rsidRPr="00A046E0" w:rsidRDefault="00A046E0" w:rsidP="00A046E0">
            <w:pPr>
              <w:spacing w:after="40"/>
              <w:jc w:val="center"/>
              <w:rPr>
                <w:lang w:eastAsia="zh-CN"/>
              </w:rPr>
            </w:pPr>
            <w:r w:rsidRPr="00A046E0">
              <w:rPr>
                <w:lang w:eastAsia="zh-CN"/>
              </w:rPr>
              <w:t>钻孔样点总数</w:t>
            </w:r>
          </w:p>
        </w:tc>
      </w:tr>
      <w:tr w:rsidR="00A046E0" w:rsidRPr="00A046E0" w14:paraId="1BECF5A0" w14:textId="77777777" w:rsidTr="00A046E0">
        <w:trPr>
          <w:tblCellSpacing w:w="15" w:type="dxa"/>
        </w:trPr>
        <w:tc>
          <w:tcPr>
            <w:tcW w:w="1176" w:type="dxa"/>
            <w:gridSpan w:val="2"/>
            <w:vAlign w:val="center"/>
            <w:hideMark/>
          </w:tcPr>
          <w:p w14:paraId="60B43429"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7C41F29D" w14:textId="77777777" w:rsidR="00A046E0" w:rsidRPr="00A046E0" w:rsidRDefault="00A046E0" w:rsidP="00A046E0">
            <w:pPr>
              <w:spacing w:after="40"/>
              <w:jc w:val="center"/>
              <w:rPr>
                <w:lang w:eastAsia="zh-CN"/>
              </w:rPr>
            </w:pPr>
            <w:r w:rsidRPr="00A046E0">
              <w:rPr>
                <w:lang w:eastAsia="zh-CN"/>
              </w:rPr>
              <w:t>厚度最小值</w:t>
            </w:r>
          </w:p>
        </w:tc>
        <w:tc>
          <w:tcPr>
            <w:tcW w:w="1170" w:type="dxa"/>
            <w:vAlign w:val="center"/>
            <w:hideMark/>
          </w:tcPr>
          <w:p w14:paraId="09057C8E" w14:textId="5A8E0A7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min</m:t>
                    </m:r>
                  </m:sub>
                </m:sSub>
              </m:oMath>
            </m:oMathPara>
          </w:p>
        </w:tc>
        <w:tc>
          <w:tcPr>
            <w:tcW w:w="1388" w:type="dxa"/>
            <w:vAlign w:val="center"/>
            <w:hideMark/>
          </w:tcPr>
          <w:p w14:paraId="32880F74" w14:textId="77777777" w:rsidR="00A046E0" w:rsidRPr="00A046E0" w:rsidRDefault="00A046E0" w:rsidP="00A046E0">
            <w:pPr>
              <w:spacing w:after="40"/>
              <w:jc w:val="center"/>
              <w:rPr>
                <w:lang w:eastAsia="zh-CN"/>
              </w:rPr>
            </w:pPr>
            <w:r w:rsidRPr="00A046E0">
              <w:rPr>
                <w:lang w:eastAsia="zh-CN"/>
              </w:rPr>
              <w:t>2.8</w:t>
            </w:r>
          </w:p>
        </w:tc>
        <w:tc>
          <w:tcPr>
            <w:tcW w:w="679" w:type="dxa"/>
            <w:vAlign w:val="center"/>
            <w:hideMark/>
          </w:tcPr>
          <w:p w14:paraId="28C5B400"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43973C31"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0A5AFFD4" w14:textId="77777777" w:rsidTr="00A046E0">
        <w:trPr>
          <w:tblCellSpacing w:w="15" w:type="dxa"/>
        </w:trPr>
        <w:tc>
          <w:tcPr>
            <w:tcW w:w="1176" w:type="dxa"/>
            <w:gridSpan w:val="2"/>
            <w:vAlign w:val="center"/>
            <w:hideMark/>
          </w:tcPr>
          <w:p w14:paraId="6C97BC16"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14178457" w14:textId="77777777" w:rsidR="00A046E0" w:rsidRPr="00A046E0" w:rsidRDefault="00A046E0" w:rsidP="00A046E0">
            <w:pPr>
              <w:spacing w:after="40"/>
              <w:jc w:val="center"/>
              <w:rPr>
                <w:lang w:eastAsia="zh-CN"/>
              </w:rPr>
            </w:pPr>
            <w:r w:rsidRPr="00A046E0">
              <w:rPr>
                <w:lang w:eastAsia="zh-CN"/>
              </w:rPr>
              <w:t>厚度最大值</w:t>
            </w:r>
          </w:p>
        </w:tc>
        <w:tc>
          <w:tcPr>
            <w:tcW w:w="1170" w:type="dxa"/>
            <w:vAlign w:val="center"/>
            <w:hideMark/>
          </w:tcPr>
          <w:p w14:paraId="653CCA41" w14:textId="6D6005C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max</m:t>
                    </m:r>
                  </m:sub>
                </m:sSub>
              </m:oMath>
            </m:oMathPara>
          </w:p>
        </w:tc>
        <w:tc>
          <w:tcPr>
            <w:tcW w:w="1388" w:type="dxa"/>
            <w:vAlign w:val="center"/>
            <w:hideMark/>
          </w:tcPr>
          <w:p w14:paraId="682818D8" w14:textId="77777777" w:rsidR="00A046E0" w:rsidRPr="00A046E0" w:rsidRDefault="00A046E0" w:rsidP="00A046E0">
            <w:pPr>
              <w:spacing w:after="40"/>
              <w:jc w:val="center"/>
              <w:rPr>
                <w:lang w:eastAsia="zh-CN"/>
              </w:rPr>
            </w:pPr>
            <w:r w:rsidRPr="00A046E0">
              <w:rPr>
                <w:lang w:eastAsia="zh-CN"/>
              </w:rPr>
              <w:t>4.8</w:t>
            </w:r>
          </w:p>
        </w:tc>
        <w:tc>
          <w:tcPr>
            <w:tcW w:w="679" w:type="dxa"/>
            <w:vAlign w:val="center"/>
            <w:hideMark/>
          </w:tcPr>
          <w:p w14:paraId="654E129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7F2D5D23"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33D12525" w14:textId="77777777" w:rsidTr="00A046E0">
        <w:trPr>
          <w:tblCellSpacing w:w="15" w:type="dxa"/>
        </w:trPr>
        <w:tc>
          <w:tcPr>
            <w:tcW w:w="1176" w:type="dxa"/>
            <w:gridSpan w:val="2"/>
            <w:vAlign w:val="center"/>
            <w:hideMark/>
          </w:tcPr>
          <w:p w14:paraId="60152215"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25C97711" w14:textId="77777777" w:rsidR="00A046E0" w:rsidRPr="00A046E0" w:rsidRDefault="00A046E0" w:rsidP="00A046E0">
            <w:pPr>
              <w:spacing w:after="40"/>
              <w:jc w:val="center"/>
              <w:rPr>
                <w:lang w:eastAsia="zh-CN"/>
              </w:rPr>
            </w:pPr>
            <w:r w:rsidRPr="00A046E0">
              <w:rPr>
                <w:lang w:eastAsia="zh-CN"/>
              </w:rPr>
              <w:t>厚度平均值</w:t>
            </w:r>
          </w:p>
        </w:tc>
        <w:tc>
          <w:tcPr>
            <w:tcW w:w="1170" w:type="dxa"/>
            <w:vAlign w:val="center"/>
            <w:hideMark/>
          </w:tcPr>
          <w:p w14:paraId="3CE98F2F" w14:textId="3DA81177" w:rsidR="00A046E0" w:rsidRPr="00A046E0" w:rsidRDefault="00A046E0" w:rsidP="00A046E0">
            <w:pPr>
              <w:spacing w:after="40"/>
              <w:jc w:val="center"/>
              <w:rPr>
                <w:lang w:eastAsia="zh-CN"/>
              </w:rPr>
            </w:pPr>
            <m:oMathPara>
              <m:oMath>
                <m:acc>
                  <m:accPr>
                    <m:chr m:val="ˉ"/>
                    <m:ctrlPr>
                      <w:rPr>
                        <w:rFonts w:ascii="Cambria Math" w:hAnsi="Cambria Math"/>
                        <w:lang w:eastAsia="zh-CN"/>
                      </w:rPr>
                    </m:ctrlPr>
                  </m:accPr>
                  <m:e>
                    <m:r>
                      <w:rPr>
                        <w:rFonts w:ascii="Cambria Math" w:hAnsi="Cambria Math"/>
                        <w:lang w:eastAsia="zh-CN"/>
                      </w:rPr>
                      <m:t>h</m:t>
                    </m:r>
                  </m:e>
                </m:acc>
              </m:oMath>
            </m:oMathPara>
          </w:p>
        </w:tc>
        <w:tc>
          <w:tcPr>
            <w:tcW w:w="1388" w:type="dxa"/>
            <w:vAlign w:val="center"/>
            <w:hideMark/>
          </w:tcPr>
          <w:p w14:paraId="6726C6E7" w14:textId="77777777" w:rsidR="00A046E0" w:rsidRPr="00A046E0" w:rsidRDefault="00A046E0" w:rsidP="00A046E0">
            <w:pPr>
              <w:spacing w:after="40"/>
              <w:jc w:val="center"/>
              <w:rPr>
                <w:lang w:eastAsia="zh-CN"/>
              </w:rPr>
            </w:pPr>
            <w:r w:rsidRPr="00A046E0">
              <w:rPr>
                <w:lang w:eastAsia="zh-CN"/>
              </w:rPr>
              <w:t>3.7933</w:t>
            </w:r>
          </w:p>
        </w:tc>
        <w:tc>
          <w:tcPr>
            <w:tcW w:w="679" w:type="dxa"/>
            <w:vAlign w:val="center"/>
            <w:hideMark/>
          </w:tcPr>
          <w:p w14:paraId="55A97B09"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1E1F06B"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478DE2CA" w14:textId="77777777" w:rsidTr="00A046E0">
        <w:trPr>
          <w:tblCellSpacing w:w="15" w:type="dxa"/>
        </w:trPr>
        <w:tc>
          <w:tcPr>
            <w:tcW w:w="1176" w:type="dxa"/>
            <w:gridSpan w:val="2"/>
            <w:vAlign w:val="center"/>
            <w:hideMark/>
          </w:tcPr>
          <w:p w14:paraId="798AC1F9" w14:textId="77777777" w:rsidR="00A046E0" w:rsidRPr="00A046E0" w:rsidRDefault="00A046E0" w:rsidP="00A046E0">
            <w:pPr>
              <w:spacing w:after="40"/>
              <w:jc w:val="center"/>
              <w:rPr>
                <w:lang w:eastAsia="zh-CN"/>
              </w:rPr>
            </w:pPr>
            <w:r w:rsidRPr="00A046E0">
              <w:rPr>
                <w:lang w:eastAsia="zh-CN"/>
              </w:rPr>
              <w:t>几何约束</w:t>
            </w:r>
          </w:p>
        </w:tc>
        <w:tc>
          <w:tcPr>
            <w:tcW w:w="2763" w:type="dxa"/>
            <w:vAlign w:val="center"/>
            <w:hideMark/>
          </w:tcPr>
          <w:p w14:paraId="5B405CE0" w14:textId="77777777" w:rsidR="00A046E0" w:rsidRPr="00A046E0" w:rsidRDefault="00A046E0" w:rsidP="00A046E0">
            <w:pPr>
              <w:spacing w:after="40"/>
              <w:jc w:val="center"/>
              <w:rPr>
                <w:lang w:eastAsia="zh-CN"/>
              </w:rPr>
            </w:pPr>
            <w:r w:rsidRPr="00A046E0">
              <w:rPr>
                <w:lang w:eastAsia="zh-CN"/>
              </w:rPr>
              <w:t>边界煤柱宽度</w:t>
            </w:r>
          </w:p>
        </w:tc>
        <w:tc>
          <w:tcPr>
            <w:tcW w:w="1170" w:type="dxa"/>
            <w:vAlign w:val="center"/>
            <w:hideMark/>
          </w:tcPr>
          <w:p w14:paraId="4F37DB1C" w14:textId="0175C672"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1</m:t>
                    </m:r>
                  </m:sub>
                </m:sSub>
              </m:oMath>
            </m:oMathPara>
          </w:p>
        </w:tc>
        <w:tc>
          <w:tcPr>
            <w:tcW w:w="1388" w:type="dxa"/>
            <w:vAlign w:val="center"/>
            <w:hideMark/>
          </w:tcPr>
          <w:p w14:paraId="2CDDA3EE" w14:textId="77777777" w:rsidR="00A046E0" w:rsidRPr="00A046E0" w:rsidRDefault="00A046E0" w:rsidP="00A046E0">
            <w:pPr>
              <w:spacing w:after="40"/>
              <w:jc w:val="center"/>
              <w:rPr>
                <w:lang w:eastAsia="zh-CN"/>
              </w:rPr>
            </w:pPr>
          </w:p>
        </w:tc>
        <w:tc>
          <w:tcPr>
            <w:tcW w:w="679" w:type="dxa"/>
            <w:vAlign w:val="center"/>
            <w:hideMark/>
          </w:tcPr>
          <w:p w14:paraId="4DE6A45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243CB238"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055217CD" w14:textId="77777777" w:rsidTr="00A046E0">
        <w:trPr>
          <w:tblCellSpacing w:w="15" w:type="dxa"/>
        </w:trPr>
        <w:tc>
          <w:tcPr>
            <w:tcW w:w="1176" w:type="dxa"/>
            <w:gridSpan w:val="2"/>
            <w:vAlign w:val="center"/>
            <w:hideMark/>
          </w:tcPr>
          <w:p w14:paraId="29422E0F" w14:textId="77777777" w:rsidR="00A046E0" w:rsidRPr="00A046E0" w:rsidRDefault="00A046E0" w:rsidP="00A046E0">
            <w:pPr>
              <w:spacing w:after="40"/>
              <w:jc w:val="center"/>
              <w:rPr>
                <w:lang w:eastAsia="zh-CN"/>
              </w:rPr>
            </w:pPr>
            <w:r w:rsidRPr="00A046E0">
              <w:rPr>
                <w:lang w:eastAsia="zh-CN"/>
              </w:rPr>
              <w:lastRenderedPageBreak/>
              <w:t>几何约束</w:t>
            </w:r>
          </w:p>
        </w:tc>
        <w:tc>
          <w:tcPr>
            <w:tcW w:w="2763" w:type="dxa"/>
            <w:vAlign w:val="center"/>
            <w:hideMark/>
          </w:tcPr>
          <w:p w14:paraId="6AEDC4A5" w14:textId="77777777" w:rsidR="00A046E0" w:rsidRPr="00A046E0" w:rsidRDefault="00A046E0" w:rsidP="00A046E0">
            <w:pPr>
              <w:spacing w:after="40"/>
              <w:jc w:val="center"/>
              <w:rPr>
                <w:lang w:eastAsia="zh-CN"/>
              </w:rPr>
            </w:pPr>
            <w:r w:rsidRPr="00A046E0">
              <w:rPr>
                <w:lang w:eastAsia="zh-CN"/>
              </w:rPr>
              <w:t>区段煤柱宽度</w:t>
            </w:r>
          </w:p>
        </w:tc>
        <w:tc>
          <w:tcPr>
            <w:tcW w:w="1170" w:type="dxa"/>
            <w:vAlign w:val="center"/>
            <w:hideMark/>
          </w:tcPr>
          <w:p w14:paraId="3E9DEDEB" w14:textId="04E4475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2</m:t>
                    </m:r>
                  </m:sub>
                </m:sSub>
              </m:oMath>
            </m:oMathPara>
          </w:p>
        </w:tc>
        <w:tc>
          <w:tcPr>
            <w:tcW w:w="1388" w:type="dxa"/>
            <w:vAlign w:val="center"/>
            <w:hideMark/>
          </w:tcPr>
          <w:p w14:paraId="4BBD3380" w14:textId="77777777" w:rsidR="00A046E0" w:rsidRPr="00A046E0" w:rsidRDefault="00A046E0" w:rsidP="00A046E0">
            <w:pPr>
              <w:spacing w:after="40"/>
              <w:jc w:val="center"/>
              <w:rPr>
                <w:lang w:eastAsia="zh-CN"/>
              </w:rPr>
            </w:pPr>
          </w:p>
        </w:tc>
        <w:tc>
          <w:tcPr>
            <w:tcW w:w="679" w:type="dxa"/>
            <w:vAlign w:val="center"/>
            <w:hideMark/>
          </w:tcPr>
          <w:p w14:paraId="346D9B4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BE9D9B6"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339F9C0" w14:textId="77777777" w:rsidTr="00A046E0">
        <w:trPr>
          <w:tblCellSpacing w:w="15" w:type="dxa"/>
        </w:trPr>
        <w:tc>
          <w:tcPr>
            <w:tcW w:w="0" w:type="auto"/>
            <w:vAlign w:val="center"/>
            <w:hideMark/>
          </w:tcPr>
          <w:p w14:paraId="3967D08A" w14:textId="77777777" w:rsidR="00A046E0" w:rsidRPr="00A046E0" w:rsidRDefault="00A046E0" w:rsidP="00A046E0">
            <w:pPr>
              <w:spacing w:after="40"/>
              <w:jc w:val="center"/>
              <w:rPr>
                <w:lang w:eastAsia="zh-CN"/>
              </w:rPr>
            </w:pPr>
            <w:r w:rsidRPr="00A046E0">
              <w:rPr>
                <w:lang w:eastAsia="zh-CN"/>
              </w:rPr>
              <w:t>几何约束</w:t>
            </w:r>
          </w:p>
        </w:tc>
        <w:tc>
          <w:tcPr>
            <w:tcW w:w="2793" w:type="dxa"/>
            <w:gridSpan w:val="2"/>
            <w:vAlign w:val="center"/>
            <w:hideMark/>
          </w:tcPr>
          <w:p w14:paraId="5EB81965" w14:textId="77777777" w:rsidR="00A046E0" w:rsidRPr="00A046E0" w:rsidRDefault="00A046E0" w:rsidP="00A046E0">
            <w:pPr>
              <w:spacing w:after="40"/>
              <w:jc w:val="center"/>
              <w:rPr>
                <w:lang w:eastAsia="zh-CN"/>
              </w:rPr>
            </w:pPr>
            <w:r w:rsidRPr="00A046E0">
              <w:rPr>
                <w:lang w:eastAsia="zh-CN"/>
              </w:rPr>
              <w:t>局部保护距离</w:t>
            </w:r>
          </w:p>
        </w:tc>
        <w:tc>
          <w:tcPr>
            <w:tcW w:w="1170" w:type="dxa"/>
            <w:vAlign w:val="center"/>
            <w:hideMark/>
          </w:tcPr>
          <w:p w14:paraId="57B31AAC" w14:textId="5549098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p</m:t>
                    </m:r>
                  </m:sub>
                </m:sSub>
              </m:oMath>
            </m:oMathPara>
          </w:p>
        </w:tc>
        <w:tc>
          <w:tcPr>
            <w:tcW w:w="1388" w:type="dxa"/>
            <w:vAlign w:val="center"/>
            <w:hideMark/>
          </w:tcPr>
          <w:p w14:paraId="0D13104E" w14:textId="77777777" w:rsidR="00A046E0" w:rsidRPr="00A046E0" w:rsidRDefault="00A046E0" w:rsidP="00A046E0">
            <w:pPr>
              <w:spacing w:after="40"/>
              <w:jc w:val="center"/>
              <w:rPr>
                <w:lang w:eastAsia="zh-CN"/>
              </w:rPr>
            </w:pPr>
          </w:p>
        </w:tc>
        <w:tc>
          <w:tcPr>
            <w:tcW w:w="679" w:type="dxa"/>
            <w:vAlign w:val="center"/>
            <w:hideMark/>
          </w:tcPr>
          <w:p w14:paraId="2F652F5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7D50BFE"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5C3C62F6" w14:textId="77777777" w:rsidTr="00A046E0">
        <w:trPr>
          <w:tblCellSpacing w:w="15" w:type="dxa"/>
        </w:trPr>
        <w:tc>
          <w:tcPr>
            <w:tcW w:w="0" w:type="auto"/>
            <w:vAlign w:val="center"/>
            <w:hideMark/>
          </w:tcPr>
          <w:p w14:paraId="022EF280"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5E19D15E" w14:textId="77777777" w:rsidR="00A046E0" w:rsidRPr="00A046E0" w:rsidRDefault="00A046E0" w:rsidP="00A046E0">
            <w:pPr>
              <w:spacing w:after="40"/>
              <w:jc w:val="center"/>
              <w:rPr>
                <w:lang w:eastAsia="zh-CN"/>
              </w:rPr>
            </w:pPr>
            <w:r w:rsidRPr="00A046E0">
              <w:rPr>
                <w:lang w:eastAsia="zh-CN"/>
              </w:rPr>
              <w:t>工作面最小宽度</w:t>
            </w:r>
          </w:p>
        </w:tc>
        <w:tc>
          <w:tcPr>
            <w:tcW w:w="1170" w:type="dxa"/>
            <w:vAlign w:val="center"/>
            <w:hideMark/>
          </w:tcPr>
          <w:p w14:paraId="1F81FE2F" w14:textId="7A312520"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min</m:t>
                    </m:r>
                  </m:sub>
                </m:sSub>
              </m:oMath>
            </m:oMathPara>
          </w:p>
        </w:tc>
        <w:tc>
          <w:tcPr>
            <w:tcW w:w="1388" w:type="dxa"/>
            <w:vAlign w:val="center"/>
            <w:hideMark/>
          </w:tcPr>
          <w:p w14:paraId="5901254B" w14:textId="77777777" w:rsidR="00A046E0" w:rsidRPr="00A046E0" w:rsidRDefault="00A046E0" w:rsidP="00A046E0">
            <w:pPr>
              <w:spacing w:after="40"/>
              <w:jc w:val="center"/>
              <w:rPr>
                <w:lang w:eastAsia="zh-CN"/>
              </w:rPr>
            </w:pPr>
          </w:p>
        </w:tc>
        <w:tc>
          <w:tcPr>
            <w:tcW w:w="679" w:type="dxa"/>
            <w:vAlign w:val="center"/>
            <w:hideMark/>
          </w:tcPr>
          <w:p w14:paraId="1C008E62"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C62FACD"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455D4F80" w14:textId="77777777" w:rsidTr="00A046E0">
        <w:trPr>
          <w:tblCellSpacing w:w="15" w:type="dxa"/>
        </w:trPr>
        <w:tc>
          <w:tcPr>
            <w:tcW w:w="0" w:type="auto"/>
            <w:vAlign w:val="center"/>
            <w:hideMark/>
          </w:tcPr>
          <w:p w14:paraId="13AD6511"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7E0AEDA7" w14:textId="77777777" w:rsidR="00A046E0" w:rsidRPr="00A046E0" w:rsidRDefault="00A046E0" w:rsidP="00A046E0">
            <w:pPr>
              <w:spacing w:after="40"/>
              <w:jc w:val="center"/>
              <w:rPr>
                <w:lang w:eastAsia="zh-CN"/>
              </w:rPr>
            </w:pPr>
            <w:r w:rsidRPr="00A046E0">
              <w:rPr>
                <w:lang w:eastAsia="zh-CN"/>
              </w:rPr>
              <w:t>工作面最大宽度</w:t>
            </w:r>
          </w:p>
        </w:tc>
        <w:tc>
          <w:tcPr>
            <w:tcW w:w="1170" w:type="dxa"/>
            <w:vAlign w:val="center"/>
            <w:hideMark/>
          </w:tcPr>
          <w:p w14:paraId="044C0D84" w14:textId="66C1D865"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max</m:t>
                    </m:r>
                  </m:sub>
                </m:sSub>
              </m:oMath>
            </m:oMathPara>
          </w:p>
        </w:tc>
        <w:tc>
          <w:tcPr>
            <w:tcW w:w="1388" w:type="dxa"/>
            <w:vAlign w:val="center"/>
            <w:hideMark/>
          </w:tcPr>
          <w:p w14:paraId="74AF3F84" w14:textId="77777777" w:rsidR="00A046E0" w:rsidRPr="00A046E0" w:rsidRDefault="00A046E0" w:rsidP="00A046E0">
            <w:pPr>
              <w:spacing w:after="40"/>
              <w:jc w:val="center"/>
              <w:rPr>
                <w:lang w:eastAsia="zh-CN"/>
              </w:rPr>
            </w:pPr>
          </w:p>
        </w:tc>
        <w:tc>
          <w:tcPr>
            <w:tcW w:w="679" w:type="dxa"/>
            <w:vAlign w:val="center"/>
            <w:hideMark/>
          </w:tcPr>
          <w:p w14:paraId="02249E7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1E1253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3EDFE5E1" w14:textId="77777777" w:rsidTr="00A046E0">
        <w:trPr>
          <w:tblCellSpacing w:w="15" w:type="dxa"/>
        </w:trPr>
        <w:tc>
          <w:tcPr>
            <w:tcW w:w="0" w:type="auto"/>
            <w:vAlign w:val="center"/>
            <w:hideMark/>
          </w:tcPr>
          <w:p w14:paraId="27BFCBE6"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03FE0DB3" w14:textId="77777777" w:rsidR="00A046E0" w:rsidRPr="00A046E0" w:rsidRDefault="00A046E0" w:rsidP="00A046E0">
            <w:pPr>
              <w:spacing w:after="40"/>
              <w:jc w:val="center"/>
              <w:rPr>
                <w:lang w:eastAsia="zh-CN"/>
              </w:rPr>
            </w:pPr>
            <w:r w:rsidRPr="00A046E0">
              <w:rPr>
                <w:lang w:eastAsia="zh-CN"/>
              </w:rPr>
              <w:t>最小推进长度</w:t>
            </w:r>
          </w:p>
        </w:tc>
        <w:tc>
          <w:tcPr>
            <w:tcW w:w="1170" w:type="dxa"/>
            <w:vAlign w:val="center"/>
            <w:hideMark/>
          </w:tcPr>
          <w:p w14:paraId="44604905" w14:textId="0A03582D"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min</m:t>
                    </m:r>
                  </m:sub>
                </m:sSub>
              </m:oMath>
            </m:oMathPara>
          </w:p>
        </w:tc>
        <w:tc>
          <w:tcPr>
            <w:tcW w:w="1388" w:type="dxa"/>
            <w:vAlign w:val="center"/>
            <w:hideMark/>
          </w:tcPr>
          <w:p w14:paraId="3CDE191C" w14:textId="77777777" w:rsidR="00A046E0" w:rsidRPr="00A046E0" w:rsidRDefault="00A046E0" w:rsidP="00A046E0">
            <w:pPr>
              <w:spacing w:after="40"/>
              <w:jc w:val="center"/>
              <w:rPr>
                <w:lang w:eastAsia="zh-CN"/>
              </w:rPr>
            </w:pPr>
          </w:p>
        </w:tc>
        <w:tc>
          <w:tcPr>
            <w:tcW w:w="679" w:type="dxa"/>
            <w:vAlign w:val="center"/>
            <w:hideMark/>
          </w:tcPr>
          <w:p w14:paraId="2F762E46"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3DA0ADF"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1C27B29" w14:textId="77777777" w:rsidTr="00A046E0">
        <w:trPr>
          <w:tblCellSpacing w:w="15" w:type="dxa"/>
        </w:trPr>
        <w:tc>
          <w:tcPr>
            <w:tcW w:w="0" w:type="auto"/>
            <w:vAlign w:val="center"/>
            <w:hideMark/>
          </w:tcPr>
          <w:p w14:paraId="2E82AC8D"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66225F75" w14:textId="77777777" w:rsidR="00A046E0" w:rsidRPr="00A046E0" w:rsidRDefault="00A046E0" w:rsidP="00A046E0">
            <w:pPr>
              <w:spacing w:after="40"/>
              <w:jc w:val="center"/>
              <w:rPr>
                <w:lang w:eastAsia="zh-CN"/>
              </w:rPr>
            </w:pPr>
            <w:r w:rsidRPr="00A046E0">
              <w:rPr>
                <w:lang w:eastAsia="zh-CN"/>
              </w:rPr>
              <w:t>推进方向</w:t>
            </w:r>
          </w:p>
        </w:tc>
        <w:tc>
          <w:tcPr>
            <w:tcW w:w="1170" w:type="dxa"/>
            <w:vAlign w:val="center"/>
            <w:hideMark/>
          </w:tcPr>
          <w:p w14:paraId="4FB4FB39" w14:textId="77777777" w:rsidR="00A046E0" w:rsidRPr="00A046E0" w:rsidRDefault="00A046E0" w:rsidP="00A046E0">
            <w:pPr>
              <w:spacing w:after="40"/>
              <w:jc w:val="center"/>
              <w:rPr>
                <w:lang w:eastAsia="zh-CN"/>
              </w:rPr>
            </w:pPr>
          </w:p>
        </w:tc>
        <w:tc>
          <w:tcPr>
            <w:tcW w:w="1388" w:type="dxa"/>
            <w:vAlign w:val="center"/>
            <w:hideMark/>
          </w:tcPr>
          <w:p w14:paraId="6D168CE0" w14:textId="77777777" w:rsidR="00A046E0" w:rsidRPr="00A046E0" w:rsidRDefault="00A046E0" w:rsidP="00A046E0">
            <w:pPr>
              <w:spacing w:after="40"/>
              <w:jc w:val="center"/>
              <w:rPr>
                <w:lang w:eastAsia="zh-CN"/>
              </w:rPr>
            </w:pPr>
          </w:p>
        </w:tc>
        <w:tc>
          <w:tcPr>
            <w:tcW w:w="679" w:type="dxa"/>
            <w:vAlign w:val="center"/>
            <w:hideMark/>
          </w:tcPr>
          <w:p w14:paraId="15275F0B" w14:textId="77777777" w:rsidR="00A046E0" w:rsidRPr="00A046E0" w:rsidRDefault="00A046E0" w:rsidP="00A046E0">
            <w:pPr>
              <w:spacing w:after="40"/>
              <w:jc w:val="center"/>
              <w:rPr>
                <w:lang w:eastAsia="zh-CN"/>
              </w:rPr>
            </w:pPr>
          </w:p>
        </w:tc>
        <w:tc>
          <w:tcPr>
            <w:tcW w:w="2790" w:type="dxa"/>
            <w:vAlign w:val="center"/>
            <w:hideMark/>
          </w:tcPr>
          <w:p w14:paraId="2275F19B" w14:textId="77777777" w:rsidR="00A046E0" w:rsidRPr="00A046E0" w:rsidRDefault="00A046E0" w:rsidP="00A046E0">
            <w:pPr>
              <w:spacing w:after="40"/>
              <w:jc w:val="center"/>
              <w:rPr>
                <w:lang w:eastAsia="zh-CN"/>
              </w:rPr>
            </w:pPr>
            <w:proofErr w:type="gramStart"/>
            <w:r w:rsidRPr="00A046E0">
              <w:rPr>
                <w:lang w:eastAsia="zh-CN"/>
              </w:rPr>
              <w:t>如走向</w:t>
            </w:r>
            <w:proofErr w:type="gramEnd"/>
            <w:r w:rsidRPr="00A046E0">
              <w:rPr>
                <w:lang w:eastAsia="zh-CN"/>
              </w:rPr>
              <w:t>/</w:t>
            </w:r>
            <w:r w:rsidRPr="00A046E0">
              <w:rPr>
                <w:lang w:eastAsia="zh-CN"/>
              </w:rPr>
              <w:t>倾向</w:t>
            </w:r>
          </w:p>
        </w:tc>
      </w:tr>
      <w:tr w:rsidR="00A046E0" w:rsidRPr="00A046E0" w14:paraId="2F96A783" w14:textId="77777777" w:rsidTr="00A046E0">
        <w:trPr>
          <w:tblCellSpacing w:w="15" w:type="dxa"/>
        </w:trPr>
        <w:tc>
          <w:tcPr>
            <w:tcW w:w="0" w:type="auto"/>
            <w:vAlign w:val="center"/>
            <w:hideMark/>
          </w:tcPr>
          <w:p w14:paraId="3CFBA20C" w14:textId="77777777" w:rsidR="00A046E0" w:rsidRPr="00A046E0" w:rsidRDefault="00A046E0" w:rsidP="00A046E0">
            <w:pPr>
              <w:spacing w:after="40"/>
              <w:jc w:val="center"/>
              <w:rPr>
                <w:lang w:eastAsia="zh-CN"/>
              </w:rPr>
            </w:pPr>
            <w:r w:rsidRPr="00A046E0">
              <w:rPr>
                <w:lang w:eastAsia="zh-CN"/>
              </w:rPr>
              <w:t>风险参数</w:t>
            </w:r>
          </w:p>
        </w:tc>
        <w:tc>
          <w:tcPr>
            <w:tcW w:w="2793" w:type="dxa"/>
            <w:gridSpan w:val="2"/>
            <w:vAlign w:val="center"/>
            <w:hideMark/>
          </w:tcPr>
          <w:p w14:paraId="1C846B25" w14:textId="77777777" w:rsidR="00A046E0" w:rsidRPr="00A046E0" w:rsidRDefault="00A046E0" w:rsidP="00A046E0">
            <w:pPr>
              <w:spacing w:after="40"/>
              <w:jc w:val="center"/>
              <w:rPr>
                <w:lang w:eastAsia="zh-CN"/>
              </w:rPr>
            </w:pPr>
            <w:r w:rsidRPr="00A046E0">
              <w:rPr>
                <w:lang w:eastAsia="zh-CN"/>
              </w:rPr>
              <w:t xml:space="preserve">ODI </w:t>
            </w:r>
            <w:r w:rsidRPr="00A046E0">
              <w:rPr>
                <w:lang w:eastAsia="zh-CN"/>
              </w:rPr>
              <w:t>阈值</w:t>
            </w:r>
          </w:p>
        </w:tc>
        <w:tc>
          <w:tcPr>
            <w:tcW w:w="1170" w:type="dxa"/>
            <w:vAlign w:val="center"/>
            <w:hideMark/>
          </w:tcPr>
          <w:p w14:paraId="1F0F3A8B" w14:textId="5349966A" w:rsidR="00A046E0" w:rsidRPr="00A046E0" w:rsidRDefault="00A046E0" w:rsidP="00A046E0">
            <w:pPr>
              <w:spacing w:after="40"/>
              <w:jc w:val="center"/>
              <w:rPr>
                <w:lang w:eastAsia="zh-CN"/>
              </w:rPr>
            </w:pPr>
            <m:oMathPara>
              <m:oMath>
                <m:r>
                  <w:rPr>
                    <w:rFonts w:ascii="Cambria Math" w:hAnsi="Cambria Math"/>
                    <w:lang w:eastAsia="zh-CN"/>
                  </w:rPr>
                  <m:t>τ</m:t>
                </m:r>
              </m:oMath>
            </m:oMathPara>
          </w:p>
        </w:tc>
        <w:tc>
          <w:tcPr>
            <w:tcW w:w="1388" w:type="dxa"/>
            <w:vAlign w:val="center"/>
            <w:hideMark/>
          </w:tcPr>
          <w:p w14:paraId="2645A0A4" w14:textId="77777777" w:rsidR="00A046E0" w:rsidRPr="00A046E0" w:rsidRDefault="00A046E0" w:rsidP="00A046E0">
            <w:pPr>
              <w:spacing w:after="40"/>
              <w:jc w:val="center"/>
              <w:rPr>
                <w:lang w:eastAsia="zh-CN"/>
              </w:rPr>
            </w:pPr>
          </w:p>
        </w:tc>
        <w:tc>
          <w:tcPr>
            <w:tcW w:w="679" w:type="dxa"/>
            <w:vAlign w:val="center"/>
            <w:hideMark/>
          </w:tcPr>
          <w:p w14:paraId="58308B9E"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596916A5" w14:textId="77777777" w:rsidR="00A046E0" w:rsidRPr="00A046E0" w:rsidRDefault="00A046E0" w:rsidP="00A046E0">
            <w:pPr>
              <w:spacing w:after="40"/>
              <w:jc w:val="center"/>
              <w:rPr>
                <w:lang w:eastAsia="zh-CN"/>
              </w:rPr>
            </w:pPr>
            <w:r w:rsidRPr="00A046E0">
              <w:rPr>
                <w:lang w:eastAsia="zh-CN"/>
              </w:rPr>
              <w:t>方案筛选阈值</w:t>
            </w:r>
          </w:p>
        </w:tc>
      </w:tr>
      <w:tr w:rsidR="00A046E0" w:rsidRPr="00A046E0" w14:paraId="32A71EA9" w14:textId="77777777" w:rsidTr="00A046E0">
        <w:trPr>
          <w:tblCellSpacing w:w="15" w:type="dxa"/>
        </w:trPr>
        <w:tc>
          <w:tcPr>
            <w:tcW w:w="0" w:type="auto"/>
            <w:vAlign w:val="center"/>
            <w:hideMark/>
          </w:tcPr>
          <w:p w14:paraId="41A511D3"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74A99F32" w14:textId="77777777" w:rsidR="00A046E0" w:rsidRPr="00A046E0" w:rsidRDefault="00A046E0" w:rsidP="00A046E0">
            <w:pPr>
              <w:spacing w:after="40"/>
              <w:jc w:val="center"/>
              <w:rPr>
                <w:lang w:eastAsia="zh-CN"/>
              </w:rPr>
            </w:pPr>
            <w:r w:rsidRPr="00A046E0">
              <w:rPr>
                <w:lang w:eastAsia="zh-CN"/>
              </w:rPr>
              <w:t>工程效率权重</w:t>
            </w:r>
          </w:p>
        </w:tc>
        <w:tc>
          <w:tcPr>
            <w:tcW w:w="1170" w:type="dxa"/>
            <w:vAlign w:val="center"/>
            <w:hideMark/>
          </w:tcPr>
          <w:p w14:paraId="2A4D2F4F" w14:textId="5CC6052E" w:rsidR="00A046E0" w:rsidRPr="00A046E0" w:rsidRDefault="00A046E0" w:rsidP="00A046E0">
            <w:pPr>
              <w:spacing w:after="40"/>
              <w:jc w:val="center"/>
              <w:rPr>
                <w:lang w:eastAsia="zh-CN"/>
              </w:rPr>
            </w:pPr>
            <m:oMathPara>
              <m:oMath>
                <m:r>
                  <w:rPr>
                    <w:rFonts w:ascii="Cambria Math" w:hAnsi="Cambria Math"/>
                    <w:lang w:eastAsia="zh-CN"/>
                  </w:rPr>
                  <m:t>α</m:t>
                </m:r>
              </m:oMath>
            </m:oMathPara>
          </w:p>
        </w:tc>
        <w:tc>
          <w:tcPr>
            <w:tcW w:w="1388" w:type="dxa"/>
            <w:vAlign w:val="center"/>
            <w:hideMark/>
          </w:tcPr>
          <w:p w14:paraId="6E1CC423" w14:textId="77777777" w:rsidR="00A046E0" w:rsidRPr="00A046E0" w:rsidRDefault="00A046E0" w:rsidP="00A046E0">
            <w:pPr>
              <w:spacing w:after="40"/>
              <w:jc w:val="center"/>
              <w:rPr>
                <w:lang w:eastAsia="zh-CN"/>
              </w:rPr>
            </w:pPr>
          </w:p>
        </w:tc>
        <w:tc>
          <w:tcPr>
            <w:tcW w:w="679" w:type="dxa"/>
            <w:vAlign w:val="center"/>
            <w:hideMark/>
          </w:tcPr>
          <w:p w14:paraId="609D55C5"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EF04581"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7E501014" w14:textId="77777777" w:rsidTr="00A046E0">
        <w:trPr>
          <w:tblCellSpacing w:w="15" w:type="dxa"/>
        </w:trPr>
        <w:tc>
          <w:tcPr>
            <w:tcW w:w="0" w:type="auto"/>
            <w:vAlign w:val="center"/>
            <w:hideMark/>
          </w:tcPr>
          <w:p w14:paraId="50500718"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292D0B6C" w14:textId="77777777" w:rsidR="00A046E0" w:rsidRPr="00A046E0" w:rsidRDefault="00A046E0" w:rsidP="00A046E0">
            <w:pPr>
              <w:spacing w:after="40"/>
              <w:jc w:val="center"/>
              <w:rPr>
                <w:lang w:eastAsia="zh-CN"/>
              </w:rPr>
            </w:pPr>
            <w:r w:rsidRPr="00A046E0">
              <w:rPr>
                <w:lang w:eastAsia="zh-CN"/>
              </w:rPr>
              <w:t>资源回收权重</w:t>
            </w:r>
          </w:p>
        </w:tc>
        <w:tc>
          <w:tcPr>
            <w:tcW w:w="1170" w:type="dxa"/>
            <w:vAlign w:val="center"/>
            <w:hideMark/>
          </w:tcPr>
          <w:p w14:paraId="401BF0B2" w14:textId="27A957FC" w:rsidR="00A046E0" w:rsidRPr="00A046E0" w:rsidRDefault="00A046E0" w:rsidP="00A046E0">
            <w:pPr>
              <w:spacing w:after="40"/>
              <w:jc w:val="center"/>
              <w:rPr>
                <w:lang w:eastAsia="zh-CN"/>
              </w:rPr>
            </w:pPr>
            <m:oMathPara>
              <m:oMath>
                <m:r>
                  <w:rPr>
                    <w:rFonts w:ascii="Cambria Math" w:hAnsi="Cambria Math"/>
                    <w:lang w:eastAsia="zh-CN"/>
                  </w:rPr>
                  <m:t>β</m:t>
                </m:r>
              </m:oMath>
            </m:oMathPara>
          </w:p>
        </w:tc>
        <w:tc>
          <w:tcPr>
            <w:tcW w:w="1388" w:type="dxa"/>
            <w:vAlign w:val="center"/>
            <w:hideMark/>
          </w:tcPr>
          <w:p w14:paraId="0AEDBAED" w14:textId="77777777" w:rsidR="00A046E0" w:rsidRPr="00A046E0" w:rsidRDefault="00A046E0" w:rsidP="00A046E0">
            <w:pPr>
              <w:spacing w:after="40"/>
              <w:jc w:val="center"/>
              <w:rPr>
                <w:lang w:eastAsia="zh-CN"/>
              </w:rPr>
            </w:pPr>
          </w:p>
        </w:tc>
        <w:tc>
          <w:tcPr>
            <w:tcW w:w="679" w:type="dxa"/>
            <w:vAlign w:val="center"/>
            <w:hideMark/>
          </w:tcPr>
          <w:p w14:paraId="5D28DCE7"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3AF7CB6"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2999A1EC" w14:textId="77777777" w:rsidTr="00A046E0">
        <w:trPr>
          <w:tblCellSpacing w:w="15" w:type="dxa"/>
        </w:trPr>
        <w:tc>
          <w:tcPr>
            <w:tcW w:w="0" w:type="auto"/>
            <w:vAlign w:val="center"/>
            <w:hideMark/>
          </w:tcPr>
          <w:p w14:paraId="6085D7C9"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09B41210" w14:textId="77777777" w:rsidR="00A046E0" w:rsidRPr="00A046E0" w:rsidRDefault="00A046E0" w:rsidP="00A046E0">
            <w:pPr>
              <w:spacing w:after="40"/>
              <w:jc w:val="center"/>
              <w:rPr>
                <w:lang w:eastAsia="zh-CN"/>
              </w:rPr>
            </w:pPr>
            <w:r w:rsidRPr="00A046E0">
              <w:rPr>
                <w:lang w:eastAsia="zh-CN"/>
              </w:rPr>
              <w:t>扰动控制权重</w:t>
            </w:r>
          </w:p>
        </w:tc>
        <w:tc>
          <w:tcPr>
            <w:tcW w:w="1170" w:type="dxa"/>
            <w:vAlign w:val="center"/>
            <w:hideMark/>
          </w:tcPr>
          <w:p w14:paraId="5C25B3B2" w14:textId="11256957" w:rsidR="00A046E0" w:rsidRPr="00A046E0" w:rsidRDefault="00A046E0" w:rsidP="00A046E0">
            <w:pPr>
              <w:spacing w:after="40"/>
              <w:jc w:val="center"/>
              <w:rPr>
                <w:lang w:eastAsia="zh-CN"/>
              </w:rPr>
            </w:pPr>
            <m:oMathPara>
              <m:oMath>
                <m:r>
                  <w:rPr>
                    <w:rFonts w:ascii="Cambria Math" w:hAnsi="Cambria Math"/>
                    <w:lang w:eastAsia="zh-CN"/>
                  </w:rPr>
                  <m:t>γ</m:t>
                </m:r>
              </m:oMath>
            </m:oMathPara>
          </w:p>
        </w:tc>
        <w:tc>
          <w:tcPr>
            <w:tcW w:w="1388" w:type="dxa"/>
            <w:vAlign w:val="center"/>
            <w:hideMark/>
          </w:tcPr>
          <w:p w14:paraId="2D6BA33C" w14:textId="77777777" w:rsidR="00A046E0" w:rsidRPr="00A046E0" w:rsidRDefault="00A046E0" w:rsidP="00A046E0">
            <w:pPr>
              <w:spacing w:after="40"/>
              <w:jc w:val="center"/>
              <w:rPr>
                <w:lang w:eastAsia="zh-CN"/>
              </w:rPr>
            </w:pPr>
          </w:p>
        </w:tc>
        <w:tc>
          <w:tcPr>
            <w:tcW w:w="679" w:type="dxa"/>
            <w:vAlign w:val="center"/>
            <w:hideMark/>
          </w:tcPr>
          <w:p w14:paraId="1561FA09"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6AC1D873" w14:textId="77777777" w:rsidR="00A046E0" w:rsidRPr="00A046E0" w:rsidRDefault="00A046E0" w:rsidP="00A046E0">
            <w:pPr>
              <w:spacing w:after="40"/>
              <w:jc w:val="center"/>
              <w:rPr>
                <w:lang w:eastAsia="zh-CN"/>
              </w:rPr>
            </w:pPr>
            <w:r w:rsidRPr="00A046E0">
              <w:rPr>
                <w:lang w:eastAsia="zh-CN"/>
              </w:rPr>
              <w:t>按模式填写</w:t>
            </w:r>
          </w:p>
        </w:tc>
      </w:tr>
    </w:tbl>
    <w:p w14:paraId="4F56B0F4" w14:textId="77777777" w:rsidR="00A046E0" w:rsidRPr="00801D65" w:rsidRDefault="00A046E0">
      <w:pPr>
        <w:spacing w:after="40"/>
        <w:ind w:firstLine="420"/>
        <w:rPr>
          <w:rFonts w:hint="eastAsia"/>
          <w:lang w:eastAsia="zh-CN"/>
        </w:rPr>
      </w:pPr>
    </w:p>
    <w:p w14:paraId="528180E0" w14:textId="0EDE203C" w:rsidR="007E22B6" w:rsidRDefault="00000000" w:rsidP="00A046E0">
      <w:pPr>
        <w:pStyle w:val="21"/>
        <w:rPr>
          <w:lang w:eastAsia="zh-CN"/>
        </w:rPr>
      </w:pPr>
      <w:r>
        <w:rPr>
          <w:lang w:eastAsia="zh-CN"/>
        </w:rPr>
        <w:t xml:space="preserve">2.2 </w:t>
      </w:r>
      <w:r w:rsidR="00801D65" w:rsidRPr="00801D65">
        <w:rPr>
          <w:lang w:eastAsia="zh-CN"/>
        </w:rPr>
        <w:t>连续</w:t>
      </w:r>
      <w:proofErr w:type="gramStart"/>
      <w:r w:rsidR="00801D65" w:rsidRPr="00801D65">
        <w:rPr>
          <w:lang w:eastAsia="zh-CN"/>
        </w:rPr>
        <w:t>参数场</w:t>
      </w:r>
      <w:proofErr w:type="gramEnd"/>
      <w:r w:rsidR="00801D65" w:rsidRPr="00801D65">
        <w:rPr>
          <w:lang w:eastAsia="zh-CN"/>
        </w:rPr>
        <w:t>构建结果</w:t>
      </w:r>
    </w:p>
    <w:p w14:paraId="738DBD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pPr>
        <w:jc w:val="center"/>
      </w:pPr>
      <w:r>
        <w:drawing>
          <wp:inline xmlns:a="http://schemas.openxmlformats.org/drawingml/2006/main" xmlns:pic="http://schemas.openxmlformats.org/drawingml/2006/picture">
            <wp:extent cx="5868000" cy="4546571"/>
            <wp:docPr id="3" name="Picture 3"/>
            <wp:cNvGraphicFramePr>
              <a:graphicFrameLocks noChangeAspect="1"/>
            </wp:cNvGraphicFramePr>
            <a:graphic>
              <a:graphicData uri="http://schemas.openxmlformats.org/drawingml/2006/picture">
                <pic:pic>
                  <pic:nvPicPr>
                    <pic:cNvPr id="0" name="03-研究区主要地质参数场分布图.png"/>
                    <pic:cNvPicPr/>
                  </pic:nvPicPr>
                  <pic:blipFill>
                    <a:blip r:embed="rId13"/>
                    <a:stretch>
                      <a:fillRect/>
                    </a:stretch>
                  </pic:blipFill>
                  <pic:spPr>
                    <a:xfrm>
                      <a:off x="0" y="0"/>
                      <a:ext cx="5868000" cy="4546571"/>
                    </a:xfrm>
                    <a:prstGeom prst="rect"/>
                  </pic:spPr>
                </pic:pic>
              </a:graphicData>
            </a:graphic>
          </wp:inline>
        </w:drawing>
      </w:r>
    </w:p>
    <w:p>
      <w:pPr>
        <w:jc w:val="center"/>
      </w:pPr>
      <w:r>
        <w:rPr>
          <w:b w:val="0"/>
          <w:sz w:val="21"/>
        </w:rPr>
        <w:t>图3 研究区主要地质参数场分布图</w:t>
      </w:r>
    </w:p>
    <w:p w14:paraId="21EFBC4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w:t>
      </w:r>
      <w:proofErr w:type="gramStart"/>
      <w:r w:rsidRPr="00801D65">
        <w:rPr>
          <w:rFonts w:ascii="宋体" w:hAnsi="宋体" w:hint="eastAsia"/>
          <w:lang w:eastAsia="zh-CN"/>
        </w:rPr>
        <w:t>厚度场</w:t>
      </w:r>
      <w:proofErr w:type="gramEnd"/>
      <w:r w:rsidRPr="00801D65">
        <w:rPr>
          <w:rFonts w:ascii="宋体" w:hAnsi="宋体" w:hint="eastAsia"/>
          <w:lang w:eastAsia="zh-CN"/>
        </w:rPr>
        <w:t>构建提供了样本支撑。</w:t>
      </w:r>
      <w:proofErr w:type="gramStart"/>
      <w:r w:rsidRPr="00801D65">
        <w:rPr>
          <w:rFonts w:ascii="宋体" w:hAnsi="宋体" w:hint="eastAsia"/>
          <w:lang w:eastAsia="zh-CN"/>
        </w:rPr>
        <w:t>参数场</w:t>
      </w:r>
      <w:proofErr w:type="gramEnd"/>
      <w:r w:rsidRPr="00801D65">
        <w:rPr>
          <w:rFonts w:ascii="宋体" w:hAnsi="宋体" w:hint="eastAsia"/>
          <w:lang w:eastAsia="zh-CN"/>
        </w:rPr>
        <w:t>构建完成后，原本离散的厚度样本不再以点状信息孤立存在，而是以</w:t>
      </w:r>
      <w:proofErr w:type="gramStart"/>
      <w:r w:rsidRPr="00801D65">
        <w:rPr>
          <w:rFonts w:ascii="宋体" w:hAnsi="宋体" w:hint="eastAsia"/>
          <w:lang w:eastAsia="zh-CN"/>
        </w:rPr>
        <w:t>连续面</w:t>
      </w:r>
      <w:proofErr w:type="gramEnd"/>
      <w:r w:rsidRPr="00801D65">
        <w:rPr>
          <w:rFonts w:ascii="宋体" w:hAnsi="宋体" w:hint="eastAsia"/>
          <w:lang w:eastAsia="zh-CN"/>
        </w:rPr>
        <w:t>状分布形式进入同一张规划底图。这样一来，厚度信息便不再停留于地质展示层，而能够进一步参与工作面覆盖评价、可采资源估计与方案排序过程。换言之，连续</w:t>
      </w:r>
      <w:proofErr w:type="gramStart"/>
      <w:r w:rsidRPr="00801D65">
        <w:rPr>
          <w:rFonts w:ascii="宋体" w:hAnsi="宋体" w:hint="eastAsia"/>
          <w:lang w:eastAsia="zh-CN"/>
        </w:rPr>
        <w:t>参数场</w:t>
      </w:r>
      <w:proofErr w:type="gramEnd"/>
      <w:r w:rsidRPr="00801D65">
        <w:rPr>
          <w:rFonts w:ascii="宋体" w:hAnsi="宋体" w:hint="eastAsia"/>
          <w:lang w:eastAsia="zh-CN"/>
        </w:rPr>
        <w:t>的作用并不只是“把钻孔画成热力图”，而在于将地质信息转化为可被规划链路直接消费的约束对象。</w:t>
      </w:r>
    </w:p>
    <w:p w14:paraId="2C3AE1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w:t>
      </w:r>
      <w:proofErr w:type="gramStart"/>
      <w:r w:rsidRPr="00801D65">
        <w:rPr>
          <w:rFonts w:ascii="宋体" w:hAnsi="宋体" w:hint="eastAsia"/>
          <w:lang w:eastAsia="zh-CN"/>
        </w:rPr>
        <w:t>参数场</w:t>
      </w:r>
      <w:proofErr w:type="gramEnd"/>
      <w:r w:rsidRPr="00801D65">
        <w:rPr>
          <w:rFonts w:ascii="宋体" w:hAnsi="宋体" w:hint="eastAsia"/>
          <w:lang w:eastAsia="zh-CN"/>
        </w:rPr>
        <w:t>的引入不仅提高了规划结果对地质差异的感知能力，也使资源回收评价具备了空间分布基础。与仅基于边界几何做均匀布置的方式相比，</w:t>
      </w:r>
      <w:proofErr w:type="gramStart"/>
      <w:r w:rsidRPr="00801D65">
        <w:rPr>
          <w:rFonts w:ascii="宋体" w:hAnsi="宋体" w:hint="eastAsia"/>
          <w:lang w:eastAsia="zh-CN"/>
        </w:rPr>
        <w:t>参数场</w:t>
      </w:r>
      <w:proofErr w:type="gramEnd"/>
      <w:r w:rsidRPr="00801D65">
        <w:rPr>
          <w:rFonts w:ascii="宋体" w:hAnsi="宋体" w:hint="eastAsia"/>
          <w:lang w:eastAsia="zh-CN"/>
        </w:rPr>
        <w:t>驱动下的规划结果更能体现地质属性差异对方案优选的实际影响。</w:t>
      </w:r>
    </w:p>
    <w:p w14:paraId="3EA22BCE" w14:textId="15D662AC"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w:t>
      </w:r>
      <w:proofErr w:type="gramStart"/>
      <w:r w:rsidRPr="00801D65">
        <w:rPr>
          <w:rFonts w:ascii="宋体" w:hAnsi="宋体" w:hint="eastAsia"/>
          <w:lang w:eastAsia="zh-CN"/>
        </w:rPr>
        <w:t>参数场</w:t>
      </w:r>
      <w:proofErr w:type="gramEnd"/>
      <w:r w:rsidRPr="00801D65">
        <w:rPr>
          <w:rFonts w:ascii="宋体" w:hAnsi="宋体" w:hint="eastAsia"/>
          <w:lang w:eastAsia="zh-CN"/>
        </w:rPr>
        <w:t>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714F231" w14:textId="5C941DD9"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w:t>
      </w:r>
      <w:proofErr w:type="gramStart"/>
      <w:r w:rsidRPr="00801D65">
        <w:rPr>
          <w:rFonts w:ascii="宋体" w:hAnsi="宋体" w:hint="eastAsia"/>
          <w:lang w:eastAsia="zh-CN"/>
        </w:rPr>
        <w:t>参数场</w:t>
      </w:r>
      <w:proofErr w:type="gramEnd"/>
      <w:r w:rsidRPr="00801D65">
        <w:rPr>
          <w:rFonts w:ascii="宋体" w:hAnsi="宋体" w:hint="eastAsia"/>
          <w:lang w:eastAsia="zh-CN"/>
        </w:rPr>
        <w:t>的构建还为 ODI 风险表征提供了空间载体。由于多场景风险组织需要在统一空间参照下叠置分析，边界、钻孔、</w:t>
      </w:r>
      <w:proofErr w:type="gramStart"/>
      <w:r w:rsidRPr="00801D65">
        <w:rPr>
          <w:rFonts w:ascii="宋体" w:hAnsi="宋体" w:hint="eastAsia"/>
          <w:lang w:eastAsia="zh-CN"/>
        </w:rPr>
        <w:t>参数场</w:t>
      </w:r>
      <w:proofErr w:type="gramEnd"/>
      <w:r w:rsidRPr="00801D65">
        <w:rPr>
          <w:rFonts w:ascii="宋体" w:hAnsi="宋体" w:hint="eastAsia"/>
          <w:lang w:eastAsia="zh-CN"/>
        </w:rPr>
        <w:t>和后续扰动结果之间必须共享同一坐标体系和同一布置域。研究区案例表明，</w:t>
      </w:r>
      <w:proofErr w:type="gramStart"/>
      <w:r w:rsidRPr="00801D65">
        <w:rPr>
          <w:rFonts w:ascii="宋体" w:hAnsi="宋体" w:hint="eastAsia"/>
          <w:lang w:eastAsia="zh-CN"/>
        </w:rPr>
        <w:t>参数场</w:t>
      </w:r>
      <w:proofErr w:type="gramEnd"/>
      <w:r w:rsidRPr="00801D65">
        <w:rPr>
          <w:rFonts w:ascii="宋体" w:hAnsi="宋体" w:hint="eastAsia"/>
          <w:lang w:eastAsia="zh-CN"/>
        </w:rPr>
        <w:t xml:space="preserve">构建完成后，采区边界、钻孔位置与属性分布之间已经建立起稳定映射关系，这为后续多场景 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的生成和候选方案的空间比较奠定了基础。由此可见，连续</w:t>
      </w:r>
      <w:proofErr w:type="gramStart"/>
      <w:r w:rsidRPr="00801D65">
        <w:rPr>
          <w:rFonts w:ascii="宋体" w:hAnsi="宋体" w:hint="eastAsia"/>
          <w:lang w:eastAsia="zh-CN"/>
        </w:rPr>
        <w:t>参数场</w:t>
      </w:r>
      <w:proofErr w:type="gramEnd"/>
      <w:r w:rsidRPr="00801D65">
        <w:rPr>
          <w:rFonts w:ascii="宋体" w:hAnsi="宋体" w:hint="eastAsia"/>
          <w:lang w:eastAsia="zh-CN"/>
        </w:rPr>
        <w:t>在本文方法链中发挥的是承上启下的作用：向上承接离散地质输入，向下支撑风险约束、方案评价与对象传递。</w:t>
      </w:r>
    </w:p>
    <w:p w14:paraId="1982C20C"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792D8C0B" w14:textId="43A5FB2D" w:rsidR="007E22B6" w:rsidRDefault="00000000" w:rsidP="00A046E0">
      <w:pPr>
        <w:pStyle w:val="21"/>
        <w:rPr>
          <w:lang w:eastAsia="zh-CN"/>
        </w:rPr>
      </w:pPr>
      <w:r>
        <w:rPr>
          <w:lang w:eastAsia="zh-CN"/>
        </w:rPr>
        <w:t xml:space="preserve">2.3 </w:t>
      </w:r>
      <w:r w:rsidR="00801D65" w:rsidRPr="00801D65">
        <w:rPr>
          <w:lang w:eastAsia="zh-CN"/>
        </w:rPr>
        <w:t>多场景</w:t>
      </w:r>
      <w:r w:rsidR="00801D65" w:rsidRPr="00801D65">
        <w:rPr>
          <w:lang w:eastAsia="zh-CN"/>
        </w:rPr>
        <w:t xml:space="preserve"> ODI </w:t>
      </w:r>
      <w:r w:rsidR="00801D65" w:rsidRPr="00801D65">
        <w:rPr>
          <w:lang w:eastAsia="zh-CN"/>
        </w:rPr>
        <w:t>风险表征结果</w:t>
      </w:r>
    </w:p>
    <w:p w14:paraId="1275AF6B"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w:t>
      </w:r>
      <w:proofErr w:type="gramStart"/>
      <w:r w:rsidRPr="00801D65">
        <w:rPr>
          <w:rFonts w:ascii="宋体" w:hAnsi="宋体" w:hint="eastAsia"/>
          <w:lang w:eastAsia="zh-CN"/>
        </w:rPr>
        <w:t>下覆岩扰动</w:t>
      </w:r>
      <w:proofErr w:type="gramEnd"/>
      <w:r w:rsidRPr="00801D65">
        <w:rPr>
          <w:rFonts w:ascii="宋体" w:hAnsi="宋体" w:hint="eastAsia"/>
          <w:lang w:eastAsia="zh-CN"/>
        </w:rPr>
        <w:t>的综合影响。</w:t>
      </w:r>
      <w:proofErr w:type="gramStart"/>
      <w:r w:rsidRPr="00801D65">
        <w:rPr>
          <w:rFonts w:ascii="宋体" w:hAnsi="宋体" w:hint="eastAsia"/>
          <w:lang w:eastAsia="zh-CN"/>
        </w:rPr>
        <w:t>若不同</w:t>
      </w:r>
      <w:proofErr w:type="gramEnd"/>
      <w:r w:rsidRPr="00801D65">
        <w:rPr>
          <w:rFonts w:ascii="宋体" w:hAnsi="宋体" w:hint="eastAsia"/>
          <w:lang w:eastAsia="zh-CN"/>
        </w:rPr>
        <w:t>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2A4B1829"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从研究区样例结果看，基于 </w:t>
      </w:r>
      <w:proofErr w:type="spellStart"/>
      <w:r w:rsidRPr="00801D65">
        <w:rPr>
          <w:rFonts w:ascii="宋体" w:hAnsi="宋体" w:hint="eastAsia"/>
          <w:lang w:eastAsia="zh-CN"/>
        </w:rPr>
        <w:t>export_package</w:t>
      </w:r>
      <w:proofErr w:type="spellEnd"/>
      <w:r w:rsidRPr="00801D65">
        <w:rPr>
          <w:rFonts w:ascii="宋体" w:hAnsi="宋体" w:hint="eastAsia"/>
          <w:lang w:eastAsia="zh-CN"/>
        </w:rPr>
        <w:t xml:space="preserve"> 批量导出的多场景 ODI 结果已经能够形成相互对应的空间风险分布图件，并在同一研究区边界、钻孔参照和色标口径下进行表达。</w:t>
      </w:r>
      <w:proofErr w:type="gramStart"/>
      <w:r w:rsidRPr="00801D65">
        <w:rPr>
          <w:rFonts w:ascii="宋体" w:hAnsi="宋体" w:hint="eastAsia"/>
          <w:lang w:eastAsia="zh-CN"/>
        </w:rPr>
        <w:t>当前样</w:t>
      </w:r>
      <w:proofErr w:type="gramEnd"/>
      <w:r w:rsidRPr="00801D65">
        <w:rPr>
          <w:rFonts w:ascii="宋体" w:hAnsi="宋体" w:hint="eastAsia"/>
          <w:lang w:eastAsia="zh-CN"/>
        </w:rPr>
        <w:t>例中，地表沉陷、含水层扰动、采掘接续相关风险以及全</w:t>
      </w:r>
      <w:proofErr w:type="gramStart"/>
      <w:r w:rsidRPr="00801D65">
        <w:rPr>
          <w:rFonts w:ascii="宋体" w:hAnsi="宋体" w:hint="eastAsia"/>
          <w:lang w:eastAsia="zh-CN"/>
        </w:rPr>
        <w:t>覆岩综合</w:t>
      </w:r>
      <w:proofErr w:type="gramEnd"/>
      <w:r w:rsidRPr="00801D65">
        <w:rPr>
          <w:rFonts w:ascii="宋体" w:hAnsi="宋体" w:hint="eastAsia"/>
          <w:lang w:eastAsia="zh-CN"/>
        </w:rPr>
        <w:t>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pPr>
        <w:jc w:val="center"/>
      </w:pPr>
      <w:r>
        <w:drawing>
          <wp:inline xmlns:a="http://schemas.openxmlformats.org/drawingml/2006/main" xmlns:pic="http://schemas.openxmlformats.org/drawingml/2006/picture">
            <wp:extent cx="5940000" cy="3970605"/>
            <wp:docPr id="4" name="Picture 4"/>
            <wp:cNvGraphicFramePr>
              <a:graphicFrameLocks noChangeAspect="1"/>
            </wp:cNvGraphicFramePr>
            <a:graphic>
              <a:graphicData uri="http://schemas.openxmlformats.org/drawingml/2006/picture">
                <pic:pic>
                  <pic:nvPicPr>
                    <pic:cNvPr id="0" name="04-多场景ODI分布结果对比图.png"/>
                    <pic:cNvPicPr/>
                  </pic:nvPicPr>
                  <pic:blipFill>
                    <a:blip r:embed="rId14"/>
                    <a:stretch>
                      <a:fillRect/>
                    </a:stretch>
                  </pic:blipFill>
                  <pic:spPr>
                    <a:xfrm>
                      <a:off x="0" y="0"/>
                      <a:ext cx="5940000" cy="3970605"/>
                    </a:xfrm>
                    <a:prstGeom prst="rect"/>
                  </pic:spPr>
                </pic:pic>
              </a:graphicData>
            </a:graphic>
          </wp:inline>
        </w:drawing>
      </w:r>
    </w:p>
    <w:p>
      <w:pPr>
        <w:jc w:val="center"/>
      </w:pPr>
      <w:r>
        <w:rPr>
          <w:b w:val="0"/>
          <w:sz w:val="21"/>
        </w:rPr>
        <w:t>图4 多场景ODI分布结果对比图</w:t>
      </w:r>
    </w:p>
    <w:p w14:paraId="4E4934CC"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从风险分布特征看，不同场景下的 ODI 高值区和低值区并不完全一致，这表明单一风险判据难以全面反映采区规划中</w:t>
      </w:r>
      <w:proofErr w:type="gramStart"/>
      <w:r w:rsidRPr="00801D65">
        <w:rPr>
          <w:rFonts w:ascii="宋体" w:hAnsi="宋体" w:hint="eastAsia"/>
          <w:lang w:eastAsia="zh-CN"/>
        </w:rPr>
        <w:t>的覆岩扰动</w:t>
      </w:r>
      <w:proofErr w:type="gramEnd"/>
      <w:r w:rsidRPr="00801D65">
        <w:rPr>
          <w:rFonts w:ascii="宋体" w:hAnsi="宋体" w:hint="eastAsia"/>
          <w:lang w:eastAsia="zh-CN"/>
        </w:rPr>
        <w:t>特征。地表沉陷场景更偏向于</w:t>
      </w:r>
      <w:proofErr w:type="gramStart"/>
      <w:r w:rsidRPr="00801D65">
        <w:rPr>
          <w:rFonts w:ascii="宋体" w:hAnsi="宋体" w:hint="eastAsia"/>
          <w:lang w:eastAsia="zh-CN"/>
        </w:rPr>
        <w:t>表征采动引起</w:t>
      </w:r>
      <w:proofErr w:type="gramEnd"/>
      <w:r w:rsidRPr="00801D65">
        <w:rPr>
          <w:rFonts w:ascii="宋体" w:hAnsi="宋体" w:hint="eastAsia"/>
          <w:lang w:eastAsia="zh-CN"/>
        </w:rPr>
        <w:t>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的引入，则使多场景风险可以通过统一的归一化指标在同一候选方案池上进行比较。由此，风险信息能够由“分散判断”转化为“统一约束”。</w:t>
      </w:r>
    </w:p>
    <w:p w14:paraId="3E3D865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lastRenderedPageBreak/>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w:t>
      </w:r>
      <w:proofErr w:type="gramStart"/>
      <w:r w:rsidRPr="00801D65">
        <w:rPr>
          <w:rFonts w:ascii="宋体" w:hAnsi="宋体" w:hint="eastAsia"/>
          <w:lang w:eastAsia="zh-CN"/>
        </w:rPr>
        <w:t>方案级风险</w:t>
      </w:r>
      <w:proofErr w:type="gramEnd"/>
      <w:r w:rsidRPr="00801D65">
        <w:rPr>
          <w:rFonts w:ascii="宋体" w:hAnsi="宋体" w:hint="eastAsia"/>
          <w:lang w:eastAsia="zh-CN"/>
        </w:rPr>
        <w:t>比较提供统一统计基础，包括方案区域内的 ODI 均值、</w:t>
      </w:r>
      <w:proofErr w:type="gramStart"/>
      <w:r w:rsidRPr="00801D65">
        <w:rPr>
          <w:rFonts w:ascii="宋体" w:hAnsi="宋体" w:hint="eastAsia"/>
          <w:lang w:eastAsia="zh-CN"/>
        </w:rPr>
        <w:t>高分位</w:t>
      </w:r>
      <w:proofErr w:type="gramEnd"/>
      <w:r w:rsidRPr="00801D65">
        <w:rPr>
          <w:rFonts w:ascii="宋体" w:hAnsi="宋体" w:hint="eastAsia"/>
          <w:lang w:eastAsia="zh-CN"/>
        </w:rPr>
        <w:t>值及超限暴露比例等指标。这使得不同方案不再仅依据覆盖率或资源回收水平进行排序，而能够在同一约束框架下体现“风险—资源—效率”的综合平衡。</w:t>
      </w:r>
    </w:p>
    <w:p w14:paraId="5A07A3F5" w14:textId="10EF0305" w:rsidR="00801D65" w:rsidRDefault="00801D65" w:rsidP="00801D65">
      <w:pPr>
        <w:spacing w:after="40"/>
        <w:ind w:firstLine="420"/>
        <w:rPr>
          <w:rFonts w:ascii="宋体" w:hAnsi="宋体"/>
          <w:lang w:eastAsia="zh-CN"/>
        </w:rPr>
      </w:pPr>
      <w:r w:rsidRPr="00801D65">
        <w:rPr>
          <w:rFonts w:ascii="宋体" w:hAnsi="宋体" w:hint="eastAsia"/>
          <w:lang w:eastAsia="zh-CN"/>
        </w:rPr>
        <w:t>需要进一步强调的是，本文中的 ODI 并不是附加性的展示指标，而是</w:t>
      </w:r>
      <w:proofErr w:type="gramStart"/>
      <w:r w:rsidRPr="00801D65">
        <w:rPr>
          <w:rFonts w:ascii="宋体" w:hAnsi="宋体" w:hint="eastAsia"/>
          <w:lang w:eastAsia="zh-CN"/>
        </w:rPr>
        <w:t>风险场进入</w:t>
      </w:r>
      <w:proofErr w:type="gramEnd"/>
      <w:r w:rsidRPr="00801D65">
        <w:rPr>
          <w:rFonts w:ascii="宋体" w:hAnsi="宋体" w:hint="eastAsia"/>
          <w:lang w:eastAsia="zh-CN"/>
        </w:rPr>
        <w:t>规划、接续与经济评价链路的统一接口。通过这一设计，风险约束</w:t>
      </w:r>
      <w:proofErr w:type="gramStart"/>
      <w:r w:rsidRPr="00801D65">
        <w:rPr>
          <w:rFonts w:ascii="宋体" w:hAnsi="宋体" w:hint="eastAsia"/>
          <w:lang w:eastAsia="zh-CN"/>
        </w:rPr>
        <w:t>得以前置进入</w:t>
      </w:r>
      <w:proofErr w:type="gramEnd"/>
      <w:r w:rsidRPr="00801D65">
        <w:rPr>
          <w:rFonts w:ascii="宋体" w:hAnsi="宋体" w:hint="eastAsia"/>
          <w:lang w:eastAsia="zh-CN"/>
        </w:rPr>
        <w:t xml:space="preserve">候选方案生成过程，而不再停留在布局完成后的事后解释。对于研究区案例而言，ODI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的生成标志着本文方法已经完成从“边界+钻孔输入”到“风险约束可参与规划”的关键跃迁，也为</w:t>
      </w:r>
      <w:proofErr w:type="gramStart"/>
      <w:r w:rsidRPr="00801D65">
        <w:rPr>
          <w:rFonts w:ascii="宋体" w:hAnsi="宋体" w:hint="eastAsia"/>
          <w:lang w:eastAsia="zh-CN"/>
        </w:rPr>
        <w:t>后续四模式</w:t>
      </w:r>
      <w:proofErr w:type="gramEnd"/>
      <w:r w:rsidRPr="00801D65">
        <w:rPr>
          <w:rFonts w:ascii="宋体" w:hAnsi="宋体" w:hint="eastAsia"/>
          <w:lang w:eastAsia="zh-CN"/>
        </w:rPr>
        <w:t>规划结果的形成提供了统一的风险底图。</w:t>
      </w:r>
    </w:p>
    <w:p w14:paraId="791DA759" w14:textId="555F3400" w:rsidR="00A046E0" w:rsidRDefault="00A046E0" w:rsidP="00A046E0">
      <w:pPr>
        <w:spacing w:after="40"/>
        <w:ind w:firstLine="420"/>
        <w:jc w:val="center"/>
        <w:rPr>
          <w:rFonts w:ascii="宋体" w:hAnsi="宋体" w:hint="eastAsia"/>
          <w:lang w:eastAsia="zh-CN"/>
        </w:rPr>
      </w:pPr>
      <w:r w:rsidRPr="00A046E0">
        <w:rPr>
          <w:rFonts w:ascii="宋体" w:hAnsi="宋体"/>
          <w:lang w:eastAsia="zh-CN"/>
        </w:rP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293D1F94" w14:textId="77777777" w:rsidTr="00A046E0">
        <w:trPr>
          <w:tblHeader/>
          <w:tblCellSpacing w:w="15" w:type="dxa"/>
          <w:jc w:val="center"/>
        </w:trPr>
        <w:tc>
          <w:tcPr>
            <w:tcW w:w="1701" w:type="dxa"/>
            <w:tcBorders>
              <w:top w:val="single" w:sz="4" w:space="0" w:color="auto"/>
              <w:bottom w:val="single" w:sz="4" w:space="0" w:color="auto"/>
            </w:tcBorders>
            <w:vAlign w:val="center"/>
            <w:hideMark/>
          </w:tcPr>
          <w:p w14:paraId="7FF8B9C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场景</w:t>
            </w:r>
          </w:p>
        </w:tc>
        <w:tc>
          <w:tcPr>
            <w:tcW w:w="2522" w:type="dxa"/>
            <w:tcBorders>
              <w:top w:val="single" w:sz="4" w:space="0" w:color="auto"/>
              <w:bottom w:val="single" w:sz="4" w:space="0" w:color="auto"/>
            </w:tcBorders>
            <w:vAlign w:val="center"/>
            <w:hideMark/>
          </w:tcPr>
          <w:p w14:paraId="03FB54D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主要关注对象</w:t>
            </w:r>
          </w:p>
        </w:tc>
        <w:tc>
          <w:tcPr>
            <w:tcW w:w="2663" w:type="dxa"/>
            <w:tcBorders>
              <w:top w:val="single" w:sz="4" w:space="0" w:color="auto"/>
              <w:bottom w:val="single" w:sz="4" w:space="0" w:color="auto"/>
            </w:tcBorders>
            <w:vAlign w:val="center"/>
            <w:hideMark/>
          </w:tcPr>
          <w:p w14:paraId="5BF3993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主要输入依据</w:t>
            </w:r>
          </w:p>
        </w:tc>
        <w:tc>
          <w:tcPr>
            <w:tcW w:w="2932" w:type="dxa"/>
            <w:tcBorders>
              <w:top w:val="single" w:sz="4" w:space="0" w:color="auto"/>
              <w:bottom w:val="single" w:sz="4" w:space="0" w:color="auto"/>
            </w:tcBorders>
            <w:vAlign w:val="center"/>
            <w:hideMark/>
          </w:tcPr>
          <w:p w14:paraId="2B48F71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在规划中的作用</w:t>
            </w:r>
          </w:p>
        </w:tc>
      </w:tr>
      <w:tr w:rsidR="00A046E0" w:rsidRPr="00A046E0" w14:paraId="7BF95231" w14:textId="77777777" w:rsidTr="00A046E0">
        <w:trPr>
          <w:tblCellSpacing w:w="15" w:type="dxa"/>
          <w:jc w:val="center"/>
        </w:trPr>
        <w:tc>
          <w:tcPr>
            <w:tcW w:w="1701" w:type="dxa"/>
            <w:vAlign w:val="center"/>
            <w:hideMark/>
          </w:tcPr>
          <w:p w14:paraId="28F136E6" w14:textId="77777777" w:rsidR="00A046E0" w:rsidRPr="00A046E0" w:rsidRDefault="00A046E0" w:rsidP="00A046E0">
            <w:pPr>
              <w:spacing w:after="40"/>
              <w:rPr>
                <w:rFonts w:ascii="宋体" w:hAnsi="宋体"/>
                <w:lang w:eastAsia="zh-CN"/>
              </w:rPr>
            </w:pPr>
            <w:r w:rsidRPr="00A046E0">
              <w:rPr>
                <w:rFonts w:ascii="宋体" w:hAnsi="宋体"/>
                <w:lang w:eastAsia="zh-CN"/>
              </w:rPr>
              <w:t>地表沉陷</w:t>
            </w:r>
          </w:p>
        </w:tc>
        <w:tc>
          <w:tcPr>
            <w:tcW w:w="2522" w:type="dxa"/>
            <w:vAlign w:val="center"/>
            <w:hideMark/>
          </w:tcPr>
          <w:p w14:paraId="48D3EFFE" w14:textId="77777777" w:rsidR="00A046E0" w:rsidRPr="00A046E0" w:rsidRDefault="00A046E0" w:rsidP="00A046E0">
            <w:pPr>
              <w:spacing w:after="40"/>
              <w:rPr>
                <w:rFonts w:ascii="宋体" w:hAnsi="宋体"/>
                <w:lang w:eastAsia="zh-CN"/>
              </w:rPr>
            </w:pPr>
            <w:r w:rsidRPr="00A046E0">
              <w:rPr>
                <w:rFonts w:ascii="宋体" w:hAnsi="宋体"/>
                <w:lang w:eastAsia="zh-CN"/>
              </w:rPr>
              <w:t>地表移动与沉陷风险</w:t>
            </w:r>
          </w:p>
        </w:tc>
        <w:tc>
          <w:tcPr>
            <w:tcW w:w="2663" w:type="dxa"/>
            <w:vAlign w:val="center"/>
            <w:hideMark/>
          </w:tcPr>
          <w:p w14:paraId="05AAC655" w14:textId="77777777" w:rsidR="00A046E0" w:rsidRPr="00A046E0" w:rsidRDefault="00A046E0" w:rsidP="00A046E0">
            <w:pPr>
              <w:spacing w:after="40"/>
              <w:rPr>
                <w:rFonts w:ascii="宋体" w:hAnsi="宋体"/>
                <w:lang w:eastAsia="zh-CN"/>
              </w:rPr>
            </w:pPr>
            <w:r w:rsidRPr="00A046E0">
              <w:rPr>
                <w:rFonts w:ascii="宋体" w:hAnsi="宋体"/>
                <w:lang w:eastAsia="zh-CN"/>
              </w:rPr>
              <w:t>沉陷预测、地表保护约束</w:t>
            </w:r>
          </w:p>
        </w:tc>
        <w:tc>
          <w:tcPr>
            <w:tcW w:w="2932" w:type="dxa"/>
            <w:vAlign w:val="center"/>
            <w:hideMark/>
          </w:tcPr>
          <w:p w14:paraId="0387634E" w14:textId="77777777" w:rsidR="00A046E0" w:rsidRPr="00A046E0" w:rsidRDefault="00A046E0" w:rsidP="00A046E0">
            <w:pPr>
              <w:spacing w:after="40"/>
              <w:rPr>
                <w:rFonts w:ascii="宋体" w:hAnsi="宋体"/>
                <w:lang w:eastAsia="zh-CN"/>
              </w:rPr>
            </w:pPr>
            <w:r w:rsidRPr="00A046E0">
              <w:rPr>
                <w:rFonts w:ascii="宋体" w:hAnsi="宋体"/>
                <w:lang w:eastAsia="zh-CN"/>
              </w:rPr>
              <w:t>约束工作面布局范围与强度</w:t>
            </w:r>
          </w:p>
        </w:tc>
      </w:tr>
      <w:tr w:rsidR="00A046E0" w:rsidRPr="00A046E0" w14:paraId="48A20987" w14:textId="77777777" w:rsidTr="00A046E0">
        <w:trPr>
          <w:tblCellSpacing w:w="15" w:type="dxa"/>
          <w:jc w:val="center"/>
        </w:trPr>
        <w:tc>
          <w:tcPr>
            <w:tcW w:w="1701" w:type="dxa"/>
            <w:vAlign w:val="center"/>
            <w:hideMark/>
          </w:tcPr>
          <w:p w14:paraId="26D31E1C" w14:textId="77777777" w:rsidR="00A046E0" w:rsidRPr="00A046E0" w:rsidRDefault="00A046E0" w:rsidP="00A046E0">
            <w:pPr>
              <w:spacing w:after="40"/>
              <w:rPr>
                <w:rFonts w:ascii="宋体" w:hAnsi="宋体"/>
                <w:lang w:eastAsia="zh-CN"/>
              </w:rPr>
            </w:pPr>
            <w:r w:rsidRPr="00A046E0">
              <w:rPr>
                <w:rFonts w:ascii="宋体" w:hAnsi="宋体"/>
                <w:lang w:eastAsia="zh-CN"/>
              </w:rPr>
              <w:t>含水层扰动</w:t>
            </w:r>
          </w:p>
        </w:tc>
        <w:tc>
          <w:tcPr>
            <w:tcW w:w="2522" w:type="dxa"/>
            <w:vAlign w:val="center"/>
            <w:hideMark/>
          </w:tcPr>
          <w:p w14:paraId="0C36D8D7" w14:textId="77777777" w:rsidR="00A046E0" w:rsidRPr="00A046E0" w:rsidRDefault="00A046E0" w:rsidP="00A046E0">
            <w:pPr>
              <w:spacing w:after="40"/>
              <w:rPr>
                <w:rFonts w:ascii="宋体" w:hAnsi="宋体"/>
                <w:lang w:eastAsia="zh-CN"/>
              </w:rPr>
            </w:pPr>
            <w:r w:rsidRPr="00A046E0">
              <w:rPr>
                <w:rFonts w:ascii="宋体" w:hAnsi="宋体"/>
                <w:lang w:eastAsia="zh-CN"/>
              </w:rPr>
              <w:t>导水裂隙带与含水层受扰</w:t>
            </w:r>
          </w:p>
        </w:tc>
        <w:tc>
          <w:tcPr>
            <w:tcW w:w="2663" w:type="dxa"/>
            <w:vAlign w:val="center"/>
            <w:hideMark/>
          </w:tcPr>
          <w:p w14:paraId="2F295A37" w14:textId="77777777" w:rsidR="00A046E0" w:rsidRPr="00A046E0" w:rsidRDefault="00A046E0" w:rsidP="00A046E0">
            <w:pPr>
              <w:spacing w:after="40"/>
              <w:rPr>
                <w:rFonts w:ascii="宋体" w:hAnsi="宋体"/>
                <w:lang w:eastAsia="zh-CN"/>
              </w:rPr>
            </w:pPr>
            <w:r w:rsidRPr="00A046E0">
              <w:rPr>
                <w:rFonts w:ascii="宋体" w:hAnsi="宋体"/>
                <w:lang w:eastAsia="zh-CN"/>
              </w:rPr>
              <w:t>裂隙演化、导水</w:t>
            </w:r>
            <w:proofErr w:type="gramStart"/>
            <w:r w:rsidRPr="00A046E0">
              <w:rPr>
                <w:rFonts w:ascii="宋体" w:hAnsi="宋体"/>
                <w:lang w:eastAsia="zh-CN"/>
              </w:rPr>
              <w:t>带高度</w:t>
            </w:r>
            <w:proofErr w:type="gramEnd"/>
            <w:r w:rsidRPr="00A046E0">
              <w:rPr>
                <w:rFonts w:ascii="宋体" w:hAnsi="宋体"/>
                <w:lang w:eastAsia="zh-CN"/>
              </w:rPr>
              <w:t>判据</w:t>
            </w:r>
          </w:p>
        </w:tc>
        <w:tc>
          <w:tcPr>
            <w:tcW w:w="2932" w:type="dxa"/>
            <w:vAlign w:val="center"/>
            <w:hideMark/>
          </w:tcPr>
          <w:p w14:paraId="6076CCF7" w14:textId="77777777" w:rsidR="00A046E0" w:rsidRPr="00A046E0" w:rsidRDefault="00A046E0" w:rsidP="00A046E0">
            <w:pPr>
              <w:spacing w:after="40"/>
              <w:rPr>
                <w:rFonts w:ascii="宋体" w:hAnsi="宋体"/>
                <w:lang w:eastAsia="zh-CN"/>
              </w:rPr>
            </w:pPr>
            <w:r w:rsidRPr="00A046E0">
              <w:rPr>
                <w:rFonts w:ascii="宋体" w:hAnsi="宋体"/>
                <w:lang w:eastAsia="zh-CN"/>
              </w:rPr>
              <w:t>参与</w:t>
            </w:r>
            <w:proofErr w:type="gramStart"/>
            <w:r w:rsidRPr="00A046E0">
              <w:rPr>
                <w:rFonts w:ascii="宋体" w:hAnsi="宋体"/>
                <w:lang w:eastAsia="zh-CN"/>
              </w:rPr>
              <w:t>风险场</w:t>
            </w:r>
            <w:proofErr w:type="gramEnd"/>
            <w:r w:rsidRPr="00A046E0">
              <w:rPr>
                <w:rFonts w:ascii="宋体" w:hAnsi="宋体"/>
                <w:lang w:eastAsia="zh-CN"/>
              </w:rPr>
              <w:t>筛选与方案排序</w:t>
            </w:r>
          </w:p>
        </w:tc>
      </w:tr>
      <w:tr w:rsidR="00A046E0" w:rsidRPr="00A046E0" w14:paraId="7EE8E43D" w14:textId="77777777" w:rsidTr="00A046E0">
        <w:trPr>
          <w:tblCellSpacing w:w="15" w:type="dxa"/>
          <w:jc w:val="center"/>
        </w:trPr>
        <w:tc>
          <w:tcPr>
            <w:tcW w:w="1701" w:type="dxa"/>
            <w:vAlign w:val="center"/>
            <w:hideMark/>
          </w:tcPr>
          <w:p w14:paraId="0B546C2B" w14:textId="77777777" w:rsidR="00A046E0" w:rsidRPr="00A046E0" w:rsidRDefault="00A046E0" w:rsidP="00A046E0">
            <w:pPr>
              <w:spacing w:after="40"/>
              <w:rPr>
                <w:rFonts w:ascii="宋体" w:hAnsi="宋体"/>
                <w:lang w:eastAsia="zh-CN"/>
              </w:rPr>
            </w:pPr>
            <w:r w:rsidRPr="00A046E0">
              <w:rPr>
                <w:rFonts w:ascii="宋体" w:hAnsi="宋体"/>
                <w:lang w:eastAsia="zh-CN"/>
              </w:rPr>
              <w:t>上行开采</w:t>
            </w:r>
          </w:p>
        </w:tc>
        <w:tc>
          <w:tcPr>
            <w:tcW w:w="2522" w:type="dxa"/>
            <w:vAlign w:val="center"/>
            <w:hideMark/>
          </w:tcPr>
          <w:p w14:paraId="40C66538" w14:textId="77777777" w:rsidR="00A046E0" w:rsidRPr="00A046E0" w:rsidRDefault="00A046E0" w:rsidP="00A046E0">
            <w:pPr>
              <w:spacing w:after="40"/>
              <w:rPr>
                <w:rFonts w:ascii="宋体" w:hAnsi="宋体"/>
                <w:lang w:eastAsia="zh-CN"/>
              </w:rPr>
            </w:pPr>
            <w:r w:rsidRPr="00A046E0">
              <w:rPr>
                <w:rFonts w:ascii="宋体" w:hAnsi="宋体"/>
                <w:lang w:eastAsia="zh-CN"/>
              </w:rPr>
              <w:t>上覆岩层扰动与安全边界</w:t>
            </w:r>
          </w:p>
        </w:tc>
        <w:tc>
          <w:tcPr>
            <w:tcW w:w="2663" w:type="dxa"/>
            <w:vAlign w:val="center"/>
            <w:hideMark/>
          </w:tcPr>
          <w:p w14:paraId="1625E6A5" w14:textId="77777777" w:rsidR="00A046E0" w:rsidRPr="00A046E0" w:rsidRDefault="00A046E0" w:rsidP="00A046E0">
            <w:pPr>
              <w:spacing w:after="40"/>
              <w:rPr>
                <w:rFonts w:ascii="宋体" w:hAnsi="宋体"/>
                <w:lang w:eastAsia="zh-CN"/>
              </w:rPr>
            </w:pPr>
            <w:r w:rsidRPr="00A046E0">
              <w:rPr>
                <w:rFonts w:ascii="宋体" w:hAnsi="宋体"/>
                <w:lang w:eastAsia="zh-CN"/>
              </w:rPr>
              <w:t>采动应力、</w:t>
            </w:r>
            <w:proofErr w:type="gramStart"/>
            <w:r w:rsidRPr="00A046E0">
              <w:rPr>
                <w:rFonts w:ascii="宋体" w:hAnsi="宋体"/>
                <w:lang w:eastAsia="zh-CN"/>
              </w:rPr>
              <w:t>覆岩破坏</w:t>
            </w:r>
            <w:proofErr w:type="gramEnd"/>
            <w:r w:rsidRPr="00A046E0">
              <w:rPr>
                <w:rFonts w:ascii="宋体" w:hAnsi="宋体"/>
                <w:lang w:eastAsia="zh-CN"/>
              </w:rPr>
              <w:t>特征</w:t>
            </w:r>
          </w:p>
        </w:tc>
        <w:tc>
          <w:tcPr>
            <w:tcW w:w="2932" w:type="dxa"/>
            <w:vAlign w:val="center"/>
            <w:hideMark/>
          </w:tcPr>
          <w:p w14:paraId="470DFE7D" w14:textId="77777777" w:rsidR="00A046E0" w:rsidRPr="00A046E0" w:rsidRDefault="00A046E0" w:rsidP="00A046E0">
            <w:pPr>
              <w:spacing w:after="40"/>
              <w:rPr>
                <w:rFonts w:ascii="宋体" w:hAnsi="宋体"/>
                <w:lang w:eastAsia="zh-CN"/>
              </w:rPr>
            </w:pPr>
            <w:r w:rsidRPr="00A046E0">
              <w:rPr>
                <w:rFonts w:ascii="宋体" w:hAnsi="宋体"/>
                <w:lang w:eastAsia="zh-CN"/>
              </w:rPr>
              <w:t>作为接续与可行性评价输入</w:t>
            </w:r>
          </w:p>
        </w:tc>
      </w:tr>
      <w:tr w:rsidR="00A046E0" w:rsidRPr="00A046E0" w14:paraId="17F9EC83" w14:textId="77777777" w:rsidTr="00A046E0">
        <w:trPr>
          <w:tblCellSpacing w:w="15" w:type="dxa"/>
          <w:jc w:val="center"/>
        </w:trPr>
        <w:tc>
          <w:tcPr>
            <w:tcW w:w="1701" w:type="dxa"/>
            <w:vAlign w:val="center"/>
            <w:hideMark/>
          </w:tcPr>
          <w:p w14:paraId="4788E867" w14:textId="77777777" w:rsidR="00A046E0" w:rsidRPr="00A046E0" w:rsidRDefault="00A046E0" w:rsidP="00A046E0">
            <w:pPr>
              <w:spacing w:after="40"/>
              <w:rPr>
                <w:rFonts w:ascii="宋体" w:hAnsi="宋体"/>
                <w:lang w:eastAsia="zh-CN"/>
              </w:rPr>
            </w:pPr>
            <w:r w:rsidRPr="00A046E0">
              <w:rPr>
                <w:rFonts w:ascii="宋体" w:hAnsi="宋体"/>
                <w:lang w:eastAsia="zh-CN"/>
              </w:rPr>
              <w:t>综合 ODI</w:t>
            </w:r>
          </w:p>
        </w:tc>
        <w:tc>
          <w:tcPr>
            <w:tcW w:w="2522" w:type="dxa"/>
            <w:vAlign w:val="center"/>
            <w:hideMark/>
          </w:tcPr>
          <w:p w14:paraId="6A489527" w14:textId="77777777" w:rsidR="00A046E0" w:rsidRPr="00A046E0" w:rsidRDefault="00A046E0" w:rsidP="00A046E0">
            <w:pPr>
              <w:spacing w:after="40"/>
              <w:rPr>
                <w:rFonts w:ascii="宋体" w:hAnsi="宋体"/>
                <w:lang w:eastAsia="zh-CN"/>
              </w:rPr>
            </w:pPr>
            <w:r w:rsidRPr="00A046E0">
              <w:rPr>
                <w:rFonts w:ascii="宋体" w:hAnsi="宋体"/>
                <w:lang w:eastAsia="zh-CN"/>
              </w:rPr>
              <w:t>多场景叠加扰动</w:t>
            </w:r>
          </w:p>
        </w:tc>
        <w:tc>
          <w:tcPr>
            <w:tcW w:w="2663" w:type="dxa"/>
            <w:vAlign w:val="center"/>
            <w:hideMark/>
          </w:tcPr>
          <w:p w14:paraId="7D8EDBEC" w14:textId="77777777" w:rsidR="00A046E0" w:rsidRPr="00A046E0" w:rsidRDefault="00A046E0" w:rsidP="00A046E0">
            <w:pPr>
              <w:spacing w:after="40"/>
              <w:rPr>
                <w:rFonts w:ascii="宋体" w:hAnsi="宋体"/>
                <w:lang w:eastAsia="zh-CN"/>
              </w:rPr>
            </w:pPr>
            <w:r w:rsidRPr="00A046E0">
              <w:rPr>
                <w:rFonts w:ascii="宋体" w:hAnsi="宋体"/>
                <w:lang w:eastAsia="zh-CN"/>
              </w:rPr>
              <w:t>多</w:t>
            </w:r>
            <w:proofErr w:type="gramStart"/>
            <w:r w:rsidRPr="00A046E0">
              <w:rPr>
                <w:rFonts w:ascii="宋体" w:hAnsi="宋体"/>
                <w:lang w:eastAsia="zh-CN"/>
              </w:rPr>
              <w:t>源风险</w:t>
            </w:r>
            <w:proofErr w:type="gramEnd"/>
            <w:r w:rsidRPr="00A046E0">
              <w:rPr>
                <w:rFonts w:ascii="宋体" w:hAnsi="宋体"/>
                <w:lang w:eastAsia="zh-CN"/>
              </w:rPr>
              <w:t>归一化结果</w:t>
            </w:r>
          </w:p>
        </w:tc>
        <w:tc>
          <w:tcPr>
            <w:tcW w:w="2932" w:type="dxa"/>
            <w:vAlign w:val="center"/>
            <w:hideMark/>
          </w:tcPr>
          <w:p w14:paraId="6C97D602" w14:textId="77777777" w:rsidR="00A046E0" w:rsidRPr="00A046E0" w:rsidRDefault="00A046E0" w:rsidP="00A046E0">
            <w:pPr>
              <w:spacing w:after="40"/>
              <w:rPr>
                <w:rFonts w:ascii="宋体" w:hAnsi="宋体"/>
                <w:lang w:eastAsia="zh-CN"/>
              </w:rPr>
            </w:pPr>
            <w:r w:rsidRPr="00A046E0">
              <w:rPr>
                <w:rFonts w:ascii="宋体" w:hAnsi="宋体"/>
                <w:lang w:eastAsia="zh-CN"/>
              </w:rPr>
              <w:t>作为统一</w:t>
            </w:r>
            <w:proofErr w:type="gramStart"/>
            <w:r w:rsidRPr="00A046E0">
              <w:rPr>
                <w:rFonts w:ascii="宋体" w:hAnsi="宋体"/>
                <w:lang w:eastAsia="zh-CN"/>
              </w:rPr>
              <w:t>方案级比较</w:t>
            </w:r>
            <w:proofErr w:type="gramEnd"/>
            <w:r w:rsidRPr="00A046E0">
              <w:rPr>
                <w:rFonts w:ascii="宋体" w:hAnsi="宋体"/>
                <w:lang w:eastAsia="zh-CN"/>
              </w:rPr>
              <w:t>指标</w:t>
            </w:r>
          </w:p>
        </w:tc>
      </w:tr>
    </w:tbl>
    <w:p w14:paraId="7148B1BA" w14:textId="77777777" w:rsidR="00A046E0" w:rsidRPr="00A046E0" w:rsidRDefault="00A046E0" w:rsidP="00801D65">
      <w:pPr>
        <w:spacing w:after="40"/>
        <w:ind w:firstLine="420"/>
        <w:rPr>
          <w:rFonts w:ascii="宋体" w:hAnsi="宋体" w:hint="eastAsia"/>
          <w:lang w:eastAsia="zh-CN"/>
        </w:rPr>
      </w:pPr>
    </w:p>
    <w:p w14:paraId="1DF30F1D" w14:textId="7A74F9EB" w:rsidR="00DE4743" w:rsidRDefault="00DE4743" w:rsidP="00A046E0">
      <w:pPr>
        <w:pStyle w:val="1"/>
        <w:rPr>
          <w:lang w:eastAsia="zh-CN"/>
        </w:rPr>
      </w:pPr>
      <w:r>
        <w:rPr>
          <w:rFonts w:hint="eastAsia"/>
          <w:lang w:eastAsia="zh-CN"/>
        </w:rPr>
        <w:t>3</w:t>
      </w:r>
      <w:r>
        <w:rPr>
          <w:lang w:eastAsia="zh-CN"/>
        </w:rPr>
        <w:t xml:space="preserve"> </w:t>
      </w:r>
      <w:proofErr w:type="gramStart"/>
      <w:r w:rsidRPr="00DE4743">
        <w:rPr>
          <w:lang w:eastAsia="zh-CN"/>
        </w:rPr>
        <w:t>四模式</w:t>
      </w:r>
      <w:proofErr w:type="gramEnd"/>
      <w:r w:rsidRPr="00DE4743">
        <w:rPr>
          <w:lang w:eastAsia="zh-CN"/>
        </w:rPr>
        <w:t>规划结果与方案比选</w:t>
      </w:r>
    </w:p>
    <w:p w14:paraId="4BFEFE82" w14:textId="28F72639" w:rsidR="007E22B6" w:rsidRDefault="00DE4743" w:rsidP="00A046E0">
      <w:pPr>
        <w:pStyle w:val="21"/>
        <w:rPr>
          <w:lang w:eastAsia="zh-CN"/>
        </w:rPr>
      </w:pPr>
      <w:r>
        <w:rPr>
          <w:rFonts w:hint="eastAsia"/>
          <w:lang w:eastAsia="zh-CN"/>
        </w:rPr>
        <w:t>3</w:t>
      </w:r>
      <w:r w:rsidRPr="00DE4743">
        <w:rPr>
          <w:lang w:eastAsia="zh-CN"/>
        </w:rPr>
        <w:t xml:space="preserve">.1 </w:t>
      </w:r>
      <w:r w:rsidRPr="00DE4743">
        <w:rPr>
          <w:lang w:eastAsia="zh-CN"/>
        </w:rPr>
        <w:t>结构化规划结果</w:t>
      </w:r>
    </w:p>
    <w:p w14:paraId="5E1ECE7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在有效布置域、连续</w:t>
      </w:r>
      <w:proofErr w:type="gramStart"/>
      <w:r w:rsidRPr="00DE4743">
        <w:rPr>
          <w:rFonts w:ascii="宋体" w:hAnsi="宋体"/>
          <w:lang w:eastAsia="zh-CN"/>
        </w:rPr>
        <w:t>参数场</w:t>
      </w:r>
      <w:proofErr w:type="gramEnd"/>
      <w:r w:rsidRPr="00DE4743">
        <w:rPr>
          <w:rFonts w:ascii="宋体" w:hAnsi="宋体"/>
          <w:lang w:eastAsia="zh-CN"/>
        </w:rPr>
        <w:t xml:space="preserve">和 ODI </w:t>
      </w:r>
      <w:proofErr w:type="gramStart"/>
      <w:r w:rsidRPr="00DE4743">
        <w:rPr>
          <w:rFonts w:ascii="宋体" w:hAnsi="宋体"/>
          <w:lang w:eastAsia="zh-CN"/>
        </w:rPr>
        <w:t>风险场</w:t>
      </w:r>
      <w:proofErr w:type="gramEnd"/>
      <w:r w:rsidRPr="00DE4743">
        <w:rPr>
          <w:rFonts w:ascii="宋体" w:hAnsi="宋体"/>
          <w:lang w:eastAsia="zh-CN"/>
        </w:rPr>
        <w:t>共同作用下，本文进一步开展候选方案生成与多模式规划比选。与传统只给出单一布局结果的做法不同，本文将候选方案组织为工程效率优先、资源回收优先、</w:t>
      </w:r>
      <w:proofErr w:type="gramStart"/>
      <w:r w:rsidRPr="00DE4743">
        <w:rPr>
          <w:rFonts w:ascii="宋体" w:hAnsi="宋体"/>
          <w:lang w:eastAsia="zh-CN"/>
        </w:rPr>
        <w:t>覆岩扰动</w:t>
      </w:r>
      <w:proofErr w:type="gramEnd"/>
      <w:r w:rsidRPr="00DE4743">
        <w:rPr>
          <w:rFonts w:ascii="宋体" w:hAnsi="宋体"/>
          <w:lang w:eastAsia="zh-CN"/>
        </w:rPr>
        <w:t>优先和综合权衡优化4种规划模式。四种模式并非4套彼此独立的算法，而是面向同一候选方案池的不同评价视角，其目的在于为采区规划提供可比、可选和</w:t>
      </w:r>
      <w:proofErr w:type="gramStart"/>
      <w:r w:rsidRPr="00DE4743">
        <w:rPr>
          <w:rFonts w:ascii="宋体" w:hAnsi="宋体"/>
          <w:lang w:eastAsia="zh-CN"/>
        </w:rPr>
        <w:t>可</w:t>
      </w:r>
      <w:proofErr w:type="gramEnd"/>
      <w:r w:rsidRPr="00DE4743">
        <w:rPr>
          <w:rFonts w:ascii="宋体" w:hAnsi="宋体"/>
          <w:lang w:eastAsia="zh-CN"/>
        </w:rPr>
        <w:t>解释的方案集合。</w:t>
      </w:r>
    </w:p>
    <w:p>
      <w:pPr>
        <w:jc w:val="center"/>
      </w:pPr>
      <w:r>
        <w:drawing>
          <wp:inline xmlns:a="http://schemas.openxmlformats.org/drawingml/2006/main" xmlns:pic="http://schemas.openxmlformats.org/drawingml/2006/picture">
            <wp:extent cx="5688000" cy="3543965"/>
            <wp:docPr id="5" name="Picture 5"/>
            <wp:cNvGraphicFramePr>
              <a:graphicFrameLocks noChangeAspect="1"/>
            </wp:cNvGraphicFramePr>
            <a:graphic>
              <a:graphicData uri="http://schemas.openxmlformats.org/drawingml/2006/picture">
                <pic:pic>
                  <pic:nvPicPr>
                    <pic:cNvPr id="0" name="05-含水层扰动约束下最终规划布局与ODI场叠置图.png"/>
                    <pic:cNvPicPr/>
                  </pic:nvPicPr>
                  <pic:blipFill>
                    <a:blip r:embed="rId15"/>
                    <a:stretch>
                      <a:fillRect/>
                    </a:stretch>
                  </pic:blipFill>
                  <pic:spPr>
                    <a:xfrm>
                      <a:off x="0" y="0"/>
                      <a:ext cx="5688000" cy="3543965"/>
                    </a:xfrm>
                    <a:prstGeom prst="rect"/>
                  </pic:spPr>
                </pic:pic>
              </a:graphicData>
            </a:graphic>
          </wp:inline>
        </w:drawing>
      </w:r>
    </w:p>
    <w:p>
      <w:pPr>
        <w:jc w:val="center"/>
      </w:pPr>
      <w:r>
        <w:rPr>
          <w:b w:val="0"/>
          <w:sz w:val="21"/>
        </w:rPr>
        <w:t>图5 含水层扰动约束下最终规划布局与ODI场叠置图</w:t>
      </w:r>
    </w:p>
    <w:p w14:paraId="5EE290C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从样例结果看，在研究区约束条件下，规划模块能够完成工作面与巷道的结构化输出，</w:t>
      </w:r>
      <w:proofErr w:type="gramStart"/>
      <w:r w:rsidRPr="00DE4743">
        <w:rPr>
          <w:rFonts w:ascii="宋体" w:hAnsi="宋体"/>
          <w:lang w:eastAsia="zh-CN"/>
        </w:rPr>
        <w:t>当前样</w:t>
      </w:r>
      <w:proofErr w:type="gramEnd"/>
      <w:r w:rsidRPr="00DE4743">
        <w:rPr>
          <w:rFonts w:ascii="宋体" w:hAnsi="宋体"/>
          <w:lang w:eastAsia="zh-CN"/>
        </w:rPr>
        <w:t>例共生成3个工作面和11条巷道。该结果表明，所提方法已经具备将采区边界、钻孔样点、连续</w:t>
      </w:r>
      <w:proofErr w:type="gramStart"/>
      <w:r w:rsidRPr="00DE4743">
        <w:rPr>
          <w:rFonts w:ascii="宋体" w:hAnsi="宋体"/>
          <w:lang w:eastAsia="zh-CN"/>
        </w:rPr>
        <w:t>参数场</w:t>
      </w:r>
      <w:proofErr w:type="gramEnd"/>
      <w:r w:rsidRPr="00DE4743">
        <w:rPr>
          <w:rFonts w:ascii="宋体" w:hAnsi="宋体"/>
          <w:lang w:eastAsia="zh-CN"/>
        </w:rPr>
        <w:t>与 ODI 约束共同转化为可布置空间对象的能力。更重要的是，这些对象并不是零散图元，而是可继续参与接续分析与经济评价的结构化规划结果。对论文而言，这一结果说明本文所提方法已不再停留于</w:t>
      </w:r>
      <w:proofErr w:type="gramStart"/>
      <w:r w:rsidRPr="00DE4743">
        <w:rPr>
          <w:rFonts w:ascii="宋体" w:hAnsi="宋体"/>
          <w:lang w:eastAsia="zh-CN"/>
        </w:rPr>
        <w:t>参数场或风险场</w:t>
      </w:r>
      <w:proofErr w:type="gramEnd"/>
      <w:r w:rsidRPr="00DE4743">
        <w:rPr>
          <w:rFonts w:ascii="宋体" w:hAnsi="宋体"/>
          <w:lang w:eastAsia="zh-CN"/>
        </w:rPr>
        <w:t>的中间计算阶段，而是能够落到采区规划</w:t>
      </w:r>
      <w:proofErr w:type="gramStart"/>
      <w:r w:rsidRPr="00DE4743">
        <w:rPr>
          <w:rFonts w:ascii="宋体" w:hAnsi="宋体"/>
          <w:lang w:eastAsia="zh-CN"/>
        </w:rPr>
        <w:t>最</w:t>
      </w:r>
      <w:proofErr w:type="gramEnd"/>
      <w:r w:rsidRPr="00DE4743">
        <w:rPr>
          <w:rFonts w:ascii="宋体" w:hAnsi="宋体"/>
          <w:lang w:eastAsia="zh-CN"/>
        </w:rPr>
        <w:t>核心的空间对象生成环节。</w:t>
      </w:r>
    </w:p>
    <w:p w14:paraId="34D9FAD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w:t>
      </w:r>
      <w:proofErr w:type="gramStart"/>
      <w:r w:rsidRPr="00DE4743">
        <w:rPr>
          <w:rFonts w:ascii="宋体" w:hAnsi="宋体"/>
          <w:lang w:eastAsia="zh-CN"/>
        </w:rPr>
        <w:t>参数场和风险场</w:t>
      </w:r>
      <w:proofErr w:type="gramEnd"/>
      <w:r w:rsidRPr="00DE4743">
        <w:rPr>
          <w:rFonts w:ascii="宋体" w:hAnsi="宋体"/>
          <w:lang w:eastAsia="zh-CN"/>
        </w:rPr>
        <w:t>共同作用下形成具有工程语义的空间对象集合。</w:t>
      </w:r>
    </w:p>
    <w:p>
      <w:pPr>
        <w:jc w:val="center"/>
      </w:pPr>
      <w:r>
        <w:drawing>
          <wp:inline xmlns:a="http://schemas.openxmlformats.org/drawingml/2006/main" xmlns:pic="http://schemas.openxmlformats.org/drawingml/2006/picture">
            <wp:extent cx="5688000" cy="3362181"/>
            <wp:docPr id="6" name="Picture 6"/>
            <wp:cNvGraphicFramePr>
              <a:graphicFrameLocks noChangeAspect="1"/>
            </wp:cNvGraphicFramePr>
            <a:graphic>
              <a:graphicData uri="http://schemas.openxmlformats.org/drawingml/2006/picture">
                <pic:pic>
                  <pic:nvPicPr>
                    <pic:cNvPr id="0" name="06-采区规划布局结果图.png"/>
                    <pic:cNvPicPr/>
                  </pic:nvPicPr>
                  <pic:blipFill>
                    <a:blip r:embed="rId16"/>
                    <a:stretch>
                      <a:fillRect/>
                    </a:stretch>
                  </pic:blipFill>
                  <pic:spPr>
                    <a:xfrm>
                      <a:off x="0" y="0"/>
                      <a:ext cx="5688000" cy="3362181"/>
                    </a:xfrm>
                    <a:prstGeom prst="rect"/>
                  </pic:spPr>
                </pic:pic>
              </a:graphicData>
            </a:graphic>
          </wp:inline>
        </w:drawing>
      </w:r>
    </w:p>
    <w:p>
      <w:pPr>
        <w:jc w:val="center"/>
      </w:pPr>
      <w:r>
        <w:rPr>
          <w:b w:val="0"/>
          <w:sz w:val="21"/>
        </w:rPr>
        <w:t>图6 采区规划布局结果图</w:t>
      </w:r>
    </w:p>
    <w:p w14:paraId="5A22CE42" w14:textId="2FF71C55" w:rsidR="007E22B6" w:rsidRDefault="00DE4743" w:rsidP="00A046E0">
      <w:pPr>
        <w:pStyle w:val="21"/>
        <w:rPr>
          <w:lang w:eastAsia="zh-CN"/>
        </w:rPr>
      </w:pPr>
      <w:r>
        <w:rPr>
          <w:rFonts w:hint="eastAsia"/>
          <w:lang w:eastAsia="zh-CN"/>
        </w:rPr>
        <w:t>3</w:t>
      </w:r>
      <w:r w:rsidRPr="00DE4743">
        <w:rPr>
          <w:lang w:eastAsia="zh-CN"/>
        </w:rPr>
        <w:t xml:space="preserve">.2 </w:t>
      </w:r>
      <w:proofErr w:type="gramStart"/>
      <w:r w:rsidRPr="00DE4743">
        <w:rPr>
          <w:lang w:eastAsia="zh-CN"/>
        </w:rPr>
        <w:t>四模式</w:t>
      </w:r>
      <w:proofErr w:type="gramEnd"/>
      <w:r w:rsidRPr="00DE4743">
        <w:rPr>
          <w:lang w:eastAsia="zh-CN"/>
        </w:rPr>
        <w:t>候选规划与方案比选</w:t>
      </w:r>
    </w:p>
    <w:p w14:paraId="0A8CC7E1"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四模式</w:t>
      </w:r>
      <w:proofErr w:type="gramEnd"/>
      <w:r w:rsidRPr="00DE4743">
        <w:rPr>
          <w:rFonts w:ascii="宋体" w:hAnsi="宋体" w:hint="eastAsia"/>
          <w:lang w:eastAsia="zh-CN"/>
        </w:rPr>
        <w:t>的含义看，工程效率优先模式更强调工作面连续性、巷道组织便利性和几何可实施性，适用于优先保证布置效率与施工便利的决策场景；资源回收优先模式在</w:t>
      </w:r>
      <w:proofErr w:type="gramStart"/>
      <w:r w:rsidRPr="00DE4743">
        <w:rPr>
          <w:rFonts w:ascii="宋体" w:hAnsi="宋体" w:hint="eastAsia"/>
          <w:lang w:eastAsia="zh-CN"/>
        </w:rPr>
        <w:t>参数场</w:t>
      </w:r>
      <w:proofErr w:type="gramEnd"/>
      <w:r w:rsidRPr="00DE4743">
        <w:rPr>
          <w:rFonts w:ascii="宋体" w:hAnsi="宋体" w:hint="eastAsia"/>
          <w:lang w:eastAsia="zh-CN"/>
        </w:rPr>
        <w:t>基础上强化厚度分布与可采价值较高区域的优先级，更适用于强调资源利用水平的情形；</w:t>
      </w:r>
      <w:proofErr w:type="gramStart"/>
      <w:r w:rsidRPr="00DE4743">
        <w:rPr>
          <w:rFonts w:ascii="宋体" w:hAnsi="宋体" w:hint="eastAsia"/>
          <w:lang w:eastAsia="zh-CN"/>
        </w:rPr>
        <w:t>覆岩扰动</w:t>
      </w:r>
      <w:proofErr w:type="gramEnd"/>
      <w:r w:rsidRPr="00DE4743">
        <w:rPr>
          <w:rFonts w:ascii="宋体" w:hAnsi="宋体" w:hint="eastAsia"/>
          <w:lang w:eastAsia="zh-CN"/>
        </w:rPr>
        <w:t>优先模式则以 ODI 均值、</w:t>
      </w:r>
      <w:proofErr w:type="gramStart"/>
      <w:r w:rsidRPr="00DE4743">
        <w:rPr>
          <w:rFonts w:ascii="宋体" w:hAnsi="宋体" w:hint="eastAsia"/>
          <w:lang w:eastAsia="zh-CN"/>
        </w:rPr>
        <w:t>高分位</w:t>
      </w:r>
      <w:proofErr w:type="gramEnd"/>
      <w:r w:rsidRPr="00DE4743">
        <w:rPr>
          <w:rFonts w:ascii="宋体" w:hAnsi="宋体" w:hint="eastAsia"/>
          <w:lang w:eastAsia="zh-CN"/>
        </w:rPr>
        <w:t>值及超限暴露比例等指标为核心，倾向于降低规划对象在高风险区内的暴露程度；综合权衡模式则在上述3类目标之间进行统一</w:t>
      </w:r>
      <w:r w:rsidRPr="00DE4743">
        <w:rPr>
          <w:rFonts w:ascii="宋体" w:hAnsi="宋体" w:hint="eastAsia"/>
          <w:lang w:eastAsia="zh-CN"/>
        </w:rPr>
        <w:lastRenderedPageBreak/>
        <w:t>权衡，更接近工程实践中多目标并行比较、人工与算法协同决策的实际需求。4种模式的设置使规划结果不再是“唯一答案”，而成为满足不同偏好的候选方案集合。</w:t>
      </w:r>
    </w:p>
    <w:p w14:paraId="0F780B75"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当前样</w:t>
      </w:r>
      <w:proofErr w:type="gramEnd"/>
      <w:r w:rsidRPr="00DE4743">
        <w:rPr>
          <w:rFonts w:ascii="宋体" w:hAnsi="宋体" w:hint="eastAsia"/>
          <w:lang w:eastAsia="zh-CN"/>
        </w:rPr>
        <w:t>例的验证口径看，本文更强调</w:t>
      </w:r>
      <w:proofErr w:type="gramStart"/>
      <w:r w:rsidRPr="00DE4743">
        <w:rPr>
          <w:rFonts w:ascii="宋体" w:hAnsi="宋体" w:hint="eastAsia"/>
          <w:lang w:eastAsia="zh-CN"/>
        </w:rPr>
        <w:t>四模式</w:t>
      </w:r>
      <w:proofErr w:type="gramEnd"/>
      <w:r w:rsidRPr="00DE4743">
        <w:rPr>
          <w:rFonts w:ascii="宋体" w:hAnsi="宋体" w:hint="eastAsia"/>
          <w:lang w:eastAsia="zh-CN"/>
        </w:rPr>
        <w:t>规划“可形成、可比较、可解释”，而不是急于给出某一模式在真实矿井条件下绝对最优的结论。现阶段结果已经足以说明：在统一候选池上，通过调整工程效率、资源回收与扰动控制的权重，规划结果能够呈现出具有差异性的目标侧重和空间组织特征。这意味着所提方法不仅能够生成方案，还能够为不同目标偏好下的决策提供明确的比较框架。对于</w:t>
      </w:r>
      <w:proofErr w:type="gramStart"/>
      <w:r w:rsidRPr="00DE4743">
        <w:rPr>
          <w:rFonts w:ascii="宋体" w:hAnsi="宋体" w:hint="eastAsia"/>
          <w:lang w:eastAsia="zh-CN"/>
        </w:rPr>
        <w:t>偏工程</w:t>
      </w:r>
      <w:proofErr w:type="gramEnd"/>
      <w:r w:rsidRPr="00DE4743">
        <w:rPr>
          <w:rFonts w:ascii="宋体" w:hAnsi="宋体" w:hint="eastAsia"/>
          <w:lang w:eastAsia="zh-CN"/>
        </w:rPr>
        <w:t>方法与应用验证的论文而言，这种“多方案可比较”的组织方式比单一静态方案更具说服力。</w:t>
      </w:r>
    </w:p>
    <w:p>
      <w:pPr>
        <w:jc w:val="center"/>
      </w:pPr>
      <w:r>
        <w:drawing>
          <wp:inline xmlns:a="http://schemas.openxmlformats.org/drawingml/2006/main" xmlns:pic="http://schemas.openxmlformats.org/drawingml/2006/picture">
            <wp:extent cx="5544000" cy="3406819"/>
            <wp:docPr id="7" name="Picture 7"/>
            <wp:cNvGraphicFramePr>
              <a:graphicFrameLocks noChangeAspect="1"/>
            </wp:cNvGraphicFramePr>
            <a:graphic>
              <a:graphicData uri="http://schemas.openxmlformats.org/drawingml/2006/picture">
                <pic:pic>
                  <pic:nvPicPr>
                    <pic:cNvPr id="0" name="07-四模式规划指标对比图.png"/>
                    <pic:cNvPicPr/>
                  </pic:nvPicPr>
                  <pic:blipFill>
                    <a:blip r:embed="rId17"/>
                    <a:stretch>
                      <a:fillRect/>
                    </a:stretch>
                  </pic:blipFill>
                  <pic:spPr>
                    <a:xfrm>
                      <a:off x="0" y="0"/>
                      <a:ext cx="5544000" cy="3406819"/>
                    </a:xfrm>
                    <a:prstGeom prst="rect"/>
                  </pic:spPr>
                </pic:pic>
              </a:graphicData>
            </a:graphic>
          </wp:inline>
        </w:drawing>
      </w:r>
    </w:p>
    <w:p>
      <w:pPr>
        <w:jc w:val="center"/>
      </w:pPr>
      <w:r>
        <w:rPr>
          <w:b w:val="0"/>
          <w:sz w:val="21"/>
        </w:rPr>
        <w:t>图7 四模式规划指标对比图</w:t>
      </w:r>
    </w:p>
    <w:p w14:paraId="3A637DC5" w14:textId="01E37FE1" w:rsidR="00801D65" w:rsidRDefault="00DE4743" w:rsidP="00DE4743">
      <w:pPr>
        <w:spacing w:after="40"/>
        <w:ind w:firstLine="420"/>
        <w:rPr>
          <w:rFonts w:ascii="宋体" w:hAnsi="宋体"/>
          <w:lang w:eastAsia="zh-CN"/>
        </w:rPr>
      </w:pPr>
      <w:r w:rsidRPr="00DE4743">
        <w:rPr>
          <w:rFonts w:ascii="宋体" w:hAnsi="宋体" w:hint="eastAsia"/>
          <w:lang w:eastAsia="zh-CN"/>
        </w:rPr>
        <w:t>同时也应看到，</w:t>
      </w:r>
      <w:proofErr w:type="gramStart"/>
      <w:r w:rsidRPr="00DE4743">
        <w:rPr>
          <w:rFonts w:ascii="宋体" w:hAnsi="宋体" w:hint="eastAsia"/>
          <w:lang w:eastAsia="zh-CN"/>
        </w:rPr>
        <w:t>当前样例级结果</w:t>
      </w:r>
      <w:proofErr w:type="gramEnd"/>
      <w:r w:rsidRPr="00DE4743">
        <w:rPr>
          <w:rFonts w:ascii="宋体" w:hAnsi="宋体" w:hint="eastAsia"/>
          <w:lang w:eastAsia="zh-CN"/>
        </w:rPr>
        <w:t>仍主要服务于方法链和对象链贯通性证明，尚未形成“真实矿井基线方案—本文方法方案”的系统对照。因此，本节结果更适合表述为：所提方法已经能够在研究区约束条件下形成结构化布局对象，并支持多模式方案比选；但其相对于传统流程或人工经验方案的优越性幅度，仍有待后续</w:t>
      </w:r>
      <w:proofErr w:type="gramStart"/>
      <w:r w:rsidRPr="00DE4743">
        <w:rPr>
          <w:rFonts w:ascii="宋体" w:hAnsi="宋体" w:hint="eastAsia"/>
          <w:lang w:eastAsia="zh-CN"/>
        </w:rPr>
        <w:t>在实矿案例</w:t>
      </w:r>
      <w:proofErr w:type="gramEnd"/>
      <w:r w:rsidRPr="00DE4743">
        <w:rPr>
          <w:rFonts w:ascii="宋体" w:hAnsi="宋体" w:hint="eastAsia"/>
          <w:lang w:eastAsia="zh-CN"/>
        </w:rPr>
        <w:t>中通过统一指标体系进一步量化。这样的口径既能保持论文结论与现有证据一致，也为后续实证深化预留空间</w:t>
      </w:r>
      <w:r w:rsidR="00801D65" w:rsidRPr="00801D65">
        <w:rPr>
          <w:rFonts w:ascii="宋体" w:hAnsi="宋体" w:hint="eastAsia"/>
          <w:lang w:eastAsia="zh-CN"/>
        </w:rP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852"/>
        <w:gridCol w:w="747"/>
        <w:gridCol w:w="800"/>
        <w:gridCol w:w="800"/>
        <w:gridCol w:w="799"/>
        <w:gridCol w:w="616"/>
        <w:gridCol w:w="590"/>
        <w:gridCol w:w="906"/>
        <w:gridCol w:w="588"/>
        <w:gridCol w:w="1434"/>
        <w:gridCol w:w="1232"/>
      </w:tblGrid>
      <w:tr w:rsidR="00A046E0" w:rsidRPr="00A046E0" w14:paraId="27D7CA07" w14:textId="77777777" w:rsidTr="00A046E0">
        <w:trPr>
          <w:tblHeader/>
          <w:tblCellSpacing w:w="15" w:type="dxa"/>
        </w:trPr>
        <w:tc>
          <w:tcPr>
            <w:tcW w:w="0" w:type="auto"/>
            <w:tcBorders>
              <w:top w:val="single" w:sz="4" w:space="0" w:color="auto"/>
              <w:bottom w:val="single" w:sz="4" w:space="0" w:color="auto"/>
            </w:tcBorders>
            <w:vAlign w:val="center"/>
            <w:hideMark/>
          </w:tcPr>
          <w:p w14:paraId="494AFA0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模式</w:t>
            </w:r>
          </w:p>
        </w:tc>
        <w:tc>
          <w:tcPr>
            <w:tcW w:w="0" w:type="auto"/>
            <w:tcBorders>
              <w:top w:val="single" w:sz="4" w:space="0" w:color="auto"/>
              <w:bottom w:val="single" w:sz="4" w:space="0" w:color="auto"/>
            </w:tcBorders>
            <w:vAlign w:val="center"/>
            <w:hideMark/>
          </w:tcPr>
          <w:p w14:paraId="5C65CAB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工作面数量/</w:t>
            </w:r>
            <w:proofErr w:type="gramStart"/>
            <w:r w:rsidRPr="00A046E0">
              <w:rPr>
                <w:rFonts w:ascii="宋体" w:hAnsi="宋体"/>
                <w:b/>
                <w:bCs/>
                <w:lang w:eastAsia="zh-CN"/>
              </w:rPr>
              <w:t>个</w:t>
            </w:r>
            <w:proofErr w:type="gramEnd"/>
          </w:p>
        </w:tc>
        <w:tc>
          <w:tcPr>
            <w:tcW w:w="0" w:type="auto"/>
            <w:tcBorders>
              <w:top w:val="single" w:sz="4" w:space="0" w:color="auto"/>
              <w:bottom w:val="single" w:sz="4" w:space="0" w:color="auto"/>
            </w:tcBorders>
            <w:vAlign w:val="center"/>
            <w:hideMark/>
          </w:tcPr>
          <w:p w14:paraId="481E8A7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巷道数量/条</w:t>
            </w:r>
          </w:p>
        </w:tc>
        <w:tc>
          <w:tcPr>
            <w:tcW w:w="0" w:type="auto"/>
            <w:tcBorders>
              <w:top w:val="single" w:sz="4" w:space="0" w:color="auto"/>
              <w:bottom w:val="single" w:sz="4" w:space="0" w:color="auto"/>
            </w:tcBorders>
            <w:vAlign w:val="center"/>
            <w:hideMark/>
          </w:tcPr>
          <w:p w14:paraId="56B416EE"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巷道总长度/m</w:t>
            </w:r>
          </w:p>
        </w:tc>
        <w:tc>
          <w:tcPr>
            <w:tcW w:w="0" w:type="auto"/>
            <w:tcBorders>
              <w:top w:val="single" w:sz="4" w:space="0" w:color="auto"/>
              <w:bottom w:val="single" w:sz="4" w:space="0" w:color="auto"/>
            </w:tcBorders>
            <w:vAlign w:val="center"/>
            <w:hideMark/>
          </w:tcPr>
          <w:p w14:paraId="55E09EC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有效覆盖率/%</w:t>
            </w:r>
          </w:p>
        </w:tc>
        <w:tc>
          <w:tcPr>
            <w:tcW w:w="0" w:type="auto"/>
            <w:tcBorders>
              <w:top w:val="single" w:sz="4" w:space="0" w:color="auto"/>
              <w:bottom w:val="single" w:sz="4" w:space="0" w:color="auto"/>
            </w:tcBorders>
            <w:vAlign w:val="center"/>
            <w:hideMark/>
          </w:tcPr>
          <w:p w14:paraId="2537E4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可采资源指标</w:t>
            </w:r>
          </w:p>
        </w:tc>
        <w:tc>
          <w:tcPr>
            <w:tcW w:w="0" w:type="auto"/>
            <w:tcBorders>
              <w:top w:val="single" w:sz="4" w:space="0" w:color="auto"/>
              <w:bottom w:val="single" w:sz="4" w:space="0" w:color="auto"/>
            </w:tcBorders>
            <w:vAlign w:val="center"/>
            <w:hideMark/>
          </w:tcPr>
          <w:p w14:paraId="6C45E2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ODI均值</w:t>
            </w:r>
          </w:p>
        </w:tc>
        <w:tc>
          <w:tcPr>
            <w:tcW w:w="0" w:type="auto"/>
            <w:tcBorders>
              <w:top w:val="single" w:sz="4" w:space="0" w:color="auto"/>
              <w:bottom w:val="single" w:sz="4" w:space="0" w:color="auto"/>
            </w:tcBorders>
            <w:vAlign w:val="center"/>
            <w:hideMark/>
          </w:tcPr>
          <w:p w14:paraId="5019FC2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P90</w:t>
            </w:r>
          </w:p>
        </w:tc>
        <w:tc>
          <w:tcPr>
            <w:tcW w:w="0" w:type="auto"/>
            <w:tcBorders>
              <w:top w:val="single" w:sz="4" w:space="0" w:color="auto"/>
              <w:bottom w:val="single" w:sz="4" w:space="0" w:color="auto"/>
            </w:tcBorders>
            <w:vAlign w:val="center"/>
            <w:hideMark/>
          </w:tcPr>
          <w:p w14:paraId="0FEB5A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超限暴露比例/%</w:t>
            </w:r>
          </w:p>
        </w:tc>
        <w:tc>
          <w:tcPr>
            <w:tcW w:w="0" w:type="auto"/>
            <w:tcBorders>
              <w:top w:val="single" w:sz="4" w:space="0" w:color="auto"/>
              <w:bottom w:val="single" w:sz="4" w:space="0" w:color="auto"/>
            </w:tcBorders>
            <w:vAlign w:val="center"/>
            <w:hideMark/>
          </w:tcPr>
          <w:p w14:paraId="530672BD"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接续评分</w:t>
            </w:r>
          </w:p>
        </w:tc>
        <w:tc>
          <w:tcPr>
            <w:tcW w:w="0" w:type="auto"/>
            <w:tcBorders>
              <w:top w:val="single" w:sz="4" w:space="0" w:color="auto"/>
              <w:bottom w:val="single" w:sz="4" w:space="0" w:color="auto"/>
            </w:tcBorders>
            <w:vAlign w:val="center"/>
            <w:hideMark/>
          </w:tcPr>
          <w:p w14:paraId="396C8C7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经济指标（NPV/万元）</w:t>
            </w:r>
          </w:p>
        </w:tc>
        <w:tc>
          <w:tcPr>
            <w:tcW w:w="0" w:type="auto"/>
            <w:tcBorders>
              <w:top w:val="single" w:sz="4" w:space="0" w:color="auto"/>
              <w:bottom w:val="single" w:sz="4" w:space="0" w:color="auto"/>
            </w:tcBorders>
            <w:vAlign w:val="center"/>
            <w:hideMark/>
          </w:tcPr>
          <w:p w14:paraId="14554F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结果特征</w:t>
            </w:r>
          </w:p>
        </w:tc>
      </w:tr>
      <w:tr w:rsidR="00A046E0" w:rsidRPr="00A046E0" w14:paraId="7C2ABCB0" w14:textId="77777777" w:rsidTr="00A046E0">
        <w:trPr>
          <w:tblCellSpacing w:w="15" w:type="dxa"/>
        </w:trPr>
        <w:tc>
          <w:tcPr>
            <w:tcW w:w="0" w:type="auto"/>
            <w:vAlign w:val="center"/>
            <w:hideMark/>
          </w:tcPr>
          <w:p w14:paraId="1C6E30EF" w14:textId="77777777" w:rsidR="00A046E0" w:rsidRPr="00A046E0" w:rsidRDefault="00A046E0" w:rsidP="00A046E0">
            <w:pPr>
              <w:spacing w:after="40"/>
              <w:rPr>
                <w:rFonts w:ascii="宋体" w:hAnsi="宋体"/>
                <w:lang w:eastAsia="zh-CN"/>
              </w:rPr>
            </w:pPr>
            <w:r w:rsidRPr="00A046E0">
              <w:rPr>
                <w:rFonts w:ascii="宋体" w:hAnsi="宋体"/>
                <w:lang w:eastAsia="zh-CN"/>
              </w:rPr>
              <w:t>工程效率优先</w:t>
            </w:r>
          </w:p>
        </w:tc>
        <w:tc>
          <w:tcPr>
            <w:tcW w:w="0" w:type="auto"/>
            <w:vAlign w:val="center"/>
            <w:hideMark/>
          </w:tcPr>
          <w:p w14:paraId="4A57F1C1" w14:textId="77777777" w:rsidR="00A046E0" w:rsidRPr="00A046E0" w:rsidRDefault="00A046E0" w:rsidP="00A046E0">
            <w:pPr>
              <w:spacing w:after="40"/>
              <w:rPr>
                <w:rFonts w:ascii="宋体" w:hAnsi="宋体"/>
                <w:lang w:eastAsia="zh-CN"/>
              </w:rPr>
            </w:pPr>
          </w:p>
        </w:tc>
        <w:tc>
          <w:tcPr>
            <w:tcW w:w="0" w:type="auto"/>
            <w:vAlign w:val="center"/>
            <w:hideMark/>
          </w:tcPr>
          <w:p w14:paraId="2AE2440B" w14:textId="77777777" w:rsidR="00A046E0" w:rsidRPr="00A046E0" w:rsidRDefault="00A046E0" w:rsidP="00A046E0">
            <w:pPr>
              <w:spacing w:after="40"/>
              <w:rPr>
                <w:rFonts w:ascii="宋体" w:hAnsi="宋体"/>
                <w:lang w:eastAsia="zh-CN"/>
              </w:rPr>
            </w:pPr>
          </w:p>
        </w:tc>
        <w:tc>
          <w:tcPr>
            <w:tcW w:w="0" w:type="auto"/>
            <w:vAlign w:val="center"/>
            <w:hideMark/>
          </w:tcPr>
          <w:p w14:paraId="4559260C" w14:textId="77777777" w:rsidR="00A046E0" w:rsidRPr="00A046E0" w:rsidRDefault="00A046E0" w:rsidP="00A046E0">
            <w:pPr>
              <w:spacing w:after="40"/>
              <w:rPr>
                <w:rFonts w:ascii="宋体" w:hAnsi="宋体"/>
                <w:lang w:eastAsia="zh-CN"/>
              </w:rPr>
            </w:pPr>
          </w:p>
        </w:tc>
        <w:tc>
          <w:tcPr>
            <w:tcW w:w="0" w:type="auto"/>
            <w:vAlign w:val="center"/>
            <w:hideMark/>
          </w:tcPr>
          <w:p w14:paraId="08158237" w14:textId="77777777" w:rsidR="00A046E0" w:rsidRPr="00A046E0" w:rsidRDefault="00A046E0" w:rsidP="00A046E0">
            <w:pPr>
              <w:spacing w:after="40"/>
              <w:rPr>
                <w:rFonts w:ascii="宋体" w:hAnsi="宋体"/>
                <w:lang w:eastAsia="zh-CN"/>
              </w:rPr>
            </w:pPr>
          </w:p>
        </w:tc>
        <w:tc>
          <w:tcPr>
            <w:tcW w:w="0" w:type="auto"/>
            <w:vAlign w:val="center"/>
            <w:hideMark/>
          </w:tcPr>
          <w:p w14:paraId="3C312204" w14:textId="77777777" w:rsidR="00A046E0" w:rsidRPr="00A046E0" w:rsidRDefault="00A046E0" w:rsidP="00A046E0">
            <w:pPr>
              <w:spacing w:after="40"/>
              <w:rPr>
                <w:rFonts w:ascii="宋体" w:hAnsi="宋体"/>
                <w:lang w:eastAsia="zh-CN"/>
              </w:rPr>
            </w:pPr>
          </w:p>
        </w:tc>
        <w:tc>
          <w:tcPr>
            <w:tcW w:w="0" w:type="auto"/>
            <w:vAlign w:val="center"/>
            <w:hideMark/>
          </w:tcPr>
          <w:p w14:paraId="43F2C979" w14:textId="77777777" w:rsidR="00A046E0" w:rsidRPr="00A046E0" w:rsidRDefault="00A046E0" w:rsidP="00A046E0">
            <w:pPr>
              <w:spacing w:after="40"/>
              <w:rPr>
                <w:rFonts w:ascii="宋体" w:hAnsi="宋体"/>
                <w:lang w:eastAsia="zh-CN"/>
              </w:rPr>
            </w:pPr>
          </w:p>
        </w:tc>
        <w:tc>
          <w:tcPr>
            <w:tcW w:w="0" w:type="auto"/>
            <w:vAlign w:val="center"/>
            <w:hideMark/>
          </w:tcPr>
          <w:p w14:paraId="5427EE83" w14:textId="77777777" w:rsidR="00A046E0" w:rsidRPr="00A046E0" w:rsidRDefault="00A046E0" w:rsidP="00A046E0">
            <w:pPr>
              <w:spacing w:after="40"/>
              <w:rPr>
                <w:rFonts w:ascii="宋体" w:hAnsi="宋体"/>
                <w:lang w:eastAsia="zh-CN"/>
              </w:rPr>
            </w:pPr>
          </w:p>
        </w:tc>
        <w:tc>
          <w:tcPr>
            <w:tcW w:w="0" w:type="auto"/>
            <w:vAlign w:val="center"/>
            <w:hideMark/>
          </w:tcPr>
          <w:p w14:paraId="1AF60357" w14:textId="77777777" w:rsidR="00A046E0" w:rsidRPr="00A046E0" w:rsidRDefault="00A046E0" w:rsidP="00A046E0">
            <w:pPr>
              <w:spacing w:after="40"/>
              <w:rPr>
                <w:rFonts w:ascii="宋体" w:hAnsi="宋体"/>
                <w:lang w:eastAsia="zh-CN"/>
              </w:rPr>
            </w:pPr>
          </w:p>
        </w:tc>
        <w:tc>
          <w:tcPr>
            <w:tcW w:w="0" w:type="auto"/>
            <w:vAlign w:val="center"/>
            <w:hideMark/>
          </w:tcPr>
          <w:p w14:paraId="6AEADBB9" w14:textId="77777777" w:rsidR="00A046E0" w:rsidRPr="00A046E0" w:rsidRDefault="00A046E0" w:rsidP="00A046E0">
            <w:pPr>
              <w:spacing w:after="40"/>
              <w:rPr>
                <w:rFonts w:ascii="宋体" w:hAnsi="宋体"/>
                <w:lang w:eastAsia="zh-CN"/>
              </w:rPr>
            </w:pPr>
          </w:p>
        </w:tc>
        <w:tc>
          <w:tcPr>
            <w:tcW w:w="0" w:type="auto"/>
            <w:vAlign w:val="center"/>
            <w:hideMark/>
          </w:tcPr>
          <w:p w14:paraId="4EFC2E1C" w14:textId="77777777" w:rsidR="00A046E0" w:rsidRPr="00A046E0" w:rsidRDefault="00A046E0" w:rsidP="00A046E0">
            <w:pPr>
              <w:spacing w:after="40"/>
              <w:rPr>
                <w:rFonts w:ascii="宋体" w:hAnsi="宋体"/>
                <w:lang w:eastAsia="zh-CN"/>
              </w:rPr>
            </w:pPr>
          </w:p>
        </w:tc>
        <w:tc>
          <w:tcPr>
            <w:tcW w:w="0" w:type="auto"/>
            <w:vAlign w:val="center"/>
            <w:hideMark/>
          </w:tcPr>
          <w:p w14:paraId="3B81C336" w14:textId="77777777" w:rsidR="00A046E0" w:rsidRPr="00A046E0" w:rsidRDefault="00A046E0" w:rsidP="00A046E0">
            <w:pPr>
              <w:spacing w:after="40"/>
              <w:rPr>
                <w:rFonts w:ascii="宋体" w:hAnsi="宋体"/>
                <w:lang w:eastAsia="zh-CN"/>
              </w:rPr>
            </w:pPr>
            <w:r w:rsidRPr="00A046E0">
              <w:rPr>
                <w:rFonts w:ascii="宋体" w:hAnsi="宋体"/>
                <w:lang w:eastAsia="zh-CN"/>
              </w:rPr>
              <w:t>布置紧凑、实施便利</w:t>
            </w:r>
          </w:p>
        </w:tc>
      </w:tr>
      <w:tr w:rsidR="00A046E0" w:rsidRPr="00A046E0" w14:paraId="21DC0C9C" w14:textId="77777777" w:rsidTr="00A046E0">
        <w:trPr>
          <w:tblCellSpacing w:w="15" w:type="dxa"/>
        </w:trPr>
        <w:tc>
          <w:tcPr>
            <w:tcW w:w="0" w:type="auto"/>
            <w:vAlign w:val="center"/>
            <w:hideMark/>
          </w:tcPr>
          <w:p w14:paraId="0E95B67C" w14:textId="77777777" w:rsidR="00A046E0" w:rsidRPr="00A046E0" w:rsidRDefault="00A046E0" w:rsidP="00A046E0">
            <w:pPr>
              <w:spacing w:after="40"/>
              <w:rPr>
                <w:rFonts w:ascii="宋体" w:hAnsi="宋体"/>
                <w:lang w:eastAsia="zh-CN"/>
              </w:rPr>
            </w:pPr>
            <w:r w:rsidRPr="00A046E0">
              <w:rPr>
                <w:rFonts w:ascii="宋体" w:hAnsi="宋体"/>
                <w:lang w:eastAsia="zh-CN"/>
              </w:rPr>
              <w:t>资源回收优先</w:t>
            </w:r>
          </w:p>
        </w:tc>
        <w:tc>
          <w:tcPr>
            <w:tcW w:w="0" w:type="auto"/>
            <w:vAlign w:val="center"/>
            <w:hideMark/>
          </w:tcPr>
          <w:p w14:paraId="208660FB" w14:textId="77777777" w:rsidR="00A046E0" w:rsidRPr="00A046E0" w:rsidRDefault="00A046E0" w:rsidP="00A046E0">
            <w:pPr>
              <w:spacing w:after="40"/>
              <w:rPr>
                <w:rFonts w:ascii="宋体" w:hAnsi="宋体"/>
                <w:lang w:eastAsia="zh-CN"/>
              </w:rPr>
            </w:pPr>
          </w:p>
        </w:tc>
        <w:tc>
          <w:tcPr>
            <w:tcW w:w="0" w:type="auto"/>
            <w:vAlign w:val="center"/>
            <w:hideMark/>
          </w:tcPr>
          <w:p w14:paraId="5E433DEC" w14:textId="77777777" w:rsidR="00A046E0" w:rsidRPr="00A046E0" w:rsidRDefault="00A046E0" w:rsidP="00A046E0">
            <w:pPr>
              <w:spacing w:after="40"/>
              <w:rPr>
                <w:rFonts w:ascii="宋体" w:hAnsi="宋体"/>
                <w:lang w:eastAsia="zh-CN"/>
              </w:rPr>
            </w:pPr>
          </w:p>
        </w:tc>
        <w:tc>
          <w:tcPr>
            <w:tcW w:w="0" w:type="auto"/>
            <w:vAlign w:val="center"/>
            <w:hideMark/>
          </w:tcPr>
          <w:p w14:paraId="54AB5E2D" w14:textId="77777777" w:rsidR="00A046E0" w:rsidRPr="00A046E0" w:rsidRDefault="00A046E0" w:rsidP="00A046E0">
            <w:pPr>
              <w:spacing w:after="40"/>
              <w:rPr>
                <w:rFonts w:ascii="宋体" w:hAnsi="宋体"/>
                <w:lang w:eastAsia="zh-CN"/>
              </w:rPr>
            </w:pPr>
          </w:p>
        </w:tc>
        <w:tc>
          <w:tcPr>
            <w:tcW w:w="0" w:type="auto"/>
            <w:vAlign w:val="center"/>
            <w:hideMark/>
          </w:tcPr>
          <w:p w14:paraId="4D48BD36" w14:textId="77777777" w:rsidR="00A046E0" w:rsidRPr="00A046E0" w:rsidRDefault="00A046E0" w:rsidP="00A046E0">
            <w:pPr>
              <w:spacing w:after="40"/>
              <w:rPr>
                <w:rFonts w:ascii="宋体" w:hAnsi="宋体"/>
                <w:lang w:eastAsia="zh-CN"/>
              </w:rPr>
            </w:pPr>
          </w:p>
        </w:tc>
        <w:tc>
          <w:tcPr>
            <w:tcW w:w="0" w:type="auto"/>
            <w:vAlign w:val="center"/>
            <w:hideMark/>
          </w:tcPr>
          <w:p w14:paraId="7A8FAACA" w14:textId="77777777" w:rsidR="00A046E0" w:rsidRPr="00A046E0" w:rsidRDefault="00A046E0" w:rsidP="00A046E0">
            <w:pPr>
              <w:spacing w:after="40"/>
              <w:rPr>
                <w:rFonts w:ascii="宋体" w:hAnsi="宋体"/>
                <w:lang w:eastAsia="zh-CN"/>
              </w:rPr>
            </w:pPr>
          </w:p>
        </w:tc>
        <w:tc>
          <w:tcPr>
            <w:tcW w:w="0" w:type="auto"/>
            <w:vAlign w:val="center"/>
            <w:hideMark/>
          </w:tcPr>
          <w:p w14:paraId="7497EFFB" w14:textId="77777777" w:rsidR="00A046E0" w:rsidRPr="00A046E0" w:rsidRDefault="00A046E0" w:rsidP="00A046E0">
            <w:pPr>
              <w:spacing w:after="40"/>
              <w:rPr>
                <w:rFonts w:ascii="宋体" w:hAnsi="宋体"/>
                <w:lang w:eastAsia="zh-CN"/>
              </w:rPr>
            </w:pPr>
          </w:p>
        </w:tc>
        <w:tc>
          <w:tcPr>
            <w:tcW w:w="0" w:type="auto"/>
            <w:vAlign w:val="center"/>
            <w:hideMark/>
          </w:tcPr>
          <w:p w14:paraId="03DE5FE8" w14:textId="77777777" w:rsidR="00A046E0" w:rsidRPr="00A046E0" w:rsidRDefault="00A046E0" w:rsidP="00A046E0">
            <w:pPr>
              <w:spacing w:after="40"/>
              <w:rPr>
                <w:rFonts w:ascii="宋体" w:hAnsi="宋体"/>
                <w:lang w:eastAsia="zh-CN"/>
              </w:rPr>
            </w:pPr>
          </w:p>
        </w:tc>
        <w:tc>
          <w:tcPr>
            <w:tcW w:w="0" w:type="auto"/>
            <w:vAlign w:val="center"/>
            <w:hideMark/>
          </w:tcPr>
          <w:p w14:paraId="0511F42B" w14:textId="77777777" w:rsidR="00A046E0" w:rsidRPr="00A046E0" w:rsidRDefault="00A046E0" w:rsidP="00A046E0">
            <w:pPr>
              <w:spacing w:after="40"/>
              <w:rPr>
                <w:rFonts w:ascii="宋体" w:hAnsi="宋体"/>
                <w:lang w:eastAsia="zh-CN"/>
              </w:rPr>
            </w:pPr>
          </w:p>
        </w:tc>
        <w:tc>
          <w:tcPr>
            <w:tcW w:w="0" w:type="auto"/>
            <w:vAlign w:val="center"/>
            <w:hideMark/>
          </w:tcPr>
          <w:p w14:paraId="1CD0C188" w14:textId="77777777" w:rsidR="00A046E0" w:rsidRPr="00A046E0" w:rsidRDefault="00A046E0" w:rsidP="00A046E0">
            <w:pPr>
              <w:spacing w:after="40"/>
              <w:rPr>
                <w:rFonts w:ascii="宋体" w:hAnsi="宋体"/>
                <w:lang w:eastAsia="zh-CN"/>
              </w:rPr>
            </w:pPr>
          </w:p>
        </w:tc>
        <w:tc>
          <w:tcPr>
            <w:tcW w:w="0" w:type="auto"/>
            <w:vAlign w:val="center"/>
            <w:hideMark/>
          </w:tcPr>
          <w:p w14:paraId="0F9D42D2" w14:textId="77777777" w:rsidR="00A046E0" w:rsidRPr="00A046E0" w:rsidRDefault="00A046E0" w:rsidP="00A046E0">
            <w:pPr>
              <w:spacing w:after="40"/>
              <w:rPr>
                <w:rFonts w:ascii="宋体" w:hAnsi="宋体"/>
                <w:lang w:eastAsia="zh-CN"/>
              </w:rPr>
            </w:pPr>
          </w:p>
        </w:tc>
        <w:tc>
          <w:tcPr>
            <w:tcW w:w="0" w:type="auto"/>
            <w:vAlign w:val="center"/>
            <w:hideMark/>
          </w:tcPr>
          <w:p w14:paraId="1F191F8C"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覆盖高</w:t>
            </w:r>
            <w:proofErr w:type="gramEnd"/>
            <w:r w:rsidRPr="00A046E0">
              <w:rPr>
                <w:rFonts w:ascii="宋体" w:hAnsi="宋体"/>
                <w:lang w:eastAsia="zh-CN"/>
              </w:rPr>
              <w:t>厚度区更多</w:t>
            </w:r>
          </w:p>
        </w:tc>
      </w:tr>
      <w:tr w:rsidR="00A046E0" w:rsidRPr="00A046E0" w14:paraId="4362ACB9" w14:textId="77777777" w:rsidTr="00A046E0">
        <w:trPr>
          <w:tblCellSpacing w:w="15" w:type="dxa"/>
        </w:trPr>
        <w:tc>
          <w:tcPr>
            <w:tcW w:w="0" w:type="auto"/>
            <w:vAlign w:val="center"/>
            <w:hideMark/>
          </w:tcPr>
          <w:p w14:paraId="11DC92D8"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覆岩扰动</w:t>
            </w:r>
            <w:proofErr w:type="gramEnd"/>
            <w:r w:rsidRPr="00A046E0">
              <w:rPr>
                <w:rFonts w:ascii="宋体" w:hAnsi="宋体"/>
                <w:lang w:eastAsia="zh-CN"/>
              </w:rPr>
              <w:t>优先</w:t>
            </w:r>
          </w:p>
        </w:tc>
        <w:tc>
          <w:tcPr>
            <w:tcW w:w="0" w:type="auto"/>
            <w:vAlign w:val="center"/>
            <w:hideMark/>
          </w:tcPr>
          <w:p w14:paraId="55FA1799" w14:textId="77777777" w:rsidR="00A046E0" w:rsidRPr="00A046E0" w:rsidRDefault="00A046E0" w:rsidP="00A046E0">
            <w:pPr>
              <w:spacing w:after="40"/>
              <w:rPr>
                <w:rFonts w:ascii="宋体" w:hAnsi="宋体"/>
                <w:lang w:eastAsia="zh-CN"/>
              </w:rPr>
            </w:pPr>
          </w:p>
        </w:tc>
        <w:tc>
          <w:tcPr>
            <w:tcW w:w="0" w:type="auto"/>
            <w:vAlign w:val="center"/>
            <w:hideMark/>
          </w:tcPr>
          <w:p w14:paraId="76682C15" w14:textId="77777777" w:rsidR="00A046E0" w:rsidRPr="00A046E0" w:rsidRDefault="00A046E0" w:rsidP="00A046E0">
            <w:pPr>
              <w:spacing w:after="40"/>
              <w:rPr>
                <w:rFonts w:ascii="宋体" w:hAnsi="宋体"/>
                <w:lang w:eastAsia="zh-CN"/>
              </w:rPr>
            </w:pPr>
          </w:p>
        </w:tc>
        <w:tc>
          <w:tcPr>
            <w:tcW w:w="0" w:type="auto"/>
            <w:vAlign w:val="center"/>
            <w:hideMark/>
          </w:tcPr>
          <w:p w14:paraId="15702A3A" w14:textId="77777777" w:rsidR="00A046E0" w:rsidRPr="00A046E0" w:rsidRDefault="00A046E0" w:rsidP="00A046E0">
            <w:pPr>
              <w:spacing w:after="40"/>
              <w:rPr>
                <w:rFonts w:ascii="宋体" w:hAnsi="宋体"/>
                <w:lang w:eastAsia="zh-CN"/>
              </w:rPr>
            </w:pPr>
          </w:p>
        </w:tc>
        <w:tc>
          <w:tcPr>
            <w:tcW w:w="0" w:type="auto"/>
            <w:vAlign w:val="center"/>
            <w:hideMark/>
          </w:tcPr>
          <w:p w14:paraId="0B10ABA5" w14:textId="77777777" w:rsidR="00A046E0" w:rsidRPr="00A046E0" w:rsidRDefault="00A046E0" w:rsidP="00A046E0">
            <w:pPr>
              <w:spacing w:after="40"/>
              <w:rPr>
                <w:rFonts w:ascii="宋体" w:hAnsi="宋体"/>
                <w:lang w:eastAsia="zh-CN"/>
              </w:rPr>
            </w:pPr>
          </w:p>
        </w:tc>
        <w:tc>
          <w:tcPr>
            <w:tcW w:w="0" w:type="auto"/>
            <w:vAlign w:val="center"/>
            <w:hideMark/>
          </w:tcPr>
          <w:p w14:paraId="199591BD" w14:textId="77777777" w:rsidR="00A046E0" w:rsidRPr="00A046E0" w:rsidRDefault="00A046E0" w:rsidP="00A046E0">
            <w:pPr>
              <w:spacing w:after="40"/>
              <w:rPr>
                <w:rFonts w:ascii="宋体" w:hAnsi="宋体"/>
                <w:lang w:eastAsia="zh-CN"/>
              </w:rPr>
            </w:pPr>
          </w:p>
        </w:tc>
        <w:tc>
          <w:tcPr>
            <w:tcW w:w="0" w:type="auto"/>
            <w:vAlign w:val="center"/>
            <w:hideMark/>
          </w:tcPr>
          <w:p w14:paraId="1A04CD5D" w14:textId="77777777" w:rsidR="00A046E0" w:rsidRPr="00A046E0" w:rsidRDefault="00A046E0" w:rsidP="00A046E0">
            <w:pPr>
              <w:spacing w:after="40"/>
              <w:rPr>
                <w:rFonts w:ascii="宋体" w:hAnsi="宋体"/>
                <w:lang w:eastAsia="zh-CN"/>
              </w:rPr>
            </w:pPr>
          </w:p>
        </w:tc>
        <w:tc>
          <w:tcPr>
            <w:tcW w:w="0" w:type="auto"/>
            <w:vAlign w:val="center"/>
            <w:hideMark/>
          </w:tcPr>
          <w:p w14:paraId="45472A1F" w14:textId="77777777" w:rsidR="00A046E0" w:rsidRPr="00A046E0" w:rsidRDefault="00A046E0" w:rsidP="00A046E0">
            <w:pPr>
              <w:spacing w:after="40"/>
              <w:rPr>
                <w:rFonts w:ascii="宋体" w:hAnsi="宋体"/>
                <w:lang w:eastAsia="zh-CN"/>
              </w:rPr>
            </w:pPr>
          </w:p>
        </w:tc>
        <w:tc>
          <w:tcPr>
            <w:tcW w:w="0" w:type="auto"/>
            <w:vAlign w:val="center"/>
            <w:hideMark/>
          </w:tcPr>
          <w:p w14:paraId="5627D016" w14:textId="77777777" w:rsidR="00A046E0" w:rsidRPr="00A046E0" w:rsidRDefault="00A046E0" w:rsidP="00A046E0">
            <w:pPr>
              <w:spacing w:after="40"/>
              <w:rPr>
                <w:rFonts w:ascii="宋体" w:hAnsi="宋体"/>
                <w:lang w:eastAsia="zh-CN"/>
              </w:rPr>
            </w:pPr>
          </w:p>
        </w:tc>
        <w:tc>
          <w:tcPr>
            <w:tcW w:w="0" w:type="auto"/>
            <w:vAlign w:val="center"/>
            <w:hideMark/>
          </w:tcPr>
          <w:p w14:paraId="5066BA40" w14:textId="77777777" w:rsidR="00A046E0" w:rsidRPr="00A046E0" w:rsidRDefault="00A046E0" w:rsidP="00A046E0">
            <w:pPr>
              <w:spacing w:after="40"/>
              <w:rPr>
                <w:rFonts w:ascii="宋体" w:hAnsi="宋体"/>
                <w:lang w:eastAsia="zh-CN"/>
              </w:rPr>
            </w:pPr>
          </w:p>
        </w:tc>
        <w:tc>
          <w:tcPr>
            <w:tcW w:w="0" w:type="auto"/>
            <w:vAlign w:val="center"/>
            <w:hideMark/>
          </w:tcPr>
          <w:p w14:paraId="1004166C" w14:textId="77777777" w:rsidR="00A046E0" w:rsidRPr="00A046E0" w:rsidRDefault="00A046E0" w:rsidP="00A046E0">
            <w:pPr>
              <w:spacing w:after="40"/>
              <w:rPr>
                <w:rFonts w:ascii="宋体" w:hAnsi="宋体"/>
                <w:lang w:eastAsia="zh-CN"/>
              </w:rPr>
            </w:pPr>
          </w:p>
        </w:tc>
        <w:tc>
          <w:tcPr>
            <w:tcW w:w="0" w:type="auto"/>
            <w:vAlign w:val="center"/>
            <w:hideMark/>
          </w:tcPr>
          <w:p w14:paraId="07DCF9AA" w14:textId="77777777" w:rsidR="00A046E0" w:rsidRPr="00A046E0" w:rsidRDefault="00A046E0" w:rsidP="00A046E0">
            <w:pPr>
              <w:spacing w:after="40"/>
              <w:rPr>
                <w:rFonts w:ascii="宋体" w:hAnsi="宋体"/>
                <w:lang w:eastAsia="zh-CN"/>
              </w:rPr>
            </w:pPr>
            <w:r w:rsidRPr="00A046E0">
              <w:rPr>
                <w:rFonts w:ascii="宋体" w:hAnsi="宋体"/>
                <w:lang w:eastAsia="zh-CN"/>
              </w:rPr>
              <w:t>风险暴露更低</w:t>
            </w:r>
          </w:p>
        </w:tc>
      </w:tr>
      <w:tr w:rsidR="00A046E0" w:rsidRPr="00A046E0" w14:paraId="69A69625" w14:textId="77777777" w:rsidTr="00A046E0">
        <w:trPr>
          <w:tblCellSpacing w:w="15" w:type="dxa"/>
        </w:trPr>
        <w:tc>
          <w:tcPr>
            <w:tcW w:w="0" w:type="auto"/>
            <w:vAlign w:val="center"/>
            <w:hideMark/>
          </w:tcPr>
          <w:p w14:paraId="3B89175D" w14:textId="77777777" w:rsidR="00A046E0" w:rsidRPr="00A046E0" w:rsidRDefault="00A046E0" w:rsidP="00A046E0">
            <w:pPr>
              <w:spacing w:after="40"/>
              <w:rPr>
                <w:rFonts w:ascii="宋体" w:hAnsi="宋体"/>
                <w:lang w:eastAsia="zh-CN"/>
              </w:rPr>
            </w:pPr>
            <w:r w:rsidRPr="00A046E0">
              <w:rPr>
                <w:rFonts w:ascii="宋体" w:hAnsi="宋体"/>
                <w:lang w:eastAsia="zh-CN"/>
              </w:rPr>
              <w:t>综合权衡</w:t>
            </w:r>
          </w:p>
        </w:tc>
        <w:tc>
          <w:tcPr>
            <w:tcW w:w="0" w:type="auto"/>
            <w:vAlign w:val="center"/>
            <w:hideMark/>
          </w:tcPr>
          <w:p w14:paraId="155222AE" w14:textId="77777777" w:rsidR="00A046E0" w:rsidRPr="00A046E0" w:rsidRDefault="00A046E0" w:rsidP="00A046E0">
            <w:pPr>
              <w:spacing w:after="40"/>
              <w:rPr>
                <w:rFonts w:ascii="宋体" w:hAnsi="宋体"/>
                <w:lang w:eastAsia="zh-CN"/>
              </w:rPr>
            </w:pPr>
          </w:p>
        </w:tc>
        <w:tc>
          <w:tcPr>
            <w:tcW w:w="0" w:type="auto"/>
            <w:vAlign w:val="center"/>
            <w:hideMark/>
          </w:tcPr>
          <w:p w14:paraId="0B09232A" w14:textId="77777777" w:rsidR="00A046E0" w:rsidRPr="00A046E0" w:rsidRDefault="00A046E0" w:rsidP="00A046E0">
            <w:pPr>
              <w:spacing w:after="40"/>
              <w:rPr>
                <w:rFonts w:ascii="宋体" w:hAnsi="宋体"/>
                <w:lang w:eastAsia="zh-CN"/>
              </w:rPr>
            </w:pPr>
          </w:p>
        </w:tc>
        <w:tc>
          <w:tcPr>
            <w:tcW w:w="0" w:type="auto"/>
            <w:vAlign w:val="center"/>
            <w:hideMark/>
          </w:tcPr>
          <w:p w14:paraId="7896AD57" w14:textId="77777777" w:rsidR="00A046E0" w:rsidRPr="00A046E0" w:rsidRDefault="00A046E0" w:rsidP="00A046E0">
            <w:pPr>
              <w:spacing w:after="40"/>
              <w:rPr>
                <w:rFonts w:ascii="宋体" w:hAnsi="宋体"/>
                <w:lang w:eastAsia="zh-CN"/>
              </w:rPr>
            </w:pPr>
          </w:p>
        </w:tc>
        <w:tc>
          <w:tcPr>
            <w:tcW w:w="0" w:type="auto"/>
            <w:vAlign w:val="center"/>
            <w:hideMark/>
          </w:tcPr>
          <w:p w14:paraId="4784CD74" w14:textId="77777777" w:rsidR="00A046E0" w:rsidRPr="00A046E0" w:rsidRDefault="00A046E0" w:rsidP="00A046E0">
            <w:pPr>
              <w:spacing w:after="40"/>
              <w:rPr>
                <w:rFonts w:ascii="宋体" w:hAnsi="宋体"/>
                <w:lang w:eastAsia="zh-CN"/>
              </w:rPr>
            </w:pPr>
          </w:p>
        </w:tc>
        <w:tc>
          <w:tcPr>
            <w:tcW w:w="0" w:type="auto"/>
            <w:vAlign w:val="center"/>
            <w:hideMark/>
          </w:tcPr>
          <w:p w14:paraId="4CCAB5E1" w14:textId="77777777" w:rsidR="00A046E0" w:rsidRPr="00A046E0" w:rsidRDefault="00A046E0" w:rsidP="00A046E0">
            <w:pPr>
              <w:spacing w:after="40"/>
              <w:rPr>
                <w:rFonts w:ascii="宋体" w:hAnsi="宋体"/>
                <w:lang w:eastAsia="zh-CN"/>
              </w:rPr>
            </w:pPr>
          </w:p>
        </w:tc>
        <w:tc>
          <w:tcPr>
            <w:tcW w:w="0" w:type="auto"/>
            <w:vAlign w:val="center"/>
            <w:hideMark/>
          </w:tcPr>
          <w:p w14:paraId="17B0514E" w14:textId="77777777" w:rsidR="00A046E0" w:rsidRPr="00A046E0" w:rsidRDefault="00A046E0" w:rsidP="00A046E0">
            <w:pPr>
              <w:spacing w:after="40"/>
              <w:rPr>
                <w:rFonts w:ascii="宋体" w:hAnsi="宋体"/>
                <w:lang w:eastAsia="zh-CN"/>
              </w:rPr>
            </w:pPr>
          </w:p>
        </w:tc>
        <w:tc>
          <w:tcPr>
            <w:tcW w:w="0" w:type="auto"/>
            <w:vAlign w:val="center"/>
            <w:hideMark/>
          </w:tcPr>
          <w:p w14:paraId="622BEBA2" w14:textId="77777777" w:rsidR="00A046E0" w:rsidRPr="00A046E0" w:rsidRDefault="00A046E0" w:rsidP="00A046E0">
            <w:pPr>
              <w:spacing w:after="40"/>
              <w:rPr>
                <w:rFonts w:ascii="宋体" w:hAnsi="宋体"/>
                <w:lang w:eastAsia="zh-CN"/>
              </w:rPr>
            </w:pPr>
          </w:p>
        </w:tc>
        <w:tc>
          <w:tcPr>
            <w:tcW w:w="0" w:type="auto"/>
            <w:vAlign w:val="center"/>
            <w:hideMark/>
          </w:tcPr>
          <w:p w14:paraId="49FB9EEF" w14:textId="77777777" w:rsidR="00A046E0" w:rsidRPr="00A046E0" w:rsidRDefault="00A046E0" w:rsidP="00A046E0">
            <w:pPr>
              <w:spacing w:after="40"/>
              <w:rPr>
                <w:rFonts w:ascii="宋体" w:hAnsi="宋体"/>
                <w:lang w:eastAsia="zh-CN"/>
              </w:rPr>
            </w:pPr>
          </w:p>
        </w:tc>
        <w:tc>
          <w:tcPr>
            <w:tcW w:w="0" w:type="auto"/>
            <w:vAlign w:val="center"/>
            <w:hideMark/>
          </w:tcPr>
          <w:p w14:paraId="550D250B" w14:textId="77777777" w:rsidR="00A046E0" w:rsidRPr="00A046E0" w:rsidRDefault="00A046E0" w:rsidP="00A046E0">
            <w:pPr>
              <w:spacing w:after="40"/>
              <w:rPr>
                <w:rFonts w:ascii="宋体" w:hAnsi="宋体"/>
                <w:lang w:eastAsia="zh-CN"/>
              </w:rPr>
            </w:pPr>
          </w:p>
        </w:tc>
        <w:tc>
          <w:tcPr>
            <w:tcW w:w="0" w:type="auto"/>
            <w:vAlign w:val="center"/>
            <w:hideMark/>
          </w:tcPr>
          <w:p w14:paraId="7452F840" w14:textId="77777777" w:rsidR="00A046E0" w:rsidRPr="00A046E0" w:rsidRDefault="00A046E0" w:rsidP="00A046E0">
            <w:pPr>
              <w:spacing w:after="40"/>
              <w:rPr>
                <w:rFonts w:ascii="宋体" w:hAnsi="宋体"/>
                <w:lang w:eastAsia="zh-CN"/>
              </w:rPr>
            </w:pPr>
          </w:p>
        </w:tc>
        <w:tc>
          <w:tcPr>
            <w:tcW w:w="0" w:type="auto"/>
            <w:vAlign w:val="center"/>
            <w:hideMark/>
          </w:tcPr>
          <w:p w14:paraId="2E0AA69D" w14:textId="77777777" w:rsidR="00A046E0" w:rsidRPr="00A046E0" w:rsidRDefault="00A046E0" w:rsidP="00A046E0">
            <w:pPr>
              <w:spacing w:after="40"/>
              <w:rPr>
                <w:rFonts w:ascii="宋体" w:hAnsi="宋体"/>
                <w:lang w:eastAsia="zh-CN"/>
              </w:rPr>
            </w:pPr>
            <w:r w:rsidRPr="00A046E0">
              <w:rPr>
                <w:rFonts w:ascii="宋体" w:hAnsi="宋体"/>
                <w:lang w:eastAsia="zh-CN"/>
              </w:rPr>
              <w:t>多目标折中较好</w:t>
            </w:r>
          </w:p>
        </w:tc>
      </w:tr>
    </w:tbl>
    <w:p w14:paraId="78903DA9" w14:textId="77777777" w:rsidR="00A046E0" w:rsidRDefault="00A046E0" w:rsidP="00A046E0">
      <w:pPr>
        <w:spacing w:after="40"/>
        <w:rPr>
          <w:rFonts w:ascii="宋体" w:hAnsi="宋体" w:hint="eastAsia"/>
          <w:lang w:eastAsia="zh-CN"/>
        </w:rPr>
      </w:pPr>
    </w:p>
    <w:p w14:paraId="0D614640" w14:textId="6776234E" w:rsidR="00DE4743" w:rsidRPr="00DE4743" w:rsidRDefault="00DE4743" w:rsidP="00A046E0">
      <w:pPr>
        <w:pStyle w:val="21"/>
        <w:rPr>
          <w:rFonts w:hint="eastAsia"/>
          <w:lang w:eastAsia="zh-CN"/>
        </w:rPr>
      </w:pPr>
      <w:r>
        <w:rPr>
          <w:rFonts w:hint="eastAsia"/>
          <w:lang w:eastAsia="zh-CN"/>
        </w:rPr>
        <w:t>3</w:t>
      </w:r>
      <w:r w:rsidRPr="00DE4743">
        <w:rPr>
          <w:lang w:eastAsia="zh-CN"/>
        </w:rPr>
        <w:t xml:space="preserve">.3 </w:t>
      </w:r>
      <w:r w:rsidRPr="00DE4743">
        <w:rPr>
          <w:lang w:eastAsia="zh-CN"/>
        </w:rPr>
        <w:t>规划结果向采掘接续与工程经济评价的传递</w:t>
      </w:r>
    </w:p>
    <w:p w14:paraId="2340B7AC"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复用性。研究区样例表明，本文生成的工作面和巷道对象已经能够继续进入接续分析和经济评价过程，从而形成由空间对象到生产组织对象的连续传递链。</w:t>
      </w:r>
    </w:p>
    <w:p w14:paraId="04D2F6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w:t>
      </w:r>
      <w:proofErr w:type="gramStart"/>
      <w:r w:rsidRPr="00DE4743">
        <w:rPr>
          <w:rFonts w:ascii="宋体" w:hAnsi="宋体"/>
          <w:lang w:eastAsia="zh-CN"/>
        </w:rPr>
        <w:t>当前样</w:t>
      </w:r>
      <w:proofErr w:type="gramEnd"/>
      <w:r w:rsidRPr="00DE4743">
        <w:rPr>
          <w:rFonts w:ascii="宋体" w:hAnsi="宋体"/>
          <w:lang w:eastAsia="zh-CN"/>
        </w:rPr>
        <w:t>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pPr>
        <w:jc w:val="center"/>
      </w:pPr>
      <w:r>
        <w:drawing>
          <wp:inline xmlns:a="http://schemas.openxmlformats.org/drawingml/2006/main" xmlns:pic="http://schemas.openxmlformats.org/drawingml/2006/picture">
            <wp:extent cx="5760000" cy="3239546"/>
            <wp:docPr id="8" name="Picture 8"/>
            <wp:cNvGraphicFramePr>
              <a:graphicFrameLocks noChangeAspect="1"/>
            </wp:cNvGraphicFramePr>
            <a:graphic>
              <a:graphicData uri="http://schemas.openxmlformats.org/drawingml/2006/picture">
                <pic:pic>
                  <pic:nvPicPr>
                    <pic:cNvPr id="0" name="08-采掘接续时序安排图.png"/>
                    <pic:cNvPicPr/>
                  </pic:nvPicPr>
                  <pic:blipFill>
                    <a:blip r:embed="rId18"/>
                    <a:stretch>
                      <a:fillRect/>
                    </a:stretch>
                  </pic:blipFill>
                  <pic:spPr>
                    <a:xfrm>
                      <a:off x="0" y="0"/>
                      <a:ext cx="5760000" cy="3239546"/>
                    </a:xfrm>
                    <a:prstGeom prst="rect"/>
                  </pic:spPr>
                </pic:pic>
              </a:graphicData>
            </a:graphic>
          </wp:inline>
        </w:drawing>
      </w:r>
    </w:p>
    <w:p>
      <w:pPr>
        <w:jc w:val="center"/>
      </w:pPr>
      <w:r>
        <w:rPr>
          <w:b w:val="0"/>
          <w:sz w:val="21"/>
        </w:rPr>
        <w:t>图8 采掘接续时序安排图</w:t>
      </w:r>
    </w:p>
    <w:p w14:paraId="2C4B903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在调控层面，规划结果还可进一步转化为工作面级控制变量，并通过采高、工作面宽度或区段煤柱等参数的调整，观察 ODI 统计指标及风险暴露程度的变化。当前分析表明，</w:t>
      </w:r>
      <w:proofErr w:type="gramStart"/>
      <w:r w:rsidRPr="00DE4743">
        <w:rPr>
          <w:rFonts w:ascii="宋体" w:hAnsi="宋体"/>
          <w:lang w:eastAsia="zh-CN"/>
        </w:rPr>
        <w:t>在续采工作面</w:t>
      </w:r>
      <w:proofErr w:type="gramEnd"/>
      <w:r w:rsidRPr="00DE4743">
        <w:rPr>
          <w:rFonts w:ascii="宋体" w:hAnsi="宋体"/>
          <w:lang w:eastAsia="zh-CN"/>
        </w:rPr>
        <w:t>调控过程中，采高降低能够显著压低 ODI 均值及</w:t>
      </w:r>
      <w:proofErr w:type="gramStart"/>
      <w:r w:rsidRPr="00DE4743">
        <w:rPr>
          <w:rFonts w:ascii="宋体" w:hAnsi="宋体"/>
          <w:lang w:eastAsia="zh-CN"/>
        </w:rPr>
        <w:t>高分位</w:t>
      </w:r>
      <w:proofErr w:type="gramEnd"/>
      <w:r w:rsidRPr="00DE4743">
        <w:rPr>
          <w:rFonts w:ascii="宋体" w:hAnsi="宋体"/>
          <w:lang w:eastAsia="zh-CN"/>
        </w:rPr>
        <w:t>统计量，这说明规划结果不仅能够被动进入后续评价环节，还能够主动支撑参数调控与局部优化。由此，规划阶段形成的空间对象不再是不可更改的静态结果，而是可围绕风险控制目标进一步优化的决策基础。</w:t>
      </w:r>
    </w:p>
    <w:p>
      <w:pPr>
        <w:jc w:val="center"/>
      </w:pPr>
      <w:r>
        <w:drawing>
          <wp:inline xmlns:a="http://schemas.openxmlformats.org/drawingml/2006/main" xmlns:pic="http://schemas.openxmlformats.org/drawingml/2006/picture">
            <wp:extent cx="5616000" cy="2927685"/>
            <wp:docPr id="9" name="Picture 9"/>
            <wp:cNvGraphicFramePr>
              <a:graphicFrameLocks noChangeAspect="1"/>
            </wp:cNvGraphicFramePr>
            <a:graphic>
              <a:graphicData uri="http://schemas.openxmlformats.org/drawingml/2006/picture">
                <pic:pic>
                  <pic:nvPicPr>
                    <pic:cNvPr id="0" name="09-月产量变化曲线图.png"/>
                    <pic:cNvPicPr/>
                  </pic:nvPicPr>
                  <pic:blipFill>
                    <a:blip r:embed="rId19"/>
                    <a:stretch>
                      <a:fillRect/>
                    </a:stretch>
                  </pic:blipFill>
                  <pic:spPr>
                    <a:xfrm>
                      <a:off x="0" y="0"/>
                      <a:ext cx="5616000" cy="2927685"/>
                    </a:xfrm>
                    <a:prstGeom prst="rect"/>
                  </pic:spPr>
                </pic:pic>
              </a:graphicData>
            </a:graphic>
          </wp:inline>
        </w:drawing>
      </w:r>
    </w:p>
    <w:p>
      <w:pPr>
        <w:jc w:val="center"/>
      </w:pPr>
      <w:r>
        <w:rPr>
          <w:b w:val="0"/>
          <w:sz w:val="21"/>
        </w:rPr>
        <w:t>图9 月产量变化曲线图</w:t>
      </w:r>
    </w:p>
    <w:p w14:paraId="69E799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在工程经济评价层面，规划与接续结果可继续进入收入、成本、风险联动成本和净现值分析过程，形成从月度净现金流到综合经济指标的闭环。</w:t>
      </w:r>
      <w:proofErr w:type="gramStart"/>
      <w:r w:rsidRPr="00DE4743">
        <w:rPr>
          <w:rFonts w:ascii="宋体" w:hAnsi="宋体"/>
          <w:lang w:eastAsia="zh-CN"/>
        </w:rPr>
        <w:t>当前样</w:t>
      </w:r>
      <w:proofErr w:type="gramEnd"/>
      <w:r w:rsidRPr="00DE4743">
        <w:rPr>
          <w:rFonts w:ascii="宋体" w:hAnsi="宋体"/>
          <w:lang w:eastAsia="zh-CN"/>
        </w:rPr>
        <w:t>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pPr>
        <w:jc w:val="center"/>
      </w:pPr>
      <w:r>
        <w:drawing>
          <wp:inline xmlns:a="http://schemas.openxmlformats.org/drawingml/2006/main" xmlns:pic="http://schemas.openxmlformats.org/drawingml/2006/picture">
            <wp:extent cx="5688000" cy="2954936"/>
            <wp:docPr id="10" name="Picture 10"/>
            <wp:cNvGraphicFramePr>
              <a:graphicFrameLocks noChangeAspect="1"/>
            </wp:cNvGraphicFramePr>
            <a:graphic>
              <a:graphicData uri="http://schemas.openxmlformats.org/drawingml/2006/picture">
                <pic:pic>
                  <pic:nvPicPr>
                    <pic:cNvPr id="0" name="10-采掘接续方案现金流分析图.png"/>
                    <pic:cNvPicPr/>
                  </pic:nvPicPr>
                  <pic:blipFill>
                    <a:blip r:embed="rId20"/>
                    <a:stretch>
                      <a:fillRect/>
                    </a:stretch>
                  </pic:blipFill>
                  <pic:spPr>
                    <a:xfrm>
                      <a:off x="0" y="0"/>
                      <a:ext cx="5688000" cy="2954936"/>
                    </a:xfrm>
                    <a:prstGeom prst="rect"/>
                  </pic:spPr>
                </pic:pic>
              </a:graphicData>
            </a:graphic>
          </wp:inline>
        </w:drawing>
      </w:r>
    </w:p>
    <w:p>
      <w:pPr>
        <w:jc w:val="center"/>
      </w:pPr>
      <w:r>
        <w:rPr>
          <w:b w:val="0"/>
          <w:sz w:val="21"/>
        </w:rPr>
        <w:t>图10 采掘接续方案现金流分析图</w:t>
      </w:r>
    </w:p>
    <w:p w14:paraId="74FD18DD" w14:textId="77777777" w:rsidR="00DE4743" w:rsidRDefault="00DE4743" w:rsidP="00DE4743">
      <w:pPr>
        <w:spacing w:after="40"/>
        <w:ind w:firstLine="420"/>
        <w:rPr>
          <w:rFonts w:ascii="宋体" w:hAnsi="宋体"/>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w:t>
      </w:r>
      <w:proofErr w:type="gramStart"/>
      <w:r w:rsidRPr="00DE4743">
        <w:rPr>
          <w:rFonts w:ascii="宋体" w:hAnsi="宋体"/>
          <w:lang w:eastAsia="zh-CN"/>
        </w:rPr>
        <w:t>风险场</w:t>
      </w:r>
      <w:proofErr w:type="gramEnd"/>
      <w:r w:rsidRPr="00DE4743">
        <w:rPr>
          <w:rFonts w:ascii="宋体" w:hAnsi="宋体"/>
          <w:lang w:eastAsia="zh-CN"/>
        </w:rPr>
        <w:t>和规划对象之间已经形成可传递、可比较、可继续计算的统一对象链。需要同时说明的是，当前证据强度仍主要停留在</w:t>
      </w:r>
      <w:proofErr w:type="gramStart"/>
      <w:r w:rsidRPr="00DE4743">
        <w:rPr>
          <w:rFonts w:ascii="宋体" w:hAnsi="宋体"/>
          <w:lang w:eastAsia="zh-CN"/>
        </w:rPr>
        <w:t>样例级链路</w:t>
      </w:r>
      <w:proofErr w:type="gramEnd"/>
      <w:r w:rsidRPr="00DE4743">
        <w:rPr>
          <w:rFonts w:ascii="宋体" w:hAnsi="宋体"/>
          <w:lang w:eastAsia="zh-CN"/>
        </w:rPr>
        <w:t>贯通层面，真实矿井条件下的优选结论仍需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、参数标定和基线对照进一步检验。即便如此，现有结果已经足以支撑本文关于“一体化方法链已形成、对象链已打通”的核心论点。</w:t>
      </w:r>
    </w:p>
    <w:p w14:paraId="4B3EE3AF" w14:textId="65E0262B" w:rsidR="00081B10" w:rsidRDefault="00081B10" w:rsidP="00081B10">
      <w:pPr>
        <w:spacing w:after="40"/>
        <w:ind w:firstLine="420"/>
        <w:jc w:val="center"/>
        <w:rPr>
          <w:rFonts w:ascii="宋体" w:hAnsi="宋体" w:hint="eastAsia"/>
          <w:lang w:eastAsia="zh-CN"/>
        </w:rPr>
      </w:pPr>
      <w:r w:rsidRPr="00081B10">
        <w:rPr>
          <w:rFonts w:ascii="宋体" w:hAnsi="宋体"/>
          <w:lang w:eastAsia="zh-CN"/>
        </w:rPr>
        <w:t>表4 调控响应分析表</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09"/>
        <w:gridCol w:w="1559"/>
        <w:gridCol w:w="992"/>
        <w:gridCol w:w="1985"/>
        <w:gridCol w:w="1875"/>
        <w:gridCol w:w="993"/>
      </w:tblGrid>
      <w:tr w:rsidR="00A046E0" w:rsidRPr="00A046E0" w14:paraId="6154DECA" w14:textId="77777777" w:rsidTr="00A046E0">
        <w:trPr>
          <w:tblHeader/>
          <w:tblCellSpacing w:w="15" w:type="dxa"/>
          <w:jc w:val="center"/>
        </w:trPr>
        <w:tc>
          <w:tcPr>
            <w:tcW w:w="1952" w:type="dxa"/>
            <w:tcBorders>
              <w:top w:val="single" w:sz="4" w:space="0" w:color="auto"/>
              <w:bottom w:val="single" w:sz="4" w:space="0" w:color="auto"/>
            </w:tcBorders>
            <w:vAlign w:val="center"/>
            <w:hideMark/>
          </w:tcPr>
          <w:p w14:paraId="715FD3A7"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调控参数</w:t>
            </w:r>
          </w:p>
        </w:tc>
        <w:tc>
          <w:tcPr>
            <w:tcW w:w="679" w:type="dxa"/>
            <w:tcBorders>
              <w:top w:val="single" w:sz="4" w:space="0" w:color="auto"/>
              <w:bottom w:val="single" w:sz="4" w:space="0" w:color="auto"/>
            </w:tcBorders>
            <w:vAlign w:val="center"/>
            <w:hideMark/>
          </w:tcPr>
          <w:p w14:paraId="0447A40F"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取值</w:t>
            </w:r>
          </w:p>
        </w:tc>
        <w:tc>
          <w:tcPr>
            <w:tcW w:w="1529" w:type="dxa"/>
            <w:tcBorders>
              <w:top w:val="single" w:sz="4" w:space="0" w:color="auto"/>
              <w:bottom w:val="single" w:sz="4" w:space="0" w:color="auto"/>
            </w:tcBorders>
            <w:vAlign w:val="center"/>
            <w:hideMark/>
          </w:tcPr>
          <w:p w14:paraId="4B6D86A0"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ODI均值</w:t>
            </w:r>
          </w:p>
        </w:tc>
        <w:tc>
          <w:tcPr>
            <w:tcW w:w="962" w:type="dxa"/>
            <w:tcBorders>
              <w:top w:val="single" w:sz="4" w:space="0" w:color="auto"/>
              <w:bottom w:val="single" w:sz="4" w:space="0" w:color="auto"/>
            </w:tcBorders>
            <w:vAlign w:val="center"/>
            <w:hideMark/>
          </w:tcPr>
          <w:p w14:paraId="43D28449"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 P90</w:t>
            </w:r>
          </w:p>
        </w:tc>
        <w:tc>
          <w:tcPr>
            <w:tcW w:w="1955" w:type="dxa"/>
            <w:tcBorders>
              <w:top w:val="single" w:sz="4" w:space="0" w:color="auto"/>
              <w:bottom w:val="single" w:sz="4" w:space="0" w:color="auto"/>
            </w:tcBorders>
            <w:vAlign w:val="center"/>
            <w:hideMark/>
          </w:tcPr>
          <w:p w14:paraId="7E29CE64"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超限暴露比例/%</w:t>
            </w:r>
          </w:p>
        </w:tc>
        <w:tc>
          <w:tcPr>
            <w:tcW w:w="1845" w:type="dxa"/>
            <w:tcBorders>
              <w:top w:val="single" w:sz="4" w:space="0" w:color="auto"/>
              <w:bottom w:val="single" w:sz="4" w:space="0" w:color="auto"/>
            </w:tcBorders>
            <w:vAlign w:val="center"/>
            <w:hideMark/>
          </w:tcPr>
          <w:p w14:paraId="24DFC56C"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资源指标变化/%</w:t>
            </w:r>
          </w:p>
        </w:tc>
        <w:tc>
          <w:tcPr>
            <w:tcW w:w="948" w:type="dxa"/>
            <w:tcBorders>
              <w:top w:val="single" w:sz="4" w:space="0" w:color="auto"/>
              <w:bottom w:val="single" w:sz="4" w:space="0" w:color="auto"/>
            </w:tcBorders>
            <w:vAlign w:val="center"/>
            <w:hideMark/>
          </w:tcPr>
          <w:p w14:paraId="37A573B6"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评价</w:t>
            </w:r>
          </w:p>
        </w:tc>
      </w:tr>
      <w:tr w:rsidR="00A046E0" w:rsidRPr="00A046E0" w14:paraId="1C5EE121" w14:textId="77777777" w:rsidTr="00A046E0">
        <w:trPr>
          <w:tblCellSpacing w:w="15" w:type="dxa"/>
          <w:jc w:val="center"/>
        </w:trPr>
        <w:tc>
          <w:tcPr>
            <w:tcW w:w="1952" w:type="dxa"/>
            <w:vAlign w:val="center"/>
            <w:hideMark/>
          </w:tcPr>
          <w:p w14:paraId="0FF3C4C7"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15D0AE2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01B6004A"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E35BC7F"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2E8D350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7A37EC56"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E72922F" w14:textId="77777777" w:rsidR="00A046E0" w:rsidRPr="00A046E0" w:rsidRDefault="00A046E0" w:rsidP="00A046E0">
            <w:pPr>
              <w:spacing w:after="40"/>
              <w:jc w:val="center"/>
              <w:rPr>
                <w:rFonts w:ascii="宋体" w:hAnsi="宋体"/>
                <w:lang w:eastAsia="zh-CN"/>
              </w:rPr>
            </w:pPr>
          </w:p>
        </w:tc>
      </w:tr>
      <w:tr w:rsidR="00A046E0" w:rsidRPr="00A046E0" w14:paraId="7895F795" w14:textId="77777777" w:rsidTr="00A046E0">
        <w:trPr>
          <w:tblCellSpacing w:w="15" w:type="dxa"/>
          <w:jc w:val="center"/>
        </w:trPr>
        <w:tc>
          <w:tcPr>
            <w:tcW w:w="1952" w:type="dxa"/>
            <w:vAlign w:val="center"/>
            <w:hideMark/>
          </w:tcPr>
          <w:p w14:paraId="7EEF7079"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42BAC8B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12B310F0" w14:textId="77777777" w:rsidR="00A046E0" w:rsidRPr="00A046E0" w:rsidRDefault="00A046E0" w:rsidP="00A046E0">
            <w:pPr>
              <w:spacing w:after="40"/>
              <w:jc w:val="center"/>
              <w:rPr>
                <w:rFonts w:ascii="宋体" w:hAnsi="宋体"/>
                <w:lang w:eastAsia="zh-CN"/>
              </w:rPr>
            </w:pPr>
          </w:p>
        </w:tc>
        <w:tc>
          <w:tcPr>
            <w:tcW w:w="962" w:type="dxa"/>
            <w:vAlign w:val="center"/>
            <w:hideMark/>
          </w:tcPr>
          <w:p w14:paraId="7A9D95B6"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0A854EBF"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372AB0F5"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BD369FD" w14:textId="77777777" w:rsidR="00A046E0" w:rsidRPr="00A046E0" w:rsidRDefault="00A046E0" w:rsidP="00A046E0">
            <w:pPr>
              <w:spacing w:after="40"/>
              <w:jc w:val="center"/>
              <w:rPr>
                <w:rFonts w:ascii="宋体" w:hAnsi="宋体"/>
                <w:lang w:eastAsia="zh-CN"/>
              </w:rPr>
            </w:pPr>
          </w:p>
        </w:tc>
      </w:tr>
      <w:tr w:rsidR="00A046E0" w:rsidRPr="00A046E0" w14:paraId="65FF2200" w14:textId="77777777" w:rsidTr="00A046E0">
        <w:trPr>
          <w:tblCellSpacing w:w="15" w:type="dxa"/>
          <w:jc w:val="center"/>
        </w:trPr>
        <w:tc>
          <w:tcPr>
            <w:tcW w:w="1952" w:type="dxa"/>
            <w:vAlign w:val="center"/>
            <w:hideMark/>
          </w:tcPr>
          <w:p w14:paraId="2C4805E4"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6216D1EB"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080194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6D55E09A"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29655CE"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2C667C01"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2B006BB" w14:textId="77777777" w:rsidR="00A046E0" w:rsidRPr="00A046E0" w:rsidRDefault="00A046E0" w:rsidP="00A046E0">
            <w:pPr>
              <w:spacing w:after="40"/>
              <w:jc w:val="center"/>
              <w:rPr>
                <w:rFonts w:ascii="宋体" w:hAnsi="宋体"/>
                <w:lang w:eastAsia="zh-CN"/>
              </w:rPr>
            </w:pPr>
          </w:p>
        </w:tc>
      </w:tr>
      <w:tr w:rsidR="00A046E0" w:rsidRPr="00A046E0" w14:paraId="07F1884A" w14:textId="77777777" w:rsidTr="00A046E0">
        <w:trPr>
          <w:tblCellSpacing w:w="15" w:type="dxa"/>
          <w:jc w:val="center"/>
        </w:trPr>
        <w:tc>
          <w:tcPr>
            <w:tcW w:w="1952" w:type="dxa"/>
            <w:vAlign w:val="center"/>
            <w:hideMark/>
          </w:tcPr>
          <w:p w14:paraId="07C853C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工作面宽度</w:t>
            </w:r>
          </w:p>
        </w:tc>
        <w:tc>
          <w:tcPr>
            <w:tcW w:w="679" w:type="dxa"/>
            <w:vAlign w:val="center"/>
            <w:hideMark/>
          </w:tcPr>
          <w:p w14:paraId="2B4219B0"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1E0311B"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0C8AD2E"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DA8856B"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65132D30" w14:textId="77777777" w:rsidR="00A046E0" w:rsidRPr="00A046E0" w:rsidRDefault="00A046E0" w:rsidP="00A046E0">
            <w:pPr>
              <w:spacing w:after="40"/>
              <w:jc w:val="center"/>
              <w:rPr>
                <w:rFonts w:ascii="宋体" w:hAnsi="宋体"/>
                <w:lang w:eastAsia="zh-CN"/>
              </w:rPr>
            </w:pPr>
          </w:p>
        </w:tc>
        <w:tc>
          <w:tcPr>
            <w:tcW w:w="948" w:type="dxa"/>
            <w:vAlign w:val="center"/>
            <w:hideMark/>
          </w:tcPr>
          <w:p w14:paraId="2BB98A0B" w14:textId="77777777" w:rsidR="00A046E0" w:rsidRPr="00A046E0" w:rsidRDefault="00A046E0" w:rsidP="00A046E0">
            <w:pPr>
              <w:spacing w:after="40"/>
              <w:jc w:val="center"/>
              <w:rPr>
                <w:rFonts w:ascii="宋体" w:hAnsi="宋体"/>
                <w:lang w:eastAsia="zh-CN"/>
              </w:rPr>
            </w:pPr>
          </w:p>
        </w:tc>
      </w:tr>
      <w:tr w:rsidR="00A046E0" w:rsidRPr="00A046E0" w14:paraId="0DD6DA53" w14:textId="77777777" w:rsidTr="00A046E0">
        <w:trPr>
          <w:tblCellSpacing w:w="15" w:type="dxa"/>
          <w:jc w:val="center"/>
        </w:trPr>
        <w:tc>
          <w:tcPr>
            <w:tcW w:w="1952" w:type="dxa"/>
            <w:vAlign w:val="center"/>
            <w:hideMark/>
          </w:tcPr>
          <w:p w14:paraId="58062C8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区段煤柱宽度</w:t>
            </w:r>
          </w:p>
        </w:tc>
        <w:tc>
          <w:tcPr>
            <w:tcW w:w="679" w:type="dxa"/>
            <w:vAlign w:val="center"/>
            <w:hideMark/>
          </w:tcPr>
          <w:p w14:paraId="7FE68F2D"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4B0FBFA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637A7A8"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027B0E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5DBA2B5D"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A1E7762" w14:textId="77777777" w:rsidR="00A046E0" w:rsidRPr="00A046E0" w:rsidRDefault="00A046E0" w:rsidP="00A046E0">
            <w:pPr>
              <w:spacing w:after="40"/>
              <w:jc w:val="center"/>
              <w:rPr>
                <w:rFonts w:ascii="宋体" w:hAnsi="宋体"/>
                <w:lang w:eastAsia="zh-CN"/>
              </w:rPr>
            </w:pPr>
          </w:p>
        </w:tc>
      </w:tr>
    </w:tbl>
    <w:p w14:paraId="1D080733" w14:textId="7A72FF51" w:rsidR="007E22B6" w:rsidRDefault="00DE4743" w:rsidP="00A046E0">
      <w:pPr>
        <w:pStyle w:val="1"/>
        <w:rPr>
          <w:lang w:eastAsia="zh-CN"/>
        </w:rPr>
      </w:pPr>
      <w:r>
        <w:rPr>
          <w:rFonts w:hint="eastAsia"/>
          <w:lang w:eastAsia="zh-CN"/>
        </w:rPr>
        <w:t>4</w:t>
      </w:r>
      <w:r>
        <w:rPr>
          <w:lang w:eastAsia="zh-CN"/>
        </w:rPr>
        <w:t xml:space="preserve"> </w:t>
      </w:r>
      <w:r w:rsidR="00801D65" w:rsidRPr="00801D65">
        <w:rPr>
          <w:lang w:eastAsia="zh-CN"/>
        </w:rPr>
        <w:t>讨论</w:t>
      </w:r>
    </w:p>
    <w:p w14:paraId="5808E04E" w14:textId="16F1ED8A" w:rsidR="007E22B6" w:rsidRDefault="00DE4743" w:rsidP="00A046E0">
      <w:pPr>
        <w:pStyle w:val="21"/>
        <w:rPr>
          <w:lang w:eastAsia="zh-CN"/>
        </w:rPr>
      </w:pPr>
      <w:r>
        <w:rPr>
          <w:rFonts w:hint="eastAsia"/>
          <w:lang w:eastAsia="zh-CN"/>
        </w:rPr>
        <w:t>4</w:t>
      </w:r>
      <w:r>
        <w:rPr>
          <w:lang w:eastAsia="zh-CN"/>
        </w:rPr>
        <w:t xml:space="preserve">.1 </w:t>
      </w:r>
      <w:r w:rsidRPr="00DE4743">
        <w:rPr>
          <w:lang w:eastAsia="zh-CN"/>
        </w:rPr>
        <w:t xml:space="preserve">ODI </w:t>
      </w:r>
      <w:r w:rsidRPr="00DE4743">
        <w:rPr>
          <w:lang w:eastAsia="zh-CN"/>
        </w:rPr>
        <w:t>前置约束对采区规划的作用</w:t>
      </w:r>
    </w:p>
    <w:p w14:paraId="21B58B87"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w:t>
      </w:r>
      <w:proofErr w:type="gramStart"/>
      <w:r w:rsidRPr="00DE4743">
        <w:rPr>
          <w:rFonts w:ascii="宋体" w:hAnsi="宋体" w:hint="eastAsia"/>
          <w:lang w:eastAsia="zh-CN"/>
        </w:rPr>
        <w:t>场景覆岩扰动</w:t>
      </w:r>
      <w:proofErr w:type="gramEnd"/>
      <w:r w:rsidRPr="00DE4743">
        <w:rPr>
          <w:rFonts w:ascii="宋体" w:hAnsi="宋体" w:hint="eastAsia"/>
          <w:lang w:eastAsia="zh-CN"/>
        </w:rPr>
        <w:t>结果统一组织为 ODI 指标，并将其前置嵌入候选方案生成过程，其意义在于把原本后置的风险校核转化为前置的空间约束与排序依据，使风险控制由“方案完成后的解释”转变为“方案形成时的筛选条件”。</w:t>
      </w:r>
    </w:p>
    <w:p w14:paraId="0F12A7CB"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27BBCF87" w14:textId="72036E6D" w:rsidR="000B659F" w:rsidRPr="000B659F" w:rsidRDefault="00DE4743" w:rsidP="00DE4743">
      <w:pPr>
        <w:spacing w:after="40"/>
        <w:ind w:firstLine="420"/>
        <w:rPr>
          <w:rFonts w:ascii="宋体" w:hAnsi="宋体" w:hint="eastAsia"/>
          <w:lang w:eastAsia="zh-CN"/>
        </w:rPr>
      </w:pPr>
      <w:r w:rsidRPr="00DE4743">
        <w:rPr>
          <w:rFonts w:ascii="宋体" w:hAnsi="宋体" w:hint="eastAsia"/>
          <w:lang w:eastAsia="zh-CN"/>
        </w:rPr>
        <w:t>进一步看，ODI 统一表达的价值还体现在其连续传递能力上。由于 ODI 在规划阶段已形成</w:t>
      </w:r>
      <w:proofErr w:type="gramStart"/>
      <w:r w:rsidRPr="00DE4743">
        <w:rPr>
          <w:rFonts w:ascii="宋体" w:hAnsi="宋体" w:hint="eastAsia"/>
          <w:lang w:eastAsia="zh-CN"/>
        </w:rPr>
        <w:t>方案级统计</w:t>
      </w:r>
      <w:proofErr w:type="gramEnd"/>
      <w:r w:rsidRPr="00DE4743">
        <w:rPr>
          <w:rFonts w:ascii="宋体" w:hAnsi="宋体" w:hint="eastAsia"/>
          <w:lang w:eastAsia="zh-CN"/>
        </w:rPr>
        <w:t>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3D8423A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1159117E" w14:textId="2F5DF6AE" w:rsidR="007E22B6" w:rsidRDefault="00DE4743" w:rsidP="00A046E0">
      <w:pPr>
        <w:pStyle w:val="21"/>
        <w:rPr>
          <w:lang w:eastAsia="zh-CN"/>
        </w:rPr>
      </w:pPr>
      <w:r>
        <w:rPr>
          <w:rFonts w:hint="eastAsia"/>
          <w:lang w:eastAsia="zh-CN"/>
        </w:rPr>
        <w:lastRenderedPageBreak/>
        <w:t>4</w:t>
      </w:r>
      <w:r>
        <w:rPr>
          <w:lang w:eastAsia="zh-CN"/>
        </w:rPr>
        <w:t xml:space="preserve">.2 </w:t>
      </w:r>
      <w:proofErr w:type="gramStart"/>
      <w:r w:rsidRPr="00DE4743">
        <w:rPr>
          <w:lang w:eastAsia="zh-CN"/>
        </w:rPr>
        <w:t>参数场</w:t>
      </w:r>
      <w:proofErr w:type="gramEnd"/>
      <w:r w:rsidRPr="00DE4743">
        <w:rPr>
          <w:lang w:eastAsia="zh-CN"/>
        </w:rPr>
        <w:t>驱动的规划方法相对于传统经验布置的意义</w:t>
      </w:r>
    </w:p>
    <w:p w14:paraId="0D82285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w:t>
      </w:r>
      <w:proofErr w:type="gramStart"/>
      <w:r w:rsidRPr="00DE4743">
        <w:rPr>
          <w:rFonts w:ascii="宋体" w:hAnsi="宋体"/>
          <w:lang w:eastAsia="zh-CN"/>
        </w:rPr>
        <w:t>参数场</w:t>
      </w:r>
      <w:proofErr w:type="gramEnd"/>
      <w:r w:rsidRPr="00DE4743">
        <w:rPr>
          <w:rFonts w:ascii="宋体" w:hAnsi="宋体"/>
          <w:lang w:eastAsia="zh-CN"/>
        </w:rPr>
        <w:t>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55525E0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研究区样例表明，</w:t>
      </w:r>
      <w:proofErr w:type="gramStart"/>
      <w:r w:rsidRPr="00DE4743">
        <w:rPr>
          <w:rFonts w:ascii="宋体" w:hAnsi="宋体"/>
          <w:lang w:eastAsia="zh-CN"/>
        </w:rPr>
        <w:t>参数场</w:t>
      </w:r>
      <w:proofErr w:type="gramEnd"/>
      <w:r w:rsidRPr="00DE4743">
        <w:rPr>
          <w:rFonts w:ascii="宋体" w:hAnsi="宋体"/>
          <w:lang w:eastAsia="zh-CN"/>
        </w:rPr>
        <w:t>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w:t>
      </w:r>
      <w:proofErr w:type="gramStart"/>
      <w:r w:rsidRPr="00DE4743">
        <w:rPr>
          <w:rFonts w:ascii="宋体" w:hAnsi="宋体"/>
          <w:lang w:eastAsia="zh-CN"/>
        </w:rPr>
        <w:t>参数场不仅</w:t>
      </w:r>
      <w:proofErr w:type="gramEnd"/>
      <w:r w:rsidRPr="00DE4743">
        <w:rPr>
          <w:rFonts w:ascii="宋体" w:hAnsi="宋体"/>
          <w:lang w:eastAsia="zh-CN"/>
        </w:rPr>
        <w:t>提高了规划对象对地质条件的表达能力，也使多目标规划具备了更明确的空间基础。相比仅依据几何可布置性进行方案生成的方式，</w:t>
      </w:r>
      <w:proofErr w:type="gramStart"/>
      <w:r w:rsidRPr="00DE4743">
        <w:rPr>
          <w:rFonts w:ascii="宋体" w:hAnsi="宋体"/>
          <w:lang w:eastAsia="zh-CN"/>
        </w:rPr>
        <w:t>参数场</w:t>
      </w:r>
      <w:proofErr w:type="gramEnd"/>
      <w:r w:rsidRPr="00DE4743">
        <w:rPr>
          <w:rFonts w:ascii="宋体" w:hAnsi="宋体"/>
          <w:lang w:eastAsia="zh-CN"/>
        </w:rPr>
        <w:t>驱动下的规划方法更有利于体现地质属性差异对采区规划决策的实际影响。</w:t>
      </w:r>
    </w:p>
    <w:p w14:paraId="61045E30" w14:textId="79FF477C"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w:t>
      </w:r>
      <w:proofErr w:type="gramStart"/>
      <w:r w:rsidRPr="00DE4743">
        <w:rPr>
          <w:rFonts w:ascii="宋体" w:hAnsi="宋体"/>
          <w:lang w:eastAsia="zh-CN"/>
        </w:rPr>
        <w:t>参数场</w:t>
      </w:r>
      <w:proofErr w:type="gramEnd"/>
      <w:r w:rsidRPr="00DE4743">
        <w:rPr>
          <w:rFonts w:ascii="宋体" w:hAnsi="宋体"/>
          <w:lang w:eastAsia="zh-CN"/>
        </w:rPr>
        <w:t>构建理解为独立的地质建模任务，而是将其视为服务规划决策的中间环节。</w:t>
      </w:r>
      <w:proofErr w:type="gramStart"/>
      <w:r w:rsidRPr="00DE4743">
        <w:rPr>
          <w:rFonts w:ascii="宋体" w:hAnsi="宋体"/>
          <w:lang w:eastAsia="zh-CN"/>
        </w:rPr>
        <w:t>参数场</w:t>
      </w:r>
      <w:proofErr w:type="gramEnd"/>
      <w:r w:rsidRPr="00DE4743">
        <w:rPr>
          <w:rFonts w:ascii="宋体" w:hAnsi="宋体"/>
          <w:lang w:eastAsia="zh-CN"/>
        </w:rPr>
        <w:t>的价值不在于单独展示插值结果本身，而在于其能够被后续规划链路持续消费。正因为参数场、</w:t>
      </w:r>
      <w:proofErr w:type="gramStart"/>
      <w:r w:rsidRPr="00DE4743">
        <w:rPr>
          <w:rFonts w:ascii="宋体" w:hAnsi="宋体"/>
          <w:lang w:eastAsia="zh-CN"/>
        </w:rPr>
        <w:t>风险场</w:t>
      </w:r>
      <w:proofErr w:type="gramEnd"/>
      <w:r w:rsidRPr="00DE4743">
        <w:rPr>
          <w:rFonts w:ascii="宋体" w:hAnsi="宋体"/>
          <w:lang w:eastAsia="zh-CN"/>
        </w:rPr>
        <w:t>和几何对象被组织在统一空间参照之下，规划结果才有可能进一步传递至采掘接续与工程经济分析环节。由此可见，本文方法的关键并不在于某一单独模块的复杂程度，而在于多类中间对象在同</w:t>
      </w:r>
      <w:proofErr w:type="gramStart"/>
      <w:r w:rsidRPr="00DE4743">
        <w:rPr>
          <w:rFonts w:ascii="宋体" w:hAnsi="宋体"/>
          <w:lang w:eastAsia="zh-CN"/>
        </w:rPr>
        <w:t>一决策</w:t>
      </w:r>
      <w:proofErr w:type="gramEnd"/>
      <w:r w:rsidRPr="00DE4743">
        <w:rPr>
          <w:rFonts w:ascii="宋体" w:hAnsi="宋体"/>
          <w:lang w:eastAsia="zh-CN"/>
        </w:rPr>
        <w:t>链上的有效衔接。</w:t>
      </w:r>
    </w:p>
    <w:p w14:paraId="4E3AE6D0" w14:textId="5E95D3DC" w:rsidR="007E22B6" w:rsidRDefault="00DE4743" w:rsidP="00A046E0">
      <w:pPr>
        <w:pStyle w:val="21"/>
        <w:rPr>
          <w:lang w:eastAsia="zh-CN"/>
        </w:rPr>
      </w:pPr>
      <w:r>
        <w:rPr>
          <w:rFonts w:hint="eastAsia"/>
          <w:lang w:eastAsia="zh-CN"/>
        </w:rPr>
        <w:t>4</w:t>
      </w:r>
      <w:r>
        <w:rPr>
          <w:lang w:eastAsia="zh-CN"/>
        </w:rPr>
        <w:t xml:space="preserve">.3 </w:t>
      </w:r>
      <w:r w:rsidR="000B659F" w:rsidRPr="000B659F">
        <w:rPr>
          <w:lang w:eastAsia="zh-CN"/>
        </w:rPr>
        <w:t>后续深化方向</w:t>
      </w:r>
    </w:p>
    <w:p w14:paraId="003A82AB"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需要指出的是，本文当前结果主要证明了所提方法在样</w:t>
      </w:r>
      <w:proofErr w:type="gramStart"/>
      <w:r w:rsidRPr="00DE4743">
        <w:rPr>
          <w:rFonts w:ascii="宋体" w:hAnsi="宋体"/>
          <w:lang w:eastAsia="zh-CN"/>
        </w:rPr>
        <w:t>例条件</w:t>
      </w:r>
      <w:proofErr w:type="gramEnd"/>
      <w:r w:rsidRPr="00DE4743">
        <w:rPr>
          <w:rFonts w:ascii="宋体" w:hAnsi="宋体"/>
          <w:lang w:eastAsia="zh-CN"/>
        </w:rPr>
        <w:t xml:space="preserve">下的链路贯通能力，即能够实现采区边界、钻孔样点、连续参数场、ODI </w:t>
      </w:r>
      <w:proofErr w:type="gramStart"/>
      <w:r w:rsidRPr="00DE4743">
        <w:rPr>
          <w:rFonts w:ascii="宋体" w:hAnsi="宋体"/>
          <w:lang w:eastAsia="zh-CN"/>
        </w:rPr>
        <w:t>风险场</w:t>
      </w:r>
      <w:proofErr w:type="gramEnd"/>
      <w:r w:rsidRPr="00DE4743">
        <w:rPr>
          <w:rFonts w:ascii="宋体" w:hAnsi="宋体"/>
          <w:lang w:eastAsia="zh-CN"/>
        </w:rPr>
        <w:t>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5FB37E2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但同时也应看到，本文结论仍具有明确的适用边界。首先，当前验证主要</w:t>
      </w:r>
      <w:proofErr w:type="gramStart"/>
      <w:r w:rsidRPr="00DE4743">
        <w:rPr>
          <w:rFonts w:ascii="宋体" w:hAnsi="宋体"/>
          <w:lang w:eastAsia="zh-CN"/>
        </w:rPr>
        <w:t>基于样例级</w:t>
      </w:r>
      <w:proofErr w:type="gramEnd"/>
      <w:r w:rsidRPr="00DE4743">
        <w:rPr>
          <w:rFonts w:ascii="宋体" w:hAnsi="宋体"/>
          <w:lang w:eastAsia="zh-CN"/>
        </w:rPr>
        <w:t>输入和已有程序输出，尚未形成多个真实矿井案例下的系统对照，因此现阶段更适合支撑“方法可行”和“链路有效”的结论，而尚不足以支撑普适意义上的优越性判断。其次，ODI 在不同矿井条件下的权重设置、阈值划分和参数</w:t>
      </w:r>
      <w:proofErr w:type="gramStart"/>
      <w:r w:rsidRPr="00DE4743">
        <w:rPr>
          <w:rFonts w:ascii="宋体" w:hAnsi="宋体"/>
          <w:lang w:eastAsia="zh-CN"/>
        </w:rPr>
        <w:t>标定仍</w:t>
      </w:r>
      <w:proofErr w:type="gramEnd"/>
      <w:r w:rsidRPr="00DE4743">
        <w:rPr>
          <w:rFonts w:ascii="宋体" w:hAnsi="宋体"/>
          <w:lang w:eastAsia="zh-CN"/>
        </w:rPr>
        <w:t>可能</w:t>
      </w:r>
      <w:proofErr w:type="gramStart"/>
      <w:r w:rsidRPr="00DE4743">
        <w:rPr>
          <w:rFonts w:ascii="宋体" w:hAnsi="宋体"/>
          <w:lang w:eastAsia="zh-CN"/>
        </w:rPr>
        <w:t>受到覆岩结构</w:t>
      </w:r>
      <w:proofErr w:type="gramEnd"/>
      <w:r w:rsidRPr="00DE4743">
        <w:rPr>
          <w:rFonts w:ascii="宋体" w:hAnsi="宋体"/>
          <w:lang w:eastAsia="zh-CN"/>
        </w:rPr>
        <w:t>、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03FBD2E7"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w:t>
      </w:r>
      <w:proofErr w:type="gramStart"/>
      <w:r w:rsidRPr="00DE4743">
        <w:rPr>
          <w:rFonts w:ascii="宋体" w:hAnsi="宋体"/>
          <w:lang w:eastAsia="zh-CN"/>
        </w:rPr>
        <w:t>围绕实矿案例</w:t>
      </w:r>
      <w:proofErr w:type="gramEnd"/>
      <w:r w:rsidRPr="00DE4743">
        <w:rPr>
          <w:rFonts w:ascii="宋体" w:hAnsi="宋体"/>
          <w:lang w:eastAsia="zh-CN"/>
        </w:rPr>
        <w:t>对照、ODI 参数标定以及关键控制参数敏感性分析展开，从而增强该方法在复杂矿井条件下的工程适用性和推广价值。</w:t>
      </w:r>
    </w:p>
    <w:p w14:paraId="1DC98122" w14:textId="00E9BEE5" w:rsidR="007E22B6" w:rsidRDefault="00DE4743" w:rsidP="00A046E0">
      <w:pPr>
        <w:pStyle w:val="1"/>
        <w:rPr>
          <w:lang w:eastAsia="zh-CN"/>
        </w:rPr>
      </w:pPr>
      <w:r>
        <w:rPr>
          <w:rFonts w:hint="eastAsia"/>
          <w:lang w:eastAsia="zh-CN"/>
        </w:rPr>
        <w:t>5</w:t>
      </w:r>
      <w:r>
        <w:rPr>
          <w:lang w:eastAsia="zh-CN"/>
        </w:rPr>
        <w:t xml:space="preserve"> </w:t>
      </w:r>
      <w:r w:rsidR="000B659F" w:rsidRPr="000B659F">
        <w:rPr>
          <w:lang w:eastAsia="zh-CN"/>
        </w:rPr>
        <w:t>结论</w:t>
      </w:r>
    </w:p>
    <w:p w14:paraId="79A868C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1）针对采区规划中地质信息离散、风险约束异构以及方案生成与后续评价脱节的问题，提出了一种</w:t>
      </w:r>
      <w:proofErr w:type="gramStart"/>
      <w:r w:rsidRPr="00DE4743">
        <w:rPr>
          <w:rFonts w:ascii="宋体" w:hAnsi="宋体"/>
          <w:lang w:eastAsia="zh-CN"/>
        </w:rPr>
        <w:t>基于覆岩扰动</w:t>
      </w:r>
      <w:proofErr w:type="gramEnd"/>
      <w:r w:rsidRPr="00DE4743">
        <w:rPr>
          <w:rFonts w:ascii="宋体" w:hAnsi="宋体"/>
          <w:lang w:eastAsia="zh-CN"/>
        </w:rPr>
        <w:t>指数 ODI 约束的采区多目标协同规划方法，构建了覆盖有效布置域、连续参数场、风险组织、候选规划、采掘接续和工程经济评价的一体化决策链。</w:t>
      </w:r>
    </w:p>
    <w:p w14:paraId="4CC7E15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2）通过将地表沉陷、含水层扰动和上行开采等多</w:t>
      </w:r>
      <w:proofErr w:type="gramStart"/>
      <w:r w:rsidRPr="00DE4743">
        <w:rPr>
          <w:rFonts w:ascii="宋体" w:hAnsi="宋体"/>
          <w:lang w:eastAsia="zh-CN"/>
        </w:rPr>
        <w:t>场景覆岩扰动</w:t>
      </w:r>
      <w:proofErr w:type="gramEnd"/>
      <w:r w:rsidRPr="00DE4743">
        <w:rPr>
          <w:rFonts w:ascii="宋体" w:hAnsi="宋体"/>
          <w:lang w:eastAsia="zh-CN"/>
        </w:rPr>
        <w:t>统一组织为 ODI 指标，实现了异构风险在同一尺度下的前置表达与</w:t>
      </w:r>
      <w:proofErr w:type="gramStart"/>
      <w:r w:rsidRPr="00DE4743">
        <w:rPr>
          <w:rFonts w:ascii="宋体" w:hAnsi="宋体"/>
          <w:lang w:eastAsia="zh-CN"/>
        </w:rPr>
        <w:t>方案级</w:t>
      </w:r>
      <w:proofErr w:type="gramEnd"/>
      <w:r w:rsidRPr="00DE4743">
        <w:rPr>
          <w:rFonts w:ascii="宋体" w:hAnsi="宋体"/>
          <w:lang w:eastAsia="zh-CN"/>
        </w:rPr>
        <w:t>比较，使风险分析能够直接参与候选方案生成、筛选和后续评价过程。</w:t>
      </w:r>
    </w:p>
    <w:p w14:paraId="2B1CEB6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3）研究区样例验证表明，所提方法能够在统一空间参照与参数口径下完成采区边界约束处理、连续</w:t>
      </w:r>
      <w:proofErr w:type="gramStart"/>
      <w:r w:rsidRPr="00DE4743">
        <w:rPr>
          <w:rFonts w:ascii="宋体" w:hAnsi="宋体"/>
          <w:lang w:eastAsia="zh-CN"/>
        </w:rPr>
        <w:t>参数场</w:t>
      </w:r>
      <w:proofErr w:type="gramEnd"/>
      <w:r w:rsidRPr="00DE4743">
        <w:rPr>
          <w:rFonts w:ascii="宋体" w:hAnsi="宋体"/>
          <w:lang w:eastAsia="zh-CN"/>
        </w:rPr>
        <w:t>构建、ODI 风险表征与规划方案生成，形成3个工作面和11条巷道的结构化布局结果，并可继续传递至采掘接续与工程经济评价环节，构成</w:t>
      </w:r>
      <w:proofErr w:type="gramStart"/>
      <w:r w:rsidRPr="00DE4743">
        <w:rPr>
          <w:rFonts w:ascii="宋体" w:hAnsi="宋体"/>
          <w:lang w:eastAsia="zh-CN"/>
        </w:rPr>
        <w:t>由风险</w:t>
      </w:r>
      <w:proofErr w:type="gramEnd"/>
      <w:r w:rsidRPr="00DE4743">
        <w:rPr>
          <w:rFonts w:ascii="宋体" w:hAnsi="宋体"/>
          <w:lang w:eastAsia="zh-CN"/>
        </w:rPr>
        <w:t>约束到经济指标的连续决策链。</w:t>
      </w:r>
    </w:p>
    <w:p w14:paraId="0F7E85C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4）当前结果主要支撑样</w:t>
      </w:r>
      <w:proofErr w:type="gramStart"/>
      <w:r w:rsidRPr="00DE4743">
        <w:rPr>
          <w:rFonts w:ascii="宋体" w:hAnsi="宋体"/>
          <w:lang w:eastAsia="zh-CN"/>
        </w:rPr>
        <w:t>例条件</w:t>
      </w:r>
      <w:proofErr w:type="gramEnd"/>
      <w:r w:rsidRPr="00DE4743">
        <w:rPr>
          <w:rFonts w:ascii="宋体" w:hAnsi="宋体"/>
          <w:lang w:eastAsia="zh-CN"/>
        </w:rPr>
        <w:t>下的方法贯通和对象链有效性，真实矿井条件下的工程优选结论仍需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w:t>
      </w:r>
    </w:p>
    <w:p w14:paraId="14565331" w14:textId="77777777" w:rsidR="007E22B6" w:rsidRDefault="00000000" w:rsidP="00A046E0">
      <w:pPr>
        <w:pStyle w:val="1"/>
      </w:pPr>
      <w:proofErr w:type="spellStart"/>
      <w:r>
        <w:t>参考文献</w:t>
      </w:r>
      <w:proofErr w:type="spellEnd"/>
    </w:p>
    <w:p w14:paraId="4EC23679" w14:textId="77777777" w:rsidR="007E22B6" w:rsidRDefault="00000000">
      <w:pPr>
        <w:spacing w:after="40"/>
        <w:ind w:left="420" w:hanging="420"/>
      </w:pPr>
      <w:bookmarkStart w:id="0" w:name="ref-1"/>
      <w:bookmarkEnd w:id="0"/>
      <w:r>
        <w:rPr>
          <w:rFonts w:ascii="宋体" w:hAnsi="宋体"/>
          <w:sz w:val="18"/>
        </w:rPr>
        <w:t xml:space="preserve">[1] WU </w:t>
      </w:r>
      <w:proofErr w:type="spellStart"/>
      <w:r>
        <w:rPr>
          <w:rFonts w:ascii="宋体" w:hAnsi="宋体"/>
          <w:sz w:val="18"/>
        </w:rPr>
        <w:t>Xuefei</w:t>
      </w:r>
      <w:proofErr w:type="spellEnd"/>
      <w:r>
        <w:rPr>
          <w:rFonts w:ascii="宋体" w:hAnsi="宋体"/>
          <w:sz w:val="18"/>
        </w:rPr>
        <w:t xml:space="preserve">, LI </w:t>
      </w:r>
      <w:proofErr w:type="spellStart"/>
      <w:r>
        <w:rPr>
          <w:rFonts w:ascii="宋体" w:hAnsi="宋体"/>
          <w:sz w:val="18"/>
        </w:rPr>
        <w:t>Hongxia</w:t>
      </w:r>
      <w:proofErr w:type="spellEnd"/>
      <w:r>
        <w:rPr>
          <w:rFonts w:ascii="宋体" w:hAnsi="宋体"/>
          <w:sz w:val="18"/>
        </w:rPr>
        <w:t>, WANG Baoli, et al. Review on improvements to the safety level of coal mines by applying intelligent coal mining[J]. Sustainability, 2022, 14(24): 16400. DOI: 10.3390/su142416400.</w:t>
      </w:r>
    </w:p>
    <w:p w14:paraId="0BB0983A" w14:textId="77777777" w:rsidR="007E22B6" w:rsidRDefault="00000000">
      <w:pPr>
        <w:spacing w:after="40"/>
        <w:ind w:left="420" w:hanging="420"/>
      </w:pPr>
      <w:bookmarkStart w:id="1" w:name="ref-2"/>
      <w:bookmarkEnd w:id="1"/>
      <w:r>
        <w:rPr>
          <w:rFonts w:ascii="宋体" w:hAnsi="宋体"/>
          <w:sz w:val="18"/>
        </w:rPr>
        <w:t xml:space="preserve">[2] WANG </w:t>
      </w:r>
      <w:proofErr w:type="spellStart"/>
      <w:r>
        <w:rPr>
          <w:rFonts w:ascii="宋体" w:hAnsi="宋体"/>
          <w:sz w:val="18"/>
        </w:rPr>
        <w:t>Guofa</w:t>
      </w:r>
      <w:proofErr w:type="spellEnd"/>
      <w:r>
        <w:rPr>
          <w:rFonts w:ascii="宋体" w:hAnsi="宋体"/>
          <w:sz w:val="18"/>
        </w:rPr>
        <w:t xml:space="preserve">, REN </w:t>
      </w:r>
      <w:proofErr w:type="spellStart"/>
      <w:r>
        <w:rPr>
          <w:rFonts w:ascii="宋体" w:hAnsi="宋体"/>
          <w:sz w:val="18"/>
        </w:rPr>
        <w:t>Huaiwei</w:t>
      </w:r>
      <w:proofErr w:type="spellEnd"/>
      <w:r>
        <w:rPr>
          <w:rFonts w:ascii="宋体" w:hAnsi="宋体"/>
          <w:sz w:val="18"/>
        </w:rPr>
        <w:t>, ZHAO Guorui, et al. Research and practice of intelligent coal mine technology systems in China[J]. International Journal of Coal Science &amp; Technology, 2022, 9(1). DOI: 10.1007/s40789-022-00491-3.</w:t>
      </w:r>
    </w:p>
    <w:p w14:paraId="10CC9B80" w14:textId="77777777" w:rsidR="007E22B6" w:rsidRDefault="00000000">
      <w:pPr>
        <w:spacing w:after="40"/>
        <w:ind w:left="420" w:hanging="420"/>
      </w:pPr>
      <w:bookmarkStart w:id="2" w:name="ref-3"/>
      <w:bookmarkEnd w:id="2"/>
      <w:r>
        <w:rPr>
          <w:rFonts w:ascii="宋体" w:hAnsi="宋体"/>
          <w:sz w:val="18"/>
        </w:rPr>
        <w:t xml:space="preserve">[3] ZHANG </w:t>
      </w:r>
      <w:proofErr w:type="spellStart"/>
      <w:r>
        <w:rPr>
          <w:rFonts w:ascii="宋体" w:hAnsi="宋体"/>
          <w:sz w:val="18"/>
        </w:rPr>
        <w:t>Kexue</w:t>
      </w:r>
      <w:proofErr w:type="spellEnd"/>
      <w:r>
        <w:rPr>
          <w:rFonts w:ascii="宋体" w:hAnsi="宋体"/>
          <w:sz w:val="18"/>
        </w:rPr>
        <w:t>, KANG Lei, CHEN Xuexi, et al. A review of intelligent unmanned mining current situation and development trend[J]. Energies, 2022, 15(2): 513. DOI: 10.3390/en15020513.</w:t>
      </w:r>
    </w:p>
    <w:p w14:paraId="14763A58" w14:textId="77777777" w:rsidR="007E22B6" w:rsidRDefault="00000000">
      <w:pPr>
        <w:spacing w:after="40"/>
        <w:ind w:left="420" w:hanging="420"/>
      </w:pPr>
      <w:bookmarkStart w:id="3" w:name="ref-4"/>
      <w:bookmarkEnd w:id="3"/>
      <w:r>
        <w:rPr>
          <w:rFonts w:ascii="宋体" w:hAnsi="宋体"/>
          <w:sz w:val="18"/>
        </w:rPr>
        <w:t xml:space="preserve">[4] YANG Yi, LI Yingchun, WANG </w:t>
      </w:r>
      <w:proofErr w:type="spellStart"/>
      <w:r>
        <w:rPr>
          <w:rFonts w:ascii="宋体" w:hAnsi="宋体"/>
          <w:sz w:val="18"/>
        </w:rPr>
        <w:t>Lujun</w:t>
      </w:r>
      <w:proofErr w:type="spellEnd"/>
      <w:r>
        <w:rPr>
          <w:rFonts w:ascii="宋体" w:hAnsi="宋体"/>
          <w:sz w:val="18"/>
        </w:rPr>
        <w:t>, et al. On strata damage and stress disturbance induced by coal mining based on physical similarity simulation experiments[J]. Scientific Reports, 2023, 13(1). DOI: 10.1038/s41598-023-42148-4.</w:t>
      </w:r>
    </w:p>
    <w:p w14:paraId="16A90854"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6DB1477E" w14:textId="77777777" w:rsidR="007E22B6" w:rsidRDefault="00000000">
      <w:pPr>
        <w:spacing w:after="40"/>
        <w:ind w:left="420" w:hanging="420"/>
      </w:pPr>
      <w:bookmarkStart w:id="5" w:name="ref-6"/>
      <w:bookmarkEnd w:id="5"/>
      <w:r>
        <w:rPr>
          <w:rFonts w:ascii="宋体" w:hAnsi="宋体"/>
          <w:sz w:val="18"/>
        </w:rPr>
        <w:t xml:space="preserve">[6] YANG Xiao, SHI </w:t>
      </w:r>
      <w:proofErr w:type="spellStart"/>
      <w:r>
        <w:rPr>
          <w:rFonts w:ascii="宋体" w:hAnsi="宋体"/>
          <w:sz w:val="18"/>
        </w:rPr>
        <w:t>Longqing</w:t>
      </w:r>
      <w:proofErr w:type="spellEnd"/>
      <w:r>
        <w:rPr>
          <w:rFonts w:ascii="宋体" w:hAnsi="宋体"/>
          <w:sz w:val="18"/>
        </w:rPr>
        <w:t xml:space="preserve">, QIU Mei, et al. Spatiotemporal evolution patterns of mining-induced overburden damage based on </w:t>
      </w:r>
      <w:proofErr w:type="spellStart"/>
      <w:r>
        <w:rPr>
          <w:rFonts w:ascii="宋体" w:hAnsi="宋体"/>
          <w:sz w:val="18"/>
        </w:rPr>
        <w:t>microseismic</w:t>
      </w:r>
      <w:proofErr w:type="spellEnd"/>
      <w:r>
        <w:rPr>
          <w:rFonts w:ascii="宋体" w:hAnsi="宋体"/>
          <w:sz w:val="18"/>
        </w:rPr>
        <w:t xml:space="preserve"> event response analysis[J]. Journal of Applied Geophysics, 2025, 242: 105876. DOI: 10.1016/j.jappgeo.2025.105876.</w:t>
      </w:r>
    </w:p>
    <w:p w14:paraId="4510A9D4"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2B500A00" w14:textId="77777777" w:rsidR="007E22B6" w:rsidRDefault="00000000">
      <w:pPr>
        <w:spacing w:after="40"/>
        <w:ind w:left="420" w:hanging="420"/>
      </w:pPr>
      <w:bookmarkStart w:id="7" w:name="ref-8"/>
      <w:bookmarkEnd w:id="7"/>
      <w:r>
        <w:rPr>
          <w:rFonts w:ascii="宋体" w:hAnsi="宋体"/>
          <w:sz w:val="18"/>
        </w:rPr>
        <w:t xml:space="preserve">[8] CAO Jian, HUANG </w:t>
      </w:r>
      <w:proofErr w:type="spellStart"/>
      <w:r>
        <w:rPr>
          <w:rFonts w:ascii="宋体" w:hAnsi="宋体"/>
          <w:sz w:val="18"/>
        </w:rPr>
        <w:t>Qingxiang</w:t>
      </w:r>
      <w:proofErr w:type="spellEnd"/>
      <w:r>
        <w:rPr>
          <w:rFonts w:ascii="宋体" w:hAnsi="宋体"/>
          <w:sz w:val="18"/>
        </w:rPr>
        <w:t xml:space="preserve">, GUO </w:t>
      </w:r>
      <w:proofErr w:type="spellStart"/>
      <w:r>
        <w:rPr>
          <w:rFonts w:ascii="宋体" w:hAnsi="宋体"/>
          <w:sz w:val="18"/>
        </w:rPr>
        <w:t>Lingfei</w:t>
      </w:r>
      <w:proofErr w:type="spellEnd"/>
      <w:r>
        <w:rPr>
          <w:rFonts w:ascii="宋体" w:hAnsi="宋体"/>
          <w:sz w:val="18"/>
        </w:rPr>
        <w:t>. Subsidence prediction of overburden strata and ground surface in shallow coal seam mining[J]. Scientific Reports, 2021, 11(1). DOI: 10.1038/s41598-021-98520-9.</w:t>
      </w:r>
    </w:p>
    <w:p w14:paraId="389C6FA0"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64732DDB" w14:textId="77777777" w:rsidR="007E22B6" w:rsidRDefault="00000000">
      <w:pPr>
        <w:spacing w:after="40"/>
        <w:ind w:left="420" w:hanging="420"/>
      </w:pPr>
      <w:bookmarkStart w:id="9" w:name="ref-10"/>
      <w:bookmarkEnd w:id="9"/>
      <w:r>
        <w:rPr>
          <w:rFonts w:ascii="宋体" w:hAnsi="宋体"/>
          <w:sz w:val="18"/>
        </w:rPr>
        <w:t xml:space="preserve">[10] SHI </w:t>
      </w:r>
      <w:proofErr w:type="spellStart"/>
      <w:r>
        <w:rPr>
          <w:rFonts w:ascii="宋体" w:hAnsi="宋体"/>
          <w:sz w:val="18"/>
        </w:rPr>
        <w:t>Xiuchang</w:t>
      </w:r>
      <w:proofErr w:type="spellEnd"/>
      <w:r>
        <w:rPr>
          <w:rFonts w:ascii="宋体" w:hAnsi="宋体"/>
          <w:sz w:val="18"/>
        </w:rPr>
        <w:t xml:space="preserve">, ZHANG </w:t>
      </w:r>
      <w:proofErr w:type="spellStart"/>
      <w:r>
        <w:rPr>
          <w:rFonts w:ascii="宋体" w:hAnsi="宋体"/>
          <w:sz w:val="18"/>
        </w:rPr>
        <w:t>Jixing</w:t>
      </w:r>
      <w:proofErr w:type="spellEnd"/>
      <w:r>
        <w:rPr>
          <w:rFonts w:ascii="宋体" w:hAnsi="宋体"/>
          <w:sz w:val="18"/>
        </w:rPr>
        <w:t>. Characteristics of overburden failure and fracture evolution in shallow buried working face with large mining height[J]. Sustainability, 2021, 13(24): 13775. DOI: 10.3390/su132413775.</w:t>
      </w:r>
    </w:p>
    <w:p w14:paraId="31B31781" w14:textId="77777777" w:rsidR="007E22B6" w:rsidRDefault="00000000">
      <w:pPr>
        <w:spacing w:after="40"/>
        <w:ind w:left="420" w:hanging="420"/>
      </w:pPr>
      <w:bookmarkStart w:id="10" w:name="ref-11"/>
      <w:bookmarkEnd w:id="10"/>
      <w:r>
        <w:rPr>
          <w:rFonts w:ascii="宋体" w:hAnsi="宋体"/>
          <w:sz w:val="18"/>
        </w:rPr>
        <w:t xml:space="preserve">[11] FOROUGHI </w:t>
      </w:r>
      <w:proofErr w:type="spellStart"/>
      <w:r>
        <w:rPr>
          <w:rFonts w:ascii="宋体" w:hAnsi="宋体"/>
          <w:sz w:val="18"/>
        </w:rPr>
        <w:t>Sorayya</w:t>
      </w:r>
      <w:proofErr w:type="spellEnd"/>
      <w:r>
        <w:rPr>
          <w:rFonts w:ascii="宋体" w:hAnsi="宋体"/>
          <w:sz w:val="18"/>
        </w:rPr>
        <w:t>, HAMIDI Jafar Khademi, MONJEZI Masoud, et al. The integrated optimization of underground stope layout designing and production scheduling incorporating a non-dominated sorting genetic algorithm (NSGA-</w:t>
      </w:r>
      <w:proofErr w:type="gramStart"/>
      <w:r>
        <w:rPr>
          <w:rFonts w:ascii="宋体" w:hAnsi="宋体"/>
          <w:sz w:val="18"/>
        </w:rPr>
        <w:t>II)[</w:t>
      </w:r>
      <w:proofErr w:type="gramEnd"/>
      <w:r>
        <w:rPr>
          <w:rFonts w:ascii="宋体" w:hAnsi="宋体"/>
          <w:sz w:val="18"/>
        </w:rPr>
        <w:t>J]. Resources Policy, 2019, 63: 101408. DOI: 10.1016/j.resourpol.2019.101408.</w:t>
      </w:r>
    </w:p>
    <w:p w14:paraId="3E998DC0" w14:textId="77777777" w:rsidR="007E22B6" w:rsidRDefault="00000000">
      <w:pPr>
        <w:spacing w:after="40"/>
        <w:ind w:left="420" w:hanging="420"/>
      </w:pPr>
      <w:bookmarkStart w:id="11" w:name="ref-12"/>
      <w:bookmarkEnd w:id="11"/>
      <w:r>
        <w:rPr>
          <w:rFonts w:ascii="宋体" w:hAnsi="宋体"/>
          <w:sz w:val="18"/>
        </w:rPr>
        <w:t xml:space="preserve">[12] SHAN Yang, KE Li, XIANG Jun, et al. </w:t>
      </w:r>
      <w:proofErr w:type="gramStart"/>
      <w:r>
        <w:rPr>
          <w:rFonts w:ascii="宋体" w:hAnsi="宋体"/>
          <w:sz w:val="18"/>
        </w:rPr>
        <w:t>Multi-objective</w:t>
      </w:r>
      <w:proofErr w:type="gramEnd"/>
      <w:r>
        <w:rPr>
          <w:rFonts w:ascii="宋体" w:hAnsi="宋体"/>
          <w:sz w:val="18"/>
        </w:rPr>
        <w:t xml:space="preserve"> </w:t>
      </w:r>
      <w:proofErr w:type="spellStart"/>
      <w:r>
        <w:rPr>
          <w:rFonts w:ascii="宋体" w:hAnsi="宋体"/>
          <w:sz w:val="18"/>
        </w:rPr>
        <w:t>optimisation</w:t>
      </w:r>
      <w:proofErr w:type="spellEnd"/>
      <w:r>
        <w:rPr>
          <w:rFonts w:ascii="宋体" w:hAnsi="宋体"/>
          <w:sz w:val="18"/>
        </w:rPr>
        <w:t xml:space="preserve"> based on NSGA-II of mine cut-off grade from the perspective of resource security[J]. International Journal of Mining, Reclamation and Environment, 2025: 1-20. DOI: 10.1080/17480930.2025.2532460.</w:t>
      </w:r>
    </w:p>
    <w:p w14:paraId="23DFC915" w14:textId="77777777" w:rsidR="007E22B6" w:rsidRDefault="00000000">
      <w:pPr>
        <w:spacing w:after="40"/>
        <w:ind w:left="420" w:hanging="420"/>
      </w:pPr>
      <w:bookmarkStart w:id="12" w:name="ref-13"/>
      <w:bookmarkEnd w:id="12"/>
      <w:r>
        <w:rPr>
          <w:rFonts w:ascii="宋体" w:hAnsi="宋体"/>
          <w:sz w:val="18"/>
        </w:rPr>
        <w:t xml:space="preserve">[13] GU Xiaowei, WANG </w:t>
      </w:r>
      <w:proofErr w:type="spellStart"/>
      <w:r>
        <w:rPr>
          <w:rFonts w:ascii="宋体" w:hAnsi="宋体"/>
          <w:sz w:val="18"/>
        </w:rPr>
        <w:t>Xunhong</w:t>
      </w:r>
      <w:proofErr w:type="spellEnd"/>
      <w:r>
        <w:rPr>
          <w:rFonts w:ascii="宋体" w:hAnsi="宋体"/>
          <w:sz w:val="18"/>
        </w:rPr>
        <w:t xml:space="preserve">, LIU </w:t>
      </w:r>
      <w:proofErr w:type="spellStart"/>
      <w:r>
        <w:rPr>
          <w:rFonts w:ascii="宋体" w:hAnsi="宋体"/>
          <w:sz w:val="18"/>
        </w:rPr>
        <w:t>Zaobao</w:t>
      </w:r>
      <w:proofErr w:type="spellEnd"/>
      <w:r>
        <w:rPr>
          <w:rFonts w:ascii="宋体" w:hAnsi="宋体"/>
          <w:sz w:val="18"/>
        </w:rPr>
        <w:t>, et al. A multi-objective optimization model using improved NSGA-II for optimizing metal mines production process[J]. IEEE Access, 2020, 8: 28847-28858. DOI: 10.1109/access.2020.2972018.</w:t>
      </w:r>
    </w:p>
    <w:p w14:paraId="5B31E54C"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24367711" w14:textId="77777777" w:rsidR="007E22B6" w:rsidRDefault="00000000">
      <w:pPr>
        <w:spacing w:after="40"/>
        <w:ind w:left="420" w:hanging="420"/>
      </w:pPr>
      <w:bookmarkStart w:id="14" w:name="ref-15"/>
      <w:bookmarkEnd w:id="14"/>
      <w:r>
        <w:rPr>
          <w:rFonts w:ascii="宋体" w:hAnsi="宋体"/>
          <w:sz w:val="18"/>
        </w:rPr>
        <w:lastRenderedPageBreak/>
        <w:t>[15] PATHIRANAGE Ishara Hewa, NEUMANN Aneta. Multi-objective evolutionary optimization for large-scale open pit mine scheduling[C]//2024 IEEE Congress on Evolutionary Computation (CEC). 2024: 1-8. DOI: 10.1109/CEC60901.2024.10612008.</w:t>
      </w:r>
    </w:p>
    <w:p w14:paraId="58829493"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248ABD98" w14:textId="77777777" w:rsidR="007E22B6" w:rsidRDefault="00000000">
      <w:pPr>
        <w:spacing w:after="40"/>
        <w:ind w:left="420" w:hanging="420"/>
      </w:pPr>
      <w:bookmarkStart w:id="16" w:name="ref-17"/>
      <w:bookmarkEnd w:id="16"/>
      <w:r>
        <w:rPr>
          <w:rFonts w:ascii="宋体" w:hAnsi="宋体"/>
          <w:sz w:val="18"/>
        </w:rPr>
        <w:t xml:space="preserve">[17] QU </w:t>
      </w:r>
      <w:proofErr w:type="spellStart"/>
      <w:r>
        <w:rPr>
          <w:rFonts w:ascii="宋体" w:hAnsi="宋体"/>
          <w:sz w:val="18"/>
        </w:rPr>
        <w:t>Juncong</w:t>
      </w:r>
      <w:proofErr w:type="spellEnd"/>
      <w:r>
        <w:rPr>
          <w:rFonts w:ascii="宋体" w:hAnsi="宋体"/>
          <w:sz w:val="18"/>
        </w:rPr>
        <w:t>, KIZIL Mehmet S., YAHYAEI Mohsen, et al. Digital twins in the minerals industry: a comprehensive review[J]. Mining Technology, 2023, 132(4): 267-289. DOI: 10.1080/25726668.2023.2257479.</w:t>
      </w:r>
    </w:p>
    <w:p w14:paraId="79984329" w14:textId="77777777" w:rsidR="007E22B6" w:rsidRDefault="00000000">
      <w:pPr>
        <w:spacing w:after="40"/>
        <w:ind w:left="420" w:hanging="420"/>
      </w:pPr>
      <w:bookmarkStart w:id="17" w:name="ref-18"/>
      <w:bookmarkEnd w:id="17"/>
      <w:r>
        <w:rPr>
          <w:rFonts w:ascii="宋体" w:hAnsi="宋体"/>
          <w:sz w:val="18"/>
        </w:rPr>
        <w:t xml:space="preserve">[18] PAN </w:t>
      </w:r>
      <w:proofErr w:type="spellStart"/>
      <w:r>
        <w:rPr>
          <w:rFonts w:ascii="宋体" w:hAnsi="宋体"/>
          <w:sz w:val="18"/>
        </w:rPr>
        <w:t>Dongdong</w:t>
      </w:r>
      <w:proofErr w:type="spellEnd"/>
      <w:r>
        <w:rPr>
          <w:rFonts w:ascii="宋体" w:hAnsi="宋体"/>
          <w:sz w:val="18"/>
        </w:rPr>
        <w:t xml:space="preserve">, XU </w:t>
      </w:r>
      <w:proofErr w:type="spellStart"/>
      <w:r>
        <w:rPr>
          <w:rFonts w:ascii="宋体" w:hAnsi="宋体"/>
          <w:sz w:val="18"/>
        </w:rPr>
        <w:t>Zhenhao</w:t>
      </w:r>
      <w:proofErr w:type="spellEnd"/>
      <w:r>
        <w:rPr>
          <w:rFonts w:ascii="宋体" w:hAnsi="宋体"/>
          <w:sz w:val="18"/>
        </w:rPr>
        <w:t xml:space="preserve">, LU </w:t>
      </w:r>
      <w:proofErr w:type="spellStart"/>
      <w:r>
        <w:rPr>
          <w:rFonts w:ascii="宋体" w:hAnsi="宋体"/>
          <w:sz w:val="18"/>
        </w:rPr>
        <w:t>Xinming</w:t>
      </w:r>
      <w:proofErr w:type="spellEnd"/>
      <w:r>
        <w:rPr>
          <w:rFonts w:ascii="宋体" w:hAnsi="宋体"/>
          <w:sz w:val="18"/>
        </w:rPr>
        <w:t>, et al. 3D scene and geological modeling using integrated multi-source spatial data: methodology, challenges, and suggestions[J]. Tunnelling and Underground Space Technology, 2020, 100: 103393. DOI: 10.1016/j.tust.2020.103393.</w:t>
      </w:r>
    </w:p>
    <w:p w14:paraId="61557F04" w14:textId="77777777" w:rsidR="007E22B6" w:rsidRDefault="00000000">
      <w:pPr>
        <w:spacing w:after="40"/>
        <w:ind w:left="420" w:hanging="420"/>
      </w:pPr>
      <w:bookmarkStart w:id="18" w:name="ref-19"/>
      <w:bookmarkEnd w:id="18"/>
      <w:r>
        <w:rPr>
          <w:rFonts w:ascii="宋体" w:hAnsi="宋体"/>
          <w:sz w:val="18"/>
        </w:rPr>
        <w:t xml:space="preserve">[19] AHMED Haitham M., ADEWUYI </w:t>
      </w:r>
      <w:proofErr w:type="spellStart"/>
      <w:r>
        <w:rPr>
          <w:rFonts w:ascii="宋体" w:hAnsi="宋体"/>
          <w:sz w:val="18"/>
        </w:rPr>
        <w:t>Sefiu</w:t>
      </w:r>
      <w:proofErr w:type="spellEnd"/>
      <w:r>
        <w:rPr>
          <w:rFonts w:ascii="宋体" w:hAnsi="宋体"/>
          <w:sz w:val="18"/>
        </w:rPr>
        <w:t>, AHMED Hussin M. A. Continuous cash flow modeling for economic evaluation and risk analysis in mine planning using Monte Carlo simulation[J]. Journal of King Abdulaziz University: Engineering Sciences, 2024, 34(2). DOI: 10.4197/eng.34-2.6.</w:t>
      </w:r>
    </w:p>
    <w:p w14:paraId="27F6B7DD" w14:textId="77777777" w:rsidR="007E22B6" w:rsidRDefault="00000000">
      <w:pPr>
        <w:spacing w:after="40"/>
        <w:ind w:left="420" w:hanging="420"/>
      </w:pPr>
      <w:bookmarkStart w:id="19" w:name="ref-20"/>
      <w:bookmarkEnd w:id="19"/>
      <w:r>
        <w:rPr>
          <w:rFonts w:ascii="宋体" w:hAnsi="宋体"/>
          <w:sz w:val="18"/>
        </w:rPr>
        <w:t xml:space="preserve">[20] LI </w:t>
      </w:r>
      <w:proofErr w:type="spellStart"/>
      <w:r>
        <w:rPr>
          <w:rFonts w:ascii="宋体" w:hAnsi="宋体"/>
          <w:sz w:val="18"/>
        </w:rPr>
        <w:t>Jiaoqun</w:t>
      </w:r>
      <w:proofErr w:type="spellEnd"/>
      <w:r>
        <w:rPr>
          <w:rFonts w:ascii="宋体" w:hAnsi="宋体"/>
          <w:sz w:val="18"/>
        </w:rPr>
        <w:t xml:space="preserve">, WU Tong, LU </w:t>
      </w:r>
      <w:proofErr w:type="spellStart"/>
      <w:r>
        <w:rPr>
          <w:rFonts w:ascii="宋体" w:hAnsi="宋体"/>
          <w:sz w:val="18"/>
        </w:rPr>
        <w:t>Zengxiang</w:t>
      </w:r>
      <w:proofErr w:type="spellEnd"/>
      <w:r>
        <w:rPr>
          <w:rFonts w:ascii="宋体" w:hAnsi="宋体"/>
          <w:sz w:val="18"/>
        </w:rPr>
        <w:t xml:space="preserve">, et al. Investigation into mining economic evaluation approaches based on the </w:t>
      </w:r>
      <w:proofErr w:type="spellStart"/>
      <w:r>
        <w:rPr>
          <w:rFonts w:ascii="宋体" w:hAnsi="宋体"/>
          <w:sz w:val="18"/>
        </w:rPr>
        <w:t>Rosenblueth</w:t>
      </w:r>
      <w:proofErr w:type="spellEnd"/>
      <w:r>
        <w:rPr>
          <w:rFonts w:ascii="宋体" w:hAnsi="宋体"/>
          <w:sz w:val="18"/>
        </w:rPr>
        <w:t xml:space="preserve"> point estimate method[J]. Applied Sciences, 2023, 13(15): 9011. DOI: 10.3390/app13159011.</w:t>
      </w:r>
    </w:p>
    <w:p w14:paraId="3EF852FB"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57943BC7"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6CC61DE7" w14:textId="77777777" w:rsidR="007E22B6" w:rsidRDefault="00000000">
      <w:pPr>
        <w:spacing w:after="40"/>
        <w:ind w:left="420" w:hanging="420"/>
      </w:pPr>
      <w:bookmarkStart w:id="22" w:name="ref-23"/>
      <w:bookmarkEnd w:id="22"/>
      <w:r>
        <w:rPr>
          <w:rFonts w:ascii="宋体" w:hAnsi="宋体"/>
          <w:sz w:val="18"/>
        </w:rPr>
        <w:t xml:space="preserve">[23] XUE Sen, WANG </w:t>
      </w:r>
      <w:proofErr w:type="spellStart"/>
      <w:r>
        <w:rPr>
          <w:rFonts w:ascii="宋体" w:hAnsi="宋体"/>
          <w:sz w:val="18"/>
        </w:rPr>
        <w:t>Qiqing</w:t>
      </w:r>
      <w:proofErr w:type="spellEnd"/>
      <w:r>
        <w:rPr>
          <w:rFonts w:ascii="宋体" w:hAnsi="宋体"/>
          <w:sz w:val="18"/>
        </w:rPr>
        <w:t>, SONG Zhen. Analysis of water-permeable fractured zone in weakly cemented overburden considering rock strain-softening[J]. Scientific Reports, 2026, 16(1). DOI: 10.1038/s41598-026-45413-4.</w:t>
      </w:r>
    </w:p>
    <w:p w14:paraId="0776143E"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46A4803D"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[25] KRATZSCH Helmut. Strata movement at the mining horizon[</w:t>
      </w:r>
      <w:proofErr w:type="gramStart"/>
      <w:r>
        <w:rPr>
          <w:rFonts w:ascii="宋体" w:hAnsi="宋体"/>
          <w:sz w:val="18"/>
        </w:rPr>
        <w:t>M]/</w:t>
      </w:r>
      <w:proofErr w:type="gramEnd"/>
      <w:r>
        <w:rPr>
          <w:rFonts w:ascii="宋体" w:hAnsi="宋体"/>
          <w:sz w:val="18"/>
        </w:rPr>
        <w:t xml:space="preserve">/Mining Subsidence Engineering. Berlin, </w:t>
      </w:r>
    </w:p>
    <w:p w14:paraId="57F34299"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9494" w14:textId="77777777" w:rsidR="00AE7336" w:rsidRDefault="00AE7336" w:rsidP="00A31ACE">
      <w:pPr>
        <w:spacing w:after="0" w:line="240" w:lineRule="auto"/>
      </w:pPr>
      <w:r>
        <w:separator/>
      </w:r>
    </w:p>
  </w:endnote>
  <w:endnote w:type="continuationSeparator" w:id="0">
    <w:p w14:paraId="69012A2D" w14:textId="77777777" w:rsidR="00AE7336" w:rsidRDefault="00AE7336"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515D" w14:textId="77777777" w:rsidR="00AE7336" w:rsidRDefault="00AE7336" w:rsidP="00A31ACE">
      <w:pPr>
        <w:spacing w:after="0" w:line="240" w:lineRule="auto"/>
      </w:pPr>
      <w:r>
        <w:separator/>
      </w:r>
    </w:p>
  </w:footnote>
  <w:footnote w:type="continuationSeparator" w:id="0">
    <w:p w14:paraId="5211649F" w14:textId="77777777" w:rsidR="00AE7336" w:rsidRDefault="00AE7336"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C5C40"/>
    <w:rsid w:val="00283D3A"/>
    <w:rsid w:val="0029639D"/>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F7CF11"/>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14</Pages>
  <Words>10216</Words>
  <Characters>14611</Characters>
  <Application>Microsoft Office Word</Application>
  <DocSecurity>0</DocSecurity>
  <Lines>310</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8</cp:revision>
  <dcterms:created xsi:type="dcterms:W3CDTF">2013-12-23T23:15:00Z</dcterms:created>
  <dcterms:modified xsi:type="dcterms:W3CDTF">2026-04-16T11:26:00Z</dcterms:modified>
  <cp:category/>
</cp:coreProperties>
</file>