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A6EB1" w14:textId="77FF2A9C" w:rsidR="00351EC4" w:rsidRPr="009C06F7" w:rsidRDefault="009C06F7" w:rsidP="009C06F7">
      <w:pPr>
        <w:pStyle w:val="02"/>
        <w:spacing w:before="240" w:after="240"/>
      </w:pPr>
      <w:r w:rsidRPr="009C06F7">
        <w:rPr>
          <w:rFonts w:hint="eastAsia"/>
        </w:rPr>
        <w:t>多</w:t>
      </w:r>
      <w:proofErr w:type="gramStart"/>
      <w:r w:rsidRPr="009C06F7">
        <w:rPr>
          <w:rFonts w:hint="eastAsia"/>
        </w:rPr>
        <w:t>场景覆岩扰动</w:t>
      </w:r>
      <w:proofErr w:type="gramEnd"/>
      <w:r w:rsidRPr="009C06F7">
        <w:rPr>
          <w:rFonts w:hint="eastAsia"/>
        </w:rPr>
        <w:t>约束下采区协同规划方法及工程应用</w:t>
      </w:r>
    </w:p>
    <w:p w14:paraId="71255FA8" w14:textId="4F80E0AA" w:rsidR="00351EC4" w:rsidRPr="00351EC4" w:rsidRDefault="00351EC4" w:rsidP="00351EC4">
      <w:pPr>
        <w:pStyle w:val="03"/>
        <w:spacing w:after="120"/>
      </w:pPr>
      <w:r w:rsidRPr="00351EC4">
        <w:t>李杨</w:t>
      </w:r>
      <w:r w:rsidRPr="00351EC4">
        <w:rPr>
          <w:vertAlign w:val="superscript"/>
        </w:rPr>
        <w:t>1</w:t>
      </w:r>
      <w:r w:rsidRPr="00351EC4">
        <w:t>，</w:t>
      </w:r>
      <w:r w:rsidR="009C06F7">
        <w:rPr>
          <w:rFonts w:hint="eastAsia"/>
        </w:rPr>
        <w:t>刘</w:t>
      </w:r>
      <w:proofErr w:type="gramStart"/>
      <w:r w:rsidR="009C06F7">
        <w:rPr>
          <w:rFonts w:hint="eastAsia"/>
        </w:rPr>
        <w:t>浩</w:t>
      </w:r>
      <w:proofErr w:type="gramEnd"/>
      <w:r w:rsidR="009C06F7">
        <w:rPr>
          <w:rFonts w:hint="eastAsia"/>
        </w:rPr>
        <w:t>天</w:t>
      </w:r>
      <w:r w:rsidRPr="00351EC4">
        <w:rPr>
          <w:vertAlign w:val="superscript"/>
        </w:rPr>
        <w:t>1</w:t>
      </w:r>
      <w:r w:rsidRPr="00351EC4">
        <w:t>，</w:t>
      </w:r>
      <w:r w:rsidR="009C06F7">
        <w:rPr>
          <w:rFonts w:hint="eastAsia"/>
        </w:rPr>
        <w:t>王楠</w:t>
      </w:r>
      <w:r w:rsidRPr="00351EC4">
        <w:rPr>
          <w:vertAlign w:val="superscript"/>
        </w:rPr>
        <w:t>1</w:t>
      </w:r>
    </w:p>
    <w:p w14:paraId="41D39B54" w14:textId="77777777" w:rsidR="00351EC4" w:rsidRPr="00351EC4" w:rsidRDefault="00351EC4" w:rsidP="00351EC4">
      <w:pPr>
        <w:pStyle w:val="04"/>
        <w:ind w:firstLine="300"/>
      </w:pPr>
      <w:r w:rsidRPr="00351EC4">
        <w:t>（</w:t>
      </w:r>
      <w:r w:rsidRPr="00351EC4">
        <w:t xml:space="preserve">1. </w:t>
      </w:r>
      <w:r w:rsidRPr="00351EC4">
        <w:t>中国矿业大学（北京）</w:t>
      </w:r>
      <w:r w:rsidRPr="00351EC4">
        <w:t xml:space="preserve"> </w:t>
      </w:r>
      <w:r w:rsidRPr="00351EC4">
        <w:t>能源与矿业学院，北京</w:t>
      </w:r>
      <w:r w:rsidRPr="00351EC4">
        <w:t xml:space="preserve"> 100083</w:t>
      </w:r>
      <w:r w:rsidRPr="00351EC4">
        <w:t>）</w:t>
      </w:r>
    </w:p>
    <w:p w14:paraId="6DFAC38C" w14:textId="28E11674" w:rsidR="00351EC4" w:rsidRPr="00351EC4" w:rsidRDefault="00351EC4" w:rsidP="00351EC4">
      <w:pPr>
        <w:pStyle w:val="05"/>
      </w:pPr>
      <w:r w:rsidRPr="00351EC4">
        <w:t>摘要：</w:t>
      </w:r>
      <w:r w:rsidR="009C06F7" w:rsidRPr="009C06F7">
        <w:rPr>
          <w:rFonts w:hint="eastAsia"/>
        </w:rPr>
        <w:t>针对采区规划中离散地质信息难以直接参与空间布置、多</w:t>
      </w:r>
      <w:proofErr w:type="gramStart"/>
      <w:r w:rsidR="009C06F7" w:rsidRPr="009C06F7">
        <w:rPr>
          <w:rFonts w:hint="eastAsia"/>
        </w:rPr>
        <w:t>场景覆岩扰动</w:t>
      </w:r>
      <w:proofErr w:type="gramEnd"/>
      <w:r w:rsidR="009C06F7" w:rsidRPr="009C06F7">
        <w:rPr>
          <w:rFonts w:hint="eastAsia"/>
        </w:rPr>
        <w:t>风险约束口径不统一以及规划结果难以形成可复核</w:t>
      </w:r>
      <w:proofErr w:type="gramStart"/>
      <w:r w:rsidR="009C06F7" w:rsidRPr="009C06F7">
        <w:rPr>
          <w:rFonts w:hint="eastAsia"/>
        </w:rPr>
        <w:t>方案级比较</w:t>
      </w:r>
      <w:proofErr w:type="gramEnd"/>
      <w:r w:rsidR="009C06F7" w:rsidRPr="009C06F7">
        <w:rPr>
          <w:rFonts w:hint="eastAsia"/>
        </w:rPr>
        <w:t>等问题，提出一种多</w:t>
      </w:r>
      <w:proofErr w:type="gramStart"/>
      <w:r w:rsidR="009C06F7" w:rsidRPr="009C06F7">
        <w:rPr>
          <w:rFonts w:hint="eastAsia"/>
        </w:rPr>
        <w:t>场景覆岩扰动</w:t>
      </w:r>
      <w:proofErr w:type="gramEnd"/>
      <w:r w:rsidR="009C06F7" w:rsidRPr="009C06F7">
        <w:rPr>
          <w:rFonts w:hint="eastAsia"/>
        </w:rPr>
        <w:t>约束下采区协同规划方法。该方法以采区边界、钻孔样点及设计参数为基础，构建有效</w:t>
      </w:r>
      <w:proofErr w:type="gramStart"/>
      <w:r w:rsidR="009C06F7" w:rsidRPr="009C06F7">
        <w:rPr>
          <w:rFonts w:hint="eastAsia"/>
        </w:rPr>
        <w:t>布置域与连续</w:t>
      </w:r>
      <w:proofErr w:type="gramEnd"/>
      <w:r w:rsidR="009C06F7" w:rsidRPr="009C06F7">
        <w:rPr>
          <w:rFonts w:hint="eastAsia"/>
        </w:rPr>
        <w:t>参数场；在此基础上，结合地表沉陷、含水层扰动和上行开采等不同工程情境，</w:t>
      </w:r>
      <w:r w:rsidR="00FB3E3F" w:rsidRPr="00FB3E3F">
        <w:t>建立统一</w:t>
      </w:r>
      <w:proofErr w:type="gramStart"/>
      <w:r w:rsidR="00FB3E3F" w:rsidRPr="00FB3E3F">
        <w:t>的覆岩扰动</w:t>
      </w:r>
      <w:proofErr w:type="gramEnd"/>
      <w:r w:rsidR="00FB3E3F" w:rsidRPr="00FB3E3F">
        <w:t>指数（</w:t>
      </w:r>
      <w:r w:rsidR="00FB3E3F" w:rsidRPr="00FB3E3F">
        <w:t>ODI</w:t>
      </w:r>
      <w:r w:rsidR="00FB3E3F" w:rsidRPr="00FB3E3F">
        <w:t>）</w:t>
      </w:r>
      <w:r w:rsidR="009C06F7" w:rsidRPr="009C06F7">
        <w:rPr>
          <w:rFonts w:hint="eastAsia"/>
        </w:rPr>
        <w:t>，并将其转化为可参与候选方案生成、筛选和排序的前置约束。进一步构建包含工作面数量、推进方向、煤柱宽度及工作面宽度等变量的候选方案集合，以工程效率、资源回收和扰动控制为目标开展多目标比选，并</w:t>
      </w:r>
      <w:proofErr w:type="gramStart"/>
      <w:r w:rsidR="009C06F7" w:rsidRPr="009C06F7">
        <w:rPr>
          <w:rFonts w:hint="eastAsia"/>
        </w:rPr>
        <w:t>采用覆岩扰动</w:t>
      </w:r>
      <w:proofErr w:type="gramEnd"/>
      <w:r w:rsidR="009C06F7" w:rsidRPr="009C06F7">
        <w:rPr>
          <w:rFonts w:hint="eastAsia"/>
        </w:rPr>
        <w:t>均值、</w:t>
      </w:r>
      <w:r w:rsidR="009C06F7" w:rsidRPr="009C06F7">
        <w:rPr>
          <w:rFonts w:hint="eastAsia"/>
        </w:rPr>
        <w:t>90%</w:t>
      </w:r>
      <w:r w:rsidR="009C06F7" w:rsidRPr="009C06F7">
        <w:rPr>
          <w:rFonts w:hint="eastAsia"/>
        </w:rPr>
        <w:t>分位数和超阈值暴露比例表征</w:t>
      </w:r>
      <w:proofErr w:type="gramStart"/>
      <w:r w:rsidR="009C06F7" w:rsidRPr="009C06F7">
        <w:rPr>
          <w:rFonts w:hint="eastAsia"/>
        </w:rPr>
        <w:t>方案级</w:t>
      </w:r>
      <w:proofErr w:type="gramEnd"/>
      <w:r w:rsidR="009C06F7" w:rsidRPr="009C06F7">
        <w:rPr>
          <w:rFonts w:hint="eastAsia"/>
        </w:rPr>
        <w:t>风险。以敏东研究区样例为例，构建了</w:t>
      </w:r>
      <w:r w:rsidR="009C06F7" w:rsidRPr="009C06F7">
        <w:rPr>
          <w:rFonts w:hint="eastAsia"/>
        </w:rPr>
        <w:t>80</w:t>
      </w:r>
      <w:r w:rsidR="009C06F7" w:rsidRPr="009C06F7">
        <w:rPr>
          <w:rFonts w:hint="eastAsia"/>
        </w:rPr>
        <w:t>×</w:t>
      </w:r>
      <w:r w:rsidR="009C06F7" w:rsidRPr="009C06F7">
        <w:rPr>
          <w:rFonts w:hint="eastAsia"/>
        </w:rPr>
        <w:t>56</w:t>
      </w:r>
      <w:r w:rsidR="009C06F7" w:rsidRPr="009C06F7">
        <w:rPr>
          <w:rFonts w:hint="eastAsia"/>
        </w:rPr>
        <w:t>栅格的综合扰动场，均值为</w:t>
      </w:r>
      <w:r w:rsidR="009C06F7" w:rsidRPr="009C06F7">
        <w:rPr>
          <w:rFonts w:hint="eastAsia"/>
        </w:rPr>
        <w:t>0.4669</w:t>
      </w:r>
      <w:r w:rsidR="009C06F7" w:rsidRPr="009C06F7">
        <w:rPr>
          <w:rFonts w:hint="eastAsia"/>
        </w:rPr>
        <w:t>，</w:t>
      </w:r>
      <w:r w:rsidR="009C06F7" w:rsidRPr="009C06F7">
        <w:rPr>
          <w:rFonts w:hint="eastAsia"/>
        </w:rPr>
        <w:t>90%</w:t>
      </w:r>
      <w:r w:rsidR="009C06F7" w:rsidRPr="009C06F7">
        <w:rPr>
          <w:rFonts w:hint="eastAsia"/>
        </w:rPr>
        <w:t>分位数为</w:t>
      </w:r>
      <w:r w:rsidR="009C06F7" w:rsidRPr="009C06F7">
        <w:rPr>
          <w:rFonts w:hint="eastAsia"/>
        </w:rPr>
        <w:t>0.7474</w:t>
      </w:r>
      <w:r w:rsidR="009C06F7" w:rsidRPr="009C06F7">
        <w:rPr>
          <w:rFonts w:hint="eastAsia"/>
        </w:rPr>
        <w:t>，</w:t>
      </w:r>
      <w:proofErr w:type="gramStart"/>
      <w:r w:rsidR="009C06F7" w:rsidRPr="009C06F7">
        <w:rPr>
          <w:rFonts w:hint="eastAsia"/>
        </w:rPr>
        <w:t>扰动值</w:t>
      </w:r>
      <w:proofErr w:type="gramEnd"/>
      <w:r w:rsidR="009C06F7" w:rsidRPr="009C06F7">
        <w:rPr>
          <w:rFonts w:hint="eastAsia"/>
        </w:rPr>
        <w:t>大于</w:t>
      </w:r>
      <w:r w:rsidR="009C06F7" w:rsidRPr="009C06F7">
        <w:rPr>
          <w:rFonts w:hint="eastAsia"/>
        </w:rPr>
        <w:t>0.70</w:t>
      </w:r>
      <w:r w:rsidR="009C06F7" w:rsidRPr="009C06F7">
        <w:rPr>
          <w:rFonts w:hint="eastAsia"/>
        </w:rPr>
        <w:t>的栅格占比为</w:t>
      </w:r>
      <w:r w:rsidR="009C06F7" w:rsidRPr="009C06F7">
        <w:rPr>
          <w:rFonts w:hint="eastAsia"/>
        </w:rPr>
        <w:t>15.89%</w:t>
      </w:r>
      <w:r w:rsidR="009C06F7" w:rsidRPr="009C06F7">
        <w:rPr>
          <w:rFonts w:hint="eastAsia"/>
        </w:rPr>
        <w:t>。在统一</w:t>
      </w:r>
      <w:proofErr w:type="gramStart"/>
      <w:r w:rsidR="009C06F7" w:rsidRPr="009C06F7">
        <w:rPr>
          <w:rFonts w:hint="eastAsia"/>
        </w:rPr>
        <w:t>扰动场</w:t>
      </w:r>
      <w:proofErr w:type="gramEnd"/>
      <w:r w:rsidR="009C06F7" w:rsidRPr="009C06F7">
        <w:rPr>
          <w:rFonts w:hint="eastAsia"/>
        </w:rPr>
        <w:t>和统一约束条件下，工程效率优先方案</w:t>
      </w:r>
      <w:r w:rsidR="009C06F7" w:rsidRPr="009C06F7">
        <w:rPr>
          <w:rFonts w:hint="eastAsia"/>
        </w:rPr>
        <w:t>A</w:t>
      </w:r>
      <w:r w:rsidR="009C06F7" w:rsidRPr="009C06F7">
        <w:rPr>
          <w:rFonts w:hint="eastAsia"/>
        </w:rPr>
        <w:t>、资源回收优先方案</w:t>
      </w:r>
      <w:r w:rsidR="009C06F7" w:rsidRPr="009C06F7">
        <w:rPr>
          <w:rFonts w:hint="eastAsia"/>
        </w:rPr>
        <w:t>B</w:t>
      </w:r>
      <w:r w:rsidR="009C06F7" w:rsidRPr="009C06F7">
        <w:rPr>
          <w:rFonts w:hint="eastAsia"/>
        </w:rPr>
        <w:t>和联合判据下低扰动候选方案</w:t>
      </w:r>
      <w:r w:rsidR="009C06F7" w:rsidRPr="009C06F7">
        <w:rPr>
          <w:rFonts w:hint="eastAsia"/>
        </w:rPr>
        <w:t>C</w:t>
      </w:r>
      <w:r w:rsidR="009C06F7" w:rsidRPr="009C06F7">
        <w:rPr>
          <w:rFonts w:hint="eastAsia"/>
        </w:rPr>
        <w:t>的扰动均值分别为</w:t>
      </w:r>
      <w:r w:rsidR="009C06F7" w:rsidRPr="009C06F7">
        <w:rPr>
          <w:rFonts w:hint="eastAsia"/>
        </w:rPr>
        <w:t>0.4463</w:t>
      </w:r>
      <w:r w:rsidR="009C06F7" w:rsidRPr="009C06F7">
        <w:rPr>
          <w:rFonts w:hint="eastAsia"/>
        </w:rPr>
        <w:t>、</w:t>
      </w:r>
      <w:r w:rsidR="009C06F7" w:rsidRPr="009C06F7">
        <w:rPr>
          <w:rFonts w:hint="eastAsia"/>
        </w:rPr>
        <w:t>0.4552</w:t>
      </w:r>
      <w:r w:rsidR="009C06F7" w:rsidRPr="009C06F7">
        <w:rPr>
          <w:rFonts w:hint="eastAsia"/>
        </w:rPr>
        <w:t>和</w:t>
      </w:r>
      <w:r w:rsidR="009C06F7" w:rsidRPr="009C06F7">
        <w:rPr>
          <w:rFonts w:hint="eastAsia"/>
        </w:rPr>
        <w:t>0.4416</w:t>
      </w:r>
      <w:r w:rsidR="009C06F7" w:rsidRPr="009C06F7">
        <w:rPr>
          <w:rFonts w:hint="eastAsia"/>
        </w:rPr>
        <w:t>，</w:t>
      </w:r>
      <w:r w:rsidR="009C06F7" w:rsidRPr="009C06F7">
        <w:rPr>
          <w:rFonts w:hint="eastAsia"/>
        </w:rPr>
        <w:t>90%</w:t>
      </w:r>
      <w:r w:rsidR="009C06F7" w:rsidRPr="009C06F7">
        <w:rPr>
          <w:rFonts w:hint="eastAsia"/>
        </w:rPr>
        <w:t>分位数分别为</w:t>
      </w:r>
      <w:r w:rsidR="009C06F7" w:rsidRPr="009C06F7">
        <w:rPr>
          <w:rFonts w:hint="eastAsia"/>
        </w:rPr>
        <w:t>0.6407</w:t>
      </w:r>
      <w:r w:rsidR="009C06F7" w:rsidRPr="009C06F7">
        <w:rPr>
          <w:rFonts w:hint="eastAsia"/>
        </w:rPr>
        <w:t>、</w:t>
      </w:r>
      <w:r w:rsidR="009C06F7" w:rsidRPr="009C06F7">
        <w:rPr>
          <w:rFonts w:hint="eastAsia"/>
        </w:rPr>
        <w:t>0.6462</w:t>
      </w:r>
      <w:r w:rsidR="009C06F7" w:rsidRPr="009C06F7">
        <w:rPr>
          <w:rFonts w:hint="eastAsia"/>
        </w:rPr>
        <w:t>和</w:t>
      </w:r>
      <w:r w:rsidR="009C06F7" w:rsidRPr="009C06F7">
        <w:rPr>
          <w:rFonts w:hint="eastAsia"/>
        </w:rPr>
        <w:t>0.6353</w:t>
      </w:r>
      <w:r w:rsidR="009C06F7" w:rsidRPr="009C06F7">
        <w:rPr>
          <w:rFonts w:hint="eastAsia"/>
        </w:rPr>
        <w:t>，</w:t>
      </w:r>
      <w:proofErr w:type="gramStart"/>
      <w:r w:rsidR="009C06F7" w:rsidRPr="009C06F7">
        <w:rPr>
          <w:rFonts w:hint="eastAsia"/>
        </w:rPr>
        <w:t>扰动值</w:t>
      </w:r>
      <w:proofErr w:type="gramEnd"/>
      <w:r w:rsidR="009C06F7" w:rsidRPr="009C06F7">
        <w:rPr>
          <w:rFonts w:hint="eastAsia"/>
        </w:rPr>
        <w:t>大于</w:t>
      </w:r>
      <w:r w:rsidR="009C06F7" w:rsidRPr="009C06F7">
        <w:rPr>
          <w:rFonts w:hint="eastAsia"/>
        </w:rPr>
        <w:t>0.70</w:t>
      </w:r>
      <w:r w:rsidR="009C06F7" w:rsidRPr="009C06F7">
        <w:rPr>
          <w:rFonts w:hint="eastAsia"/>
        </w:rPr>
        <w:t>的比例分别为</w:t>
      </w:r>
      <w:r w:rsidR="009C06F7" w:rsidRPr="009C06F7">
        <w:rPr>
          <w:rFonts w:hint="eastAsia"/>
        </w:rPr>
        <w:t>0.44%</w:t>
      </w:r>
      <w:r w:rsidR="009C06F7" w:rsidRPr="009C06F7">
        <w:rPr>
          <w:rFonts w:hint="eastAsia"/>
        </w:rPr>
        <w:t>、</w:t>
      </w:r>
      <w:r w:rsidR="009C06F7" w:rsidRPr="009C06F7">
        <w:rPr>
          <w:rFonts w:hint="eastAsia"/>
        </w:rPr>
        <w:t>0.56%</w:t>
      </w:r>
      <w:r w:rsidR="009C06F7" w:rsidRPr="009C06F7">
        <w:rPr>
          <w:rFonts w:hint="eastAsia"/>
        </w:rPr>
        <w:t>和</w:t>
      </w:r>
      <w:r w:rsidR="009C06F7" w:rsidRPr="009C06F7">
        <w:rPr>
          <w:rFonts w:hint="eastAsia"/>
        </w:rPr>
        <w:t>1.22%</w:t>
      </w:r>
      <w:r w:rsidR="009C06F7" w:rsidRPr="009C06F7">
        <w:rPr>
          <w:rFonts w:hint="eastAsia"/>
        </w:rPr>
        <w:t>。结果表明：该方法能够将多</w:t>
      </w:r>
      <w:proofErr w:type="gramStart"/>
      <w:r w:rsidR="009C06F7" w:rsidRPr="009C06F7">
        <w:rPr>
          <w:rFonts w:hint="eastAsia"/>
        </w:rPr>
        <w:t>场景覆岩扰动</w:t>
      </w:r>
      <w:proofErr w:type="gramEnd"/>
      <w:r w:rsidR="009C06F7" w:rsidRPr="009C06F7">
        <w:rPr>
          <w:rFonts w:hint="eastAsia"/>
        </w:rPr>
        <w:t>评价结果转化为采区规划可直接调用的统一约束，实现候选方案的生成、比较与优选；联合判据下的低扰动方案并不一定对应单一阈值下超</w:t>
      </w:r>
      <w:proofErr w:type="gramStart"/>
      <w:r w:rsidR="009C06F7" w:rsidRPr="009C06F7">
        <w:rPr>
          <w:rFonts w:hint="eastAsia"/>
        </w:rPr>
        <w:t>限比例</w:t>
      </w:r>
      <w:proofErr w:type="gramEnd"/>
      <w:r w:rsidR="009C06F7" w:rsidRPr="009C06F7">
        <w:rPr>
          <w:rFonts w:hint="eastAsia"/>
        </w:rPr>
        <w:t>最小，但在总体扰动水平和高值尾部风险控制方面更具优势。研究结果可为采区规划中风险前置约束、</w:t>
      </w:r>
      <w:proofErr w:type="gramStart"/>
      <w:r w:rsidR="009C06F7" w:rsidRPr="009C06F7">
        <w:rPr>
          <w:rFonts w:hint="eastAsia"/>
        </w:rPr>
        <w:t>方案级统计</w:t>
      </w:r>
      <w:proofErr w:type="gramEnd"/>
      <w:r w:rsidR="009C06F7" w:rsidRPr="009C06F7">
        <w:rPr>
          <w:rFonts w:hint="eastAsia"/>
        </w:rPr>
        <w:t>比较及后续工程优化提供方法支撑</w:t>
      </w:r>
      <w:r w:rsidRPr="00351EC4">
        <w:t>。</w:t>
      </w:r>
    </w:p>
    <w:p w14:paraId="482CD07D" w14:textId="1D0DCD49" w:rsidR="00351EC4" w:rsidRPr="00351EC4" w:rsidRDefault="00351EC4" w:rsidP="00351EC4">
      <w:pPr>
        <w:pStyle w:val="05"/>
      </w:pPr>
      <w:r w:rsidRPr="00351EC4">
        <w:t>关键词：</w:t>
      </w:r>
      <w:proofErr w:type="gramStart"/>
      <w:r w:rsidR="009C06F7" w:rsidRPr="009C06F7">
        <w:rPr>
          <w:rFonts w:hint="eastAsia"/>
        </w:rPr>
        <w:t>覆岩扰动</w:t>
      </w:r>
      <w:proofErr w:type="gramEnd"/>
      <w:r w:rsidR="009C06F7" w:rsidRPr="009C06F7">
        <w:rPr>
          <w:rFonts w:hint="eastAsia"/>
        </w:rPr>
        <w:t>；采区规划；多目标比选；连续参数场；风险前置约束</w:t>
      </w:r>
    </w:p>
    <w:p w14:paraId="7A472459" w14:textId="77777777" w:rsidR="00351EC4" w:rsidRPr="00351EC4" w:rsidRDefault="00351EC4" w:rsidP="00351EC4">
      <w:pPr>
        <w:pStyle w:val="05"/>
      </w:pPr>
      <w:r w:rsidRPr="00351EC4">
        <w:t>中图分类号：</w:t>
      </w:r>
      <w:r w:rsidRPr="00351EC4">
        <w:t xml:space="preserve">TD822    </w:t>
      </w:r>
      <w:r w:rsidRPr="00351EC4">
        <w:t>文献标志码：</w:t>
      </w:r>
      <w:r w:rsidRPr="00351EC4">
        <w:t>A</w:t>
      </w:r>
    </w:p>
    <w:p w14:paraId="164A5B7A" w14:textId="75FD4C41" w:rsidR="00351EC4" w:rsidRPr="009C06F7" w:rsidRDefault="009C06F7" w:rsidP="009C06F7">
      <w:pPr>
        <w:pStyle w:val="06"/>
      </w:pPr>
      <w:r w:rsidRPr="009C06F7">
        <w:t>Collaborative Planning Method for Mining Districts under Multi-Scenario Overburden Disturbance Constraints</w:t>
      </w:r>
    </w:p>
    <w:p w14:paraId="3DA41596" w14:textId="0A3B27ED" w:rsidR="00351EC4" w:rsidRPr="00351EC4" w:rsidRDefault="00351EC4" w:rsidP="00351EC4">
      <w:pPr>
        <w:pStyle w:val="07"/>
        <w:spacing w:after="120"/>
      </w:pPr>
      <w:r w:rsidRPr="00351EC4">
        <w:rPr>
          <w:rFonts w:eastAsia="宋体"/>
        </w:rPr>
        <w:t>L</w:t>
      </w:r>
      <w:r w:rsidR="008D0623">
        <w:rPr>
          <w:rFonts w:eastAsia="宋体" w:hint="eastAsia"/>
        </w:rPr>
        <w:t>i</w:t>
      </w:r>
      <w:r w:rsidRPr="00351EC4">
        <w:rPr>
          <w:rFonts w:eastAsia="宋体"/>
        </w:rPr>
        <w:t xml:space="preserve"> Yang</w:t>
      </w:r>
      <w:r w:rsidRPr="00351EC4">
        <w:rPr>
          <w:rFonts w:eastAsia="宋体"/>
          <w:vertAlign w:val="superscript"/>
        </w:rPr>
        <w:t>1</w:t>
      </w:r>
      <w:r w:rsidRPr="00351EC4">
        <w:rPr>
          <w:rFonts w:eastAsia="宋体"/>
        </w:rPr>
        <w:t>，</w:t>
      </w:r>
      <w:r w:rsidR="009C06F7" w:rsidRPr="009C06F7">
        <w:rPr>
          <w:rFonts w:eastAsia="宋体"/>
        </w:rPr>
        <w:t>L</w:t>
      </w:r>
      <w:r w:rsidR="009C06F7">
        <w:rPr>
          <w:rFonts w:eastAsia="宋体" w:hint="eastAsia"/>
        </w:rPr>
        <w:t>iu</w:t>
      </w:r>
      <w:r w:rsidR="009C06F7" w:rsidRPr="009C06F7">
        <w:rPr>
          <w:rFonts w:eastAsia="宋体"/>
        </w:rPr>
        <w:t xml:space="preserve"> Haotian </w:t>
      </w:r>
      <w:r w:rsidRPr="00351EC4">
        <w:rPr>
          <w:rFonts w:eastAsia="宋体"/>
          <w:vertAlign w:val="superscript"/>
        </w:rPr>
        <w:t>1</w:t>
      </w:r>
      <w:r w:rsidRPr="00351EC4">
        <w:rPr>
          <w:rFonts w:eastAsia="宋体"/>
        </w:rPr>
        <w:t>，</w:t>
      </w:r>
      <w:r w:rsidR="009C06F7">
        <w:rPr>
          <w:rFonts w:eastAsia="宋体" w:hint="eastAsia"/>
        </w:rPr>
        <w:t>Wang Nan</w:t>
      </w:r>
      <w:r w:rsidR="009C06F7" w:rsidRPr="00351EC4">
        <w:rPr>
          <w:rFonts w:eastAsia="宋体"/>
          <w:vertAlign w:val="superscript"/>
        </w:rPr>
        <w:t xml:space="preserve"> </w:t>
      </w:r>
      <w:r w:rsidRPr="00351EC4">
        <w:rPr>
          <w:rFonts w:eastAsia="宋体"/>
          <w:vertAlign w:val="superscript"/>
        </w:rPr>
        <w:t>1</w:t>
      </w:r>
    </w:p>
    <w:p w14:paraId="5ADCF328" w14:textId="77777777" w:rsidR="00351EC4" w:rsidRPr="00351EC4" w:rsidRDefault="00351EC4" w:rsidP="00351EC4">
      <w:pPr>
        <w:pStyle w:val="08"/>
        <w:ind w:firstLine="300"/>
      </w:pPr>
      <w:r w:rsidRPr="00351EC4">
        <w:t>(1. School of Energy and Mining Engineering, China University of Mining and Technology-Beijing, Beijing 100083, China)</w:t>
      </w:r>
    </w:p>
    <w:p w14:paraId="6969334D" w14:textId="0F06B698" w:rsidR="00351EC4" w:rsidRPr="009C06F7" w:rsidRDefault="00351EC4" w:rsidP="009C06F7">
      <w:pPr>
        <w:pStyle w:val="09"/>
      </w:pPr>
      <w:r w:rsidRPr="009C06F7">
        <w:t xml:space="preserve">Abstract: </w:t>
      </w:r>
      <w:r w:rsidR="009C06F7" w:rsidRPr="009C06F7">
        <w:t xml:space="preserve">To address the difficulty of directly incorporating discrete geological information into spatial layout, the inconsistency of constraint criteria for multi-scenario overburden disturbance risks, and the lack of verifiable scheme-level comparison in mining-district planning, a collaborative planning method for mining districts under multi-scenario overburden disturbance constraints is proposed. Based on boundary data, borehole samples, and design parameters, the method first constructs an effective layout domain and continuous parameter fields. Then, considering different engineering scenarios including surface subsidence, aquifer disturbance, and upward mining, a unified overburden disturbance index is established and transformed into a pre-constraint that can directly participate in candidate-scheme generation, screening, and ranking. A candidate scheme set is further constructed with variables such as panel number, advancing direction, pillar width, and panel width, and multi-objective comparison is performed from the perspectives of engineering efficiency, resource recovery, and disturbance control. Scheme-level risk is characterized by the mean disturbance index, the 90th percentile, and the exceedance ratio above a specified threshold. Using the </w:t>
      </w:r>
      <w:proofErr w:type="spellStart"/>
      <w:r w:rsidR="009C06F7" w:rsidRPr="009C06F7">
        <w:t>Mindong</w:t>
      </w:r>
      <w:proofErr w:type="spellEnd"/>
      <w:r w:rsidR="009C06F7" w:rsidRPr="009C06F7">
        <w:t xml:space="preserve"> study area as an example, an integrated disturbance field with 80×56 grids is obtained, with a mean value of 0.4669, a 90th percentile of 0.7474, and a proportion of 15.89% for grids with disturbance values greater than 0.70. Under the same disturbance field and unified constraints, Scheme A oriented to engineering efficiency, Scheme B oriented to resource recovery, and Scheme C identified as the low-disturbance candidate under a joint criterion show mean disturbance values of 0.4463, 0.4552, and 0.4416, 90th percentile values of 0.6407, 0.6462, and 0.6353, and exceedance ratios above 0.70 of 0.44%, 0.56%, and 1.22%, respectively. The results indicate that the proposed method can transform multi-scenario overburden disturbance </w:t>
      </w:r>
      <w:r w:rsidR="009C06F7" w:rsidRPr="009C06F7">
        <w:lastRenderedPageBreak/>
        <w:t>evaluation results into unified constraints directly usable in mining-district planning, thereby supporting candidate-scheme generation, comparison, and optimization. The low-disturbance candidate identified by the joint criterion does not necessarily correspond to the minimum exceedance ratio under a single threshold, but it performs better in controlling the overall disturbance level and upper-tail risk. The proposed method provides methodological support for risk pre-constraints, scheme-level statistical comparison, and subsequent engineering optimization in mining-district planning</w:t>
      </w:r>
      <w:r w:rsidRPr="009C06F7">
        <w:t>.</w:t>
      </w:r>
    </w:p>
    <w:p w14:paraId="03E1EEC9" w14:textId="5E4BBE09" w:rsidR="00351EC4" w:rsidRPr="009C06F7" w:rsidRDefault="00351EC4" w:rsidP="009C06F7">
      <w:pPr>
        <w:pStyle w:val="09"/>
      </w:pPr>
      <w:r w:rsidRPr="009C06F7">
        <w:t xml:space="preserve">Keywords: </w:t>
      </w:r>
      <w:r w:rsidR="009C06F7" w:rsidRPr="009C06F7">
        <w:t>overburden disturbance; mining district planning; multi-objective comparison; continuous parameter field; risk pre-constraint</w:t>
      </w:r>
    </w:p>
    <w:p w14:paraId="6145EC68" w14:textId="44D8E3CB" w:rsidR="00351EC4" w:rsidRPr="00351EC4" w:rsidRDefault="00351EC4" w:rsidP="00D027BE">
      <w:pPr>
        <w:pStyle w:val="18"/>
        <w:ind w:left="0" w:firstLineChars="0" w:firstLine="0"/>
        <w:sectPr w:rsidR="00351EC4" w:rsidRPr="00351EC4" w:rsidSect="004B50B8">
          <w:headerReference w:type="default" r:id="rId8"/>
          <w:type w:val="continuous"/>
          <w:pgSz w:w="11906" w:h="16838"/>
          <w:pgMar w:top="1417" w:right="1134" w:bottom="1417" w:left="1134" w:header="720" w:footer="720" w:gutter="0"/>
          <w:cols w:space="425"/>
          <w:docGrid w:linePitch="360"/>
        </w:sectPr>
      </w:pPr>
      <w:r w:rsidRPr="00351EC4">
        <w:t>作者简介：李杨（</w:t>
      </w:r>
      <w:r w:rsidRPr="00351EC4">
        <w:t>1982—</w:t>
      </w:r>
      <w:r w:rsidRPr="00351EC4">
        <w:t>），男，河北唐山人，教授，博士，研究方向为矿业工程。</w:t>
      </w:r>
      <w:r w:rsidRPr="00351EC4">
        <w:br/>
      </w:r>
      <w:r w:rsidRPr="00351EC4">
        <w:t>通信作者：刘</w:t>
      </w:r>
      <w:proofErr w:type="gramStart"/>
      <w:r w:rsidRPr="00351EC4">
        <w:t>浩</w:t>
      </w:r>
      <w:proofErr w:type="gramEnd"/>
      <w:r w:rsidRPr="00351EC4">
        <w:t>天（</w:t>
      </w:r>
      <w:r w:rsidRPr="00351EC4">
        <w:t>2001—</w:t>
      </w:r>
      <w:r w:rsidRPr="00351EC4">
        <w:t>），男，河北唐山人，博士研究生，研究方向为矿业工程。</w:t>
      </w:r>
      <w:r w:rsidRPr="00351EC4">
        <w:t>Tel</w:t>
      </w:r>
      <w:r w:rsidRPr="00351EC4">
        <w:t>：</w:t>
      </w:r>
      <w:r w:rsidRPr="00351EC4">
        <w:t>17692508100</w:t>
      </w:r>
      <w:r w:rsidRPr="00351EC4">
        <w:t>，</w:t>
      </w:r>
      <w:r w:rsidRPr="00351EC4">
        <w:t>E-mail</w:t>
      </w:r>
      <w:r w:rsidRPr="00351EC4">
        <w:t>：</w:t>
      </w:r>
      <w:r w:rsidRPr="00351EC4">
        <w:t>gqt2500103011@student.cumtb.edu.cn</w:t>
      </w:r>
    </w:p>
    <w:p w14:paraId="528B4911" w14:textId="77777777" w:rsidR="00351EC4" w:rsidRPr="00351EC4" w:rsidRDefault="00351EC4" w:rsidP="00351EC4">
      <w:pPr>
        <w:pStyle w:val="11"/>
      </w:pPr>
      <w:r w:rsidRPr="00351EC4">
        <w:t xml:space="preserve">0 </w:t>
      </w:r>
      <w:r w:rsidRPr="00351EC4">
        <w:t>引言</w:t>
      </w:r>
    </w:p>
    <w:p w14:paraId="48FED364" w14:textId="0B522F50" w:rsidR="008F39E6" w:rsidRPr="00351EC4" w:rsidRDefault="008F39E6" w:rsidP="00351EC4">
      <w:pPr>
        <w:pStyle w:val="100"/>
        <w:ind w:firstLine="420"/>
      </w:pPr>
      <w:r w:rsidRPr="008F39E6">
        <w:rPr>
          <w:rFonts w:hint="eastAsia"/>
        </w:rPr>
        <w:t>采区规划位于煤矿生产决策链前端，直接影响工作面布置、巷道工程量、资源回收、采掘接续及生产组织效率。随着煤矿智能化建设由单机装备升级逐步转向多</w:t>
      </w:r>
      <w:proofErr w:type="gramStart"/>
      <w:r w:rsidRPr="008F39E6">
        <w:rPr>
          <w:rFonts w:hint="eastAsia"/>
        </w:rPr>
        <w:t>源数据</w:t>
      </w:r>
      <w:proofErr w:type="gramEnd"/>
      <w:r w:rsidRPr="008F39E6">
        <w:rPr>
          <w:rFonts w:hint="eastAsia"/>
        </w:rPr>
        <w:t>协同、透明地质表达和平台化决策，采区规划也由传统的平面布置问题演化为涉及地质建模、风险约束、方案生成与多目标比选的复合决策问题</w:t>
      </w:r>
      <w:hyperlink w:anchor="REF_001" w:history="1">
        <w:r w:rsidRPr="00351EC4">
          <w:rPr>
            <w:color w:val="000000"/>
            <w:sz w:val="18"/>
            <w:vertAlign w:val="superscript"/>
          </w:rPr>
          <w:t>[1-10]</w:t>
        </w:r>
      </w:hyperlink>
      <w:r w:rsidRPr="008F39E6">
        <w:rPr>
          <w:rFonts w:hint="eastAsia"/>
        </w:rPr>
        <w:t>。在这一过程中，如何把地质信息、扰动风险和工程参数统一组织到同一规划框架中，已成为采区规划由经验决策走向定量决策的重要前提。</w:t>
      </w:r>
    </w:p>
    <w:p w14:paraId="70C073BC" w14:textId="3AA57FEA" w:rsidR="008F39E6" w:rsidRPr="00351EC4" w:rsidRDefault="008F39E6" w:rsidP="00351EC4">
      <w:pPr>
        <w:pStyle w:val="100"/>
        <w:ind w:firstLine="420"/>
      </w:pPr>
      <w:r w:rsidRPr="008F39E6">
        <w:t>已有研究围绕</w:t>
      </w:r>
      <w:proofErr w:type="gramStart"/>
      <w:r w:rsidRPr="008F39E6">
        <w:t>采动覆岩</w:t>
      </w:r>
      <w:proofErr w:type="gramEnd"/>
      <w:r w:rsidRPr="008F39E6">
        <w:t>响应、地表沉陷、导水裂隙带发育、含水层受扰及上行开采可行性等方面开展了大量探索，为采区规划中的风险识别与边界控制提供了理论基础</w:t>
      </w:r>
      <w:hyperlink w:anchor="REF_011" w:history="1">
        <w:r w:rsidRPr="00351EC4">
          <w:rPr>
            <w:color w:val="000000"/>
            <w:sz w:val="18"/>
            <w:vertAlign w:val="superscript"/>
          </w:rPr>
          <w:t>[11-33]</w:t>
        </w:r>
      </w:hyperlink>
      <w:r w:rsidRPr="008F39E6">
        <w:t>；与此同时，地下开采布局优化、多目标决策及方案排序研究也不断发展，为采区规划从单方案设计转向候选方案比较提供了方法支撑</w:t>
      </w:r>
      <w:r>
        <w:fldChar w:fldCharType="begin"/>
      </w:r>
      <w:r>
        <w:instrText>HYPERLINK \l "REF_034"</w:instrText>
      </w:r>
      <w:r>
        <w:fldChar w:fldCharType="separate"/>
      </w:r>
      <w:r w:rsidRPr="00351EC4">
        <w:rPr>
          <w:color w:val="000000"/>
          <w:sz w:val="18"/>
          <w:vertAlign w:val="superscript"/>
        </w:rPr>
        <w:t>[34-39]</w:t>
      </w:r>
      <w:r>
        <w:fldChar w:fldCharType="end"/>
      </w:r>
      <w:r w:rsidRPr="008F39E6">
        <w:t>。另一方面，</w:t>
      </w:r>
      <w:proofErr w:type="gramStart"/>
      <w:r w:rsidRPr="008F39E6">
        <w:t>围绕覆岩扰动</w:t>
      </w:r>
      <w:proofErr w:type="gramEnd"/>
      <w:r w:rsidRPr="008F39E6">
        <w:t>强度量化的研究已逐步形成以地质因素和开采因素为输入、以位移、应力和裂隙响应为表征、以综合扰动指数为统一量化结果的评价思路</w:t>
      </w:r>
      <w:r>
        <w:fldChar w:fldCharType="begin"/>
      </w:r>
      <w:r>
        <w:instrText>HYPERLINK \l "REF_005"</w:instrText>
      </w:r>
      <w:r>
        <w:fldChar w:fldCharType="separate"/>
      </w:r>
      <w:r w:rsidRPr="00351EC4">
        <w:rPr>
          <w:color w:val="000000"/>
          <w:sz w:val="18"/>
          <w:vertAlign w:val="superscript"/>
        </w:rPr>
        <w:t>[5-10,40-42]</w:t>
      </w:r>
      <w:r>
        <w:fldChar w:fldCharType="end"/>
      </w:r>
      <w:r w:rsidRPr="008F39E6">
        <w:t>，并进一步发展出面向不同工程目标的多场景扰动评价框架，为扰动结果进入规划阶段创造了条件</w:t>
      </w:r>
      <w:r>
        <w:fldChar w:fldCharType="begin"/>
      </w:r>
      <w:r>
        <w:instrText>HYPERLINK \l "REF_043"</w:instrText>
      </w:r>
      <w:r>
        <w:fldChar w:fldCharType="separate"/>
      </w:r>
      <w:r w:rsidRPr="00351EC4">
        <w:rPr>
          <w:color w:val="000000"/>
          <w:sz w:val="18"/>
          <w:vertAlign w:val="superscript"/>
        </w:rPr>
        <w:t>[43-45]</w:t>
      </w:r>
      <w:r>
        <w:fldChar w:fldCharType="end"/>
      </w:r>
      <w:r w:rsidRPr="008F39E6">
        <w:t>。</w:t>
      </w:r>
    </w:p>
    <w:p w14:paraId="65D2BE61" w14:textId="69E94F21" w:rsidR="008F39E6" w:rsidRDefault="008F39E6" w:rsidP="00351EC4">
      <w:pPr>
        <w:pStyle w:val="100"/>
        <w:ind w:firstLine="420"/>
      </w:pPr>
      <w:r w:rsidRPr="008F39E6">
        <w:t>尽管如此，现有研究在采区规划应用层面仍存在</w:t>
      </w:r>
      <w:r w:rsidRPr="008F39E6">
        <w:t>3</w:t>
      </w:r>
      <w:r w:rsidRPr="008F39E6">
        <w:t>方面不足</w:t>
      </w:r>
      <w:r>
        <w:fldChar w:fldCharType="begin"/>
      </w:r>
      <w:r>
        <w:instrText>HYPERLINK \l "REF_009"</w:instrText>
      </w:r>
      <w:r>
        <w:fldChar w:fldCharType="separate"/>
      </w:r>
      <w:r w:rsidRPr="00351EC4">
        <w:rPr>
          <w:color w:val="000000"/>
          <w:sz w:val="18"/>
          <w:vertAlign w:val="superscript"/>
        </w:rPr>
        <w:t>[9-10]</w:t>
      </w:r>
      <w:r>
        <w:fldChar w:fldCharType="end"/>
      </w:r>
      <w:r w:rsidRPr="008F39E6">
        <w:t>。其一，钻孔、分层及相关地质资料多以离散样本形式存在，如何将其转换为可直接参与空间布置与方案筛选的连续参数场，仍缺乏与规划对象紧密衔接的实现路径。其二，地表沉陷、含水层扰动和上行开采等风险场景在量纲、控制层位和判据口径上存在明显差异，若分别作为独立约束进入规划过程，容易造成评价尺度不统一、结果</w:t>
      </w:r>
      <w:proofErr w:type="gramStart"/>
      <w:r w:rsidRPr="008F39E6">
        <w:t>难比较</w:t>
      </w:r>
      <w:proofErr w:type="gramEnd"/>
      <w:r w:rsidRPr="008F39E6">
        <w:t>的问题。其三，已有采区布置优化研究多侧重几何求解或单目标排序，对</w:t>
      </w:r>
      <w:proofErr w:type="gramStart"/>
      <w:r w:rsidRPr="008F39E6">
        <w:t>风险图层如何</w:t>
      </w:r>
      <w:proofErr w:type="gramEnd"/>
      <w:r w:rsidRPr="008F39E6">
        <w:t>转化为</w:t>
      </w:r>
      <w:proofErr w:type="gramStart"/>
      <w:r w:rsidRPr="008F39E6">
        <w:t>方案级统计</w:t>
      </w:r>
      <w:proofErr w:type="gramEnd"/>
      <w:r w:rsidRPr="008F39E6">
        <w:t>指标、并在同一候选集合内完成风险</w:t>
      </w:r>
      <w:r w:rsidRPr="008F39E6">
        <w:t>—</w:t>
      </w:r>
      <w:r w:rsidRPr="008F39E6">
        <w:t>收益权衡的讨论仍不充分</w:t>
      </w:r>
      <w:r>
        <w:fldChar w:fldCharType="begin"/>
      </w:r>
      <w:r>
        <w:instrText>HYPERLINK \l "REF_006"</w:instrText>
      </w:r>
      <w:r>
        <w:fldChar w:fldCharType="separate"/>
      </w:r>
      <w:r w:rsidRPr="00351EC4">
        <w:rPr>
          <w:color w:val="000000"/>
          <w:sz w:val="18"/>
          <w:vertAlign w:val="superscript"/>
        </w:rPr>
        <w:t>[6,46-47]</w:t>
      </w:r>
      <w:r>
        <w:fldChar w:fldCharType="end"/>
      </w:r>
      <w:r w:rsidRPr="008F39E6">
        <w:t>。上述问题共同限制</w:t>
      </w:r>
      <w:proofErr w:type="gramStart"/>
      <w:r w:rsidRPr="008F39E6">
        <w:t>了覆岩扰动</w:t>
      </w:r>
      <w:proofErr w:type="gramEnd"/>
      <w:r w:rsidRPr="008F39E6">
        <w:t>评价结果在采区规划中的直接应用。</w:t>
      </w:r>
    </w:p>
    <w:p w14:paraId="5DA3A0A4" w14:textId="068D0A2A" w:rsidR="008F39E6" w:rsidRPr="00351EC4" w:rsidRDefault="008F39E6" w:rsidP="00351EC4">
      <w:pPr>
        <w:pStyle w:val="100"/>
        <w:ind w:firstLine="420"/>
      </w:pPr>
      <w:r w:rsidRPr="008F39E6">
        <w:t>从工程决策角度看，采区规划对象并非孤立的几何图形，而是受地质条件、资源赋存、保护约束和</w:t>
      </w:r>
      <w:proofErr w:type="gramStart"/>
      <w:r w:rsidRPr="008F39E6">
        <w:t>覆岩</w:t>
      </w:r>
      <w:proofErr w:type="gramEnd"/>
      <w:r w:rsidRPr="008F39E6">
        <w:t>扰动共同制约的空间决策对象。若仅依据几何可布置性或局部经验生成方案，可能忽略高扰动敏感区与资源分布差异；若布局完成后再开展扰动校核，则会增加重复迭代成本，并削弱不同方案之间的可比性。因此，有必要在规划阶段前置引入统一的扰动约束，将多</w:t>
      </w:r>
      <w:proofErr w:type="gramStart"/>
      <w:r w:rsidRPr="008F39E6">
        <w:t>场景覆岩扰动</w:t>
      </w:r>
      <w:proofErr w:type="gramEnd"/>
      <w:r w:rsidRPr="008F39E6">
        <w:t>评价结果组织为可参与候选方案生成、筛选和排序的统一指标，并在有效布置域、连续</w:t>
      </w:r>
      <w:proofErr w:type="gramStart"/>
      <w:r w:rsidRPr="008F39E6">
        <w:t>参数场</w:t>
      </w:r>
      <w:proofErr w:type="gramEnd"/>
      <w:r w:rsidRPr="008F39E6">
        <w:t>和工作面布局对象之间建立可计算映射关系，从而实现风险约束与采区规划的一体化表达。</w:t>
      </w:r>
    </w:p>
    <w:p w14:paraId="616F3763" w14:textId="77777777" w:rsidR="008F39E6" w:rsidRDefault="008F39E6" w:rsidP="00351EC4">
      <w:pPr>
        <w:pStyle w:val="100"/>
        <w:ind w:firstLine="420"/>
      </w:pPr>
      <w:r w:rsidRPr="008F39E6">
        <w:t>基于此，本文提出一种多</w:t>
      </w:r>
      <w:proofErr w:type="gramStart"/>
      <w:r w:rsidRPr="008F39E6">
        <w:t>场景覆岩扰动</w:t>
      </w:r>
      <w:proofErr w:type="gramEnd"/>
      <w:r w:rsidRPr="008F39E6">
        <w:t>约束下采区协同规划方法。该方法以采区边界、钻孔样点和设计参数为输入，首先构建有效</w:t>
      </w:r>
      <w:proofErr w:type="gramStart"/>
      <w:r w:rsidRPr="008F39E6">
        <w:t>布置域与连续</w:t>
      </w:r>
      <w:proofErr w:type="gramEnd"/>
      <w:r w:rsidRPr="008F39E6">
        <w:t>参数场；然后针对地表沉陷、含水层扰动和上行开采等不同工程情境，建立统一</w:t>
      </w:r>
      <w:proofErr w:type="gramStart"/>
      <w:r w:rsidRPr="008F39E6">
        <w:t>的覆岩扰动</w:t>
      </w:r>
      <w:proofErr w:type="gramEnd"/>
      <w:r w:rsidRPr="008F39E6">
        <w:t>指数（</w:t>
      </w:r>
      <w:r w:rsidRPr="008F39E6">
        <w:t>Overburden Disturbance Index</w:t>
      </w:r>
      <w:r w:rsidRPr="008F39E6">
        <w:t>，</w:t>
      </w:r>
      <w:r w:rsidRPr="008F39E6">
        <w:t>ODI</w:t>
      </w:r>
      <w:r w:rsidRPr="008F39E6">
        <w:t>）表征方法，并将其转化为规划阶段可直接调用的前置约束；进一步构建包含工作面数量、推进方向、煤柱宽度及工作面宽度等变量的候选方案集合，以工程效率、资源回收和扰动控制为目标开展多目标比选，并通过</w:t>
      </w:r>
      <w:proofErr w:type="gramStart"/>
      <w:r w:rsidRPr="008F39E6">
        <w:t>方案级</w:t>
      </w:r>
      <w:proofErr w:type="gramEnd"/>
      <w:r w:rsidRPr="008F39E6">
        <w:t>扰动均值、</w:t>
      </w:r>
      <w:r w:rsidRPr="008F39E6">
        <w:t>90%</w:t>
      </w:r>
      <w:r w:rsidRPr="008F39E6">
        <w:t>分位数及超阈值暴露比例实现不同方案的统一比较。本文以敏东研究区样</w:t>
      </w:r>
      <w:proofErr w:type="gramStart"/>
      <w:r w:rsidRPr="008F39E6">
        <w:t>例开展</w:t>
      </w:r>
      <w:proofErr w:type="gramEnd"/>
      <w:r w:rsidRPr="008F39E6">
        <w:t>验证，重点说明该方法在样</w:t>
      </w:r>
      <w:proofErr w:type="gramStart"/>
      <w:r w:rsidRPr="008F39E6">
        <w:t>例条件</w:t>
      </w:r>
      <w:proofErr w:type="gramEnd"/>
      <w:r w:rsidRPr="008F39E6">
        <w:t>下的可计算性、可比较性与可复核性。</w:t>
      </w:r>
    </w:p>
    <w:p w14:paraId="1F51777A" w14:textId="7EEC981F" w:rsidR="00351EC4" w:rsidRPr="00351EC4" w:rsidRDefault="008F39E6" w:rsidP="00351EC4">
      <w:pPr>
        <w:pStyle w:val="100"/>
        <w:ind w:firstLine="420"/>
      </w:pPr>
      <w:r w:rsidRPr="008F39E6">
        <w:t>本文的主要工作包括：</w:t>
      </w:r>
      <w:r w:rsidRPr="008F39E6">
        <w:t>1</w:t>
      </w:r>
      <w:r w:rsidRPr="008F39E6">
        <w:t>）构建面向采区规划的多</w:t>
      </w:r>
      <w:proofErr w:type="gramStart"/>
      <w:r w:rsidRPr="008F39E6">
        <w:t>场景覆岩扰动</w:t>
      </w:r>
      <w:proofErr w:type="gramEnd"/>
      <w:r w:rsidRPr="008F39E6">
        <w:t>统一表征方法，明确扰动分量归一化、权重聚合与</w:t>
      </w:r>
      <w:proofErr w:type="gramStart"/>
      <w:r w:rsidRPr="008F39E6">
        <w:t>方案级统计</w:t>
      </w:r>
      <w:proofErr w:type="gramEnd"/>
      <w:r w:rsidRPr="008F39E6">
        <w:t>指标口径；</w:t>
      </w:r>
      <w:r w:rsidRPr="008F39E6">
        <w:t>2</w:t>
      </w:r>
      <w:r w:rsidRPr="008F39E6">
        <w:t>）建立离散钻孔信息、连续</w:t>
      </w:r>
      <w:proofErr w:type="gramStart"/>
      <w:r w:rsidRPr="008F39E6">
        <w:t>参数场</w:t>
      </w:r>
      <w:proofErr w:type="gramEnd"/>
      <w:r w:rsidRPr="008F39E6">
        <w:t>与工作面布局对象之间的映射机制，使地质信息能够直接参与采区</w:t>
      </w:r>
      <w:r w:rsidRPr="008F39E6">
        <w:lastRenderedPageBreak/>
        <w:t>规划；</w:t>
      </w:r>
      <w:r w:rsidRPr="008F39E6">
        <w:t>3</w:t>
      </w:r>
      <w:r w:rsidRPr="008F39E6">
        <w:t>）形成包含工程效率、资源回收与扰动控制目标的候选方案生成与优选流程，并通过不同偏好方案的对比揭示风险约束前置对采区规划结果的影响</w:t>
      </w:r>
      <w:r w:rsidR="00351EC4" w:rsidRPr="00351EC4">
        <w:t>。</w:t>
      </w:r>
    </w:p>
    <w:p w14:paraId="164321F8" w14:textId="30703BC1" w:rsidR="00351EC4" w:rsidRPr="00351EC4" w:rsidRDefault="00351EC4" w:rsidP="00351EC4">
      <w:pPr>
        <w:pStyle w:val="11"/>
      </w:pPr>
      <w:r w:rsidRPr="00351EC4">
        <w:t xml:space="preserve">1 </w:t>
      </w:r>
      <w:r w:rsidR="00644E0C" w:rsidRPr="00644E0C">
        <w:rPr>
          <w:rFonts w:hint="eastAsia"/>
        </w:rPr>
        <w:t>多</w:t>
      </w:r>
      <w:proofErr w:type="gramStart"/>
      <w:r w:rsidR="00644E0C" w:rsidRPr="00644E0C">
        <w:rPr>
          <w:rFonts w:hint="eastAsia"/>
        </w:rPr>
        <w:t>场景覆岩扰动</w:t>
      </w:r>
      <w:proofErr w:type="gramEnd"/>
      <w:r w:rsidR="00644E0C" w:rsidRPr="00644E0C">
        <w:rPr>
          <w:rFonts w:hint="eastAsia"/>
        </w:rPr>
        <w:t>约束下采区协同规划方法</w:t>
      </w:r>
    </w:p>
    <w:p w14:paraId="287AF027" w14:textId="4B3DB557" w:rsidR="00351EC4" w:rsidRPr="00351EC4" w:rsidRDefault="00351EC4" w:rsidP="00351EC4">
      <w:pPr>
        <w:pStyle w:val="12"/>
      </w:pPr>
      <w:r w:rsidRPr="00351EC4">
        <w:t xml:space="preserve">1.1 </w:t>
      </w:r>
      <w:proofErr w:type="gramStart"/>
      <w:r w:rsidR="00644E0C" w:rsidRPr="00644E0C">
        <w:rPr>
          <w:rFonts w:hint="eastAsia"/>
        </w:rPr>
        <w:t>覆岩扰动</w:t>
      </w:r>
      <w:proofErr w:type="gramEnd"/>
      <w:r w:rsidR="00644E0C" w:rsidRPr="00644E0C">
        <w:rPr>
          <w:rFonts w:hint="eastAsia"/>
        </w:rPr>
        <w:t>统一评价与规划约束表达</w:t>
      </w:r>
    </w:p>
    <w:p w14:paraId="64B8BBA7" w14:textId="76356049" w:rsidR="00D027BE" w:rsidRPr="009F1274" w:rsidRDefault="00644E0C" w:rsidP="009F1274">
      <w:pPr>
        <w:pStyle w:val="100"/>
        <w:ind w:firstLine="420"/>
      </w:pPr>
      <w:r w:rsidRPr="00644E0C">
        <w:rPr>
          <w:rFonts w:hint="eastAsia"/>
        </w:rPr>
        <w:t>采区规划的本质是在几何可实施性、资源回收与扰动控制之间寻求可接受的工程折中。</w:t>
      </w:r>
      <w:proofErr w:type="gramStart"/>
      <w:r w:rsidRPr="00644E0C">
        <w:rPr>
          <w:rFonts w:hint="eastAsia"/>
        </w:rPr>
        <w:t>当采动引起的覆岩变形</w:t>
      </w:r>
      <w:proofErr w:type="gramEnd"/>
      <w:r w:rsidRPr="00644E0C">
        <w:rPr>
          <w:rFonts w:hint="eastAsia"/>
        </w:rPr>
        <w:t>、裂隙发育和应力重分布超过安全或控制阈值时，工作面布置范围、推进方式及相关设计参数将受到显著约束；反之，若过度采用保守布局，虽然有利于扰动控制，却可能压缩可采空间、降低资源回收水平并削弱生产组织效率。因此，采区规划并不是单纯的几何布置问题，而是一个</w:t>
      </w:r>
      <w:proofErr w:type="gramStart"/>
      <w:r w:rsidRPr="00644E0C">
        <w:rPr>
          <w:rFonts w:hint="eastAsia"/>
        </w:rPr>
        <w:t>受覆岩</w:t>
      </w:r>
      <w:proofErr w:type="gramEnd"/>
      <w:r w:rsidRPr="00644E0C">
        <w:rPr>
          <w:rFonts w:hint="eastAsia"/>
        </w:rPr>
        <w:t>扰动约束驱动的多目标协同决策问题</w:t>
      </w:r>
      <w:r w:rsidR="005F4D5C" w:rsidRPr="005F4D5C">
        <w:t>。</w:t>
      </w:r>
      <w:proofErr w:type="gramStart"/>
      <w:r w:rsidRPr="009F1274">
        <w:rPr>
          <w:rFonts w:hint="eastAsia"/>
        </w:rPr>
        <w:t>覆岩扰动</w:t>
      </w:r>
      <w:proofErr w:type="gramEnd"/>
      <w:r w:rsidRPr="009F1274">
        <w:rPr>
          <w:rFonts w:hint="eastAsia"/>
        </w:rPr>
        <w:t>在不同工程情境下具有差异</w:t>
      </w:r>
      <w:r w:rsidRPr="009F1274">
        <w:rPr>
          <w:rFonts w:hint="eastAsia"/>
        </w:rPr>
        <w:t>化的控制机理。地表沉陷主要反映</w:t>
      </w:r>
      <w:proofErr w:type="gramStart"/>
      <w:r w:rsidRPr="009F1274">
        <w:rPr>
          <w:rFonts w:hint="eastAsia"/>
        </w:rPr>
        <w:t>覆岩整体</w:t>
      </w:r>
      <w:proofErr w:type="gramEnd"/>
      <w:r w:rsidRPr="009F1274">
        <w:rPr>
          <w:rFonts w:hint="eastAsia"/>
        </w:rPr>
        <w:t>挠曲与地表移动响应，含水层扰动主要受裂隙发育、导通能力及隔水层条件控制，上行开采则更关注上覆岩层承载状态与再扰动安全边界。由于不同场景的评价对象、控制层位、指标量纲和判据口径存在差异，若分别以独立风险</w:t>
      </w:r>
      <w:proofErr w:type="gramStart"/>
      <w:r w:rsidRPr="009F1274">
        <w:rPr>
          <w:rFonts w:hint="eastAsia"/>
        </w:rPr>
        <w:t>图层进入</w:t>
      </w:r>
      <w:proofErr w:type="gramEnd"/>
      <w:r w:rsidRPr="009F1274">
        <w:rPr>
          <w:rFonts w:hint="eastAsia"/>
        </w:rPr>
        <w:t>规划过程，容易造成约束表达不一致、方案比较缺乏统一尺度的问题。为解决这一问题，需要将多</w:t>
      </w:r>
      <w:proofErr w:type="gramStart"/>
      <w:r w:rsidRPr="009F1274">
        <w:rPr>
          <w:rFonts w:hint="eastAsia"/>
        </w:rPr>
        <w:t>场景覆岩扰动</w:t>
      </w:r>
      <w:proofErr w:type="gramEnd"/>
      <w:r w:rsidRPr="009F1274">
        <w:rPr>
          <w:rFonts w:hint="eastAsia"/>
        </w:rPr>
        <w:t>结果组织为面向规划决策的统一约束指标。</w:t>
      </w:r>
      <w:r w:rsidR="009F1274" w:rsidRPr="009F1274">
        <w:t>为说明多</w:t>
      </w:r>
      <w:proofErr w:type="gramStart"/>
      <w:r w:rsidR="009F1274" w:rsidRPr="009F1274">
        <w:t>场景覆岩扰动</w:t>
      </w:r>
      <w:proofErr w:type="gramEnd"/>
      <w:r w:rsidR="009F1274" w:rsidRPr="009F1274">
        <w:t>结果进入采区规划决策过程的约束逻辑，</w:t>
      </w:r>
      <w:proofErr w:type="gramStart"/>
      <w:r w:rsidR="009F1274" w:rsidRPr="009F1274">
        <w:t>构建覆岩扰动</w:t>
      </w:r>
      <w:proofErr w:type="gramEnd"/>
      <w:r w:rsidR="009F1274" w:rsidRPr="009F1274">
        <w:t>约束下采区协同规划决策机理图。</w:t>
      </w:r>
    </w:p>
    <w:p w14:paraId="03758BB6" w14:textId="5045A7CA" w:rsidR="009F1274" w:rsidRPr="009F1274" w:rsidRDefault="009F1274" w:rsidP="009F1274">
      <w:pPr>
        <w:pStyle w:val="100"/>
        <w:ind w:firstLine="420"/>
        <w:sectPr w:rsidR="009F1274" w:rsidRPr="009F1274" w:rsidSect="002711E2">
          <w:footerReference w:type="even" r:id="rId9"/>
          <w:footerReference w:type="default" r:id="rId10"/>
          <w:type w:val="continuous"/>
          <w:pgSz w:w="11906" w:h="16838"/>
          <w:pgMar w:top="1418" w:right="1134" w:bottom="1134" w:left="1134" w:header="720" w:footer="720" w:gutter="0"/>
          <w:cols w:num="2" w:space="720"/>
          <w:docGrid w:linePitch="598"/>
        </w:sectPr>
      </w:pPr>
      <w:r w:rsidRPr="009F1274">
        <w:t>如</w:t>
      </w:r>
      <w:r w:rsidR="006B4B0A">
        <w:fldChar w:fldCharType="begin"/>
      </w:r>
      <w:r w:rsidR="006B4B0A">
        <w:instrText xml:space="preserve"> REF _Ref227760894 \h </w:instrText>
      </w:r>
      <w:r w:rsidR="006B4B0A">
        <w:fldChar w:fldCharType="separate"/>
      </w:r>
      <w:r w:rsidR="006B4B0A">
        <w:rPr>
          <w:rFonts w:hint="eastAsia"/>
        </w:rPr>
        <w:t>图</w:t>
      </w:r>
      <w:r w:rsidR="006B4B0A">
        <w:rPr>
          <w:noProof/>
        </w:rPr>
        <w:t>1</w:t>
      </w:r>
      <w:r w:rsidR="006B4B0A">
        <w:fldChar w:fldCharType="end"/>
      </w:r>
      <w:r w:rsidRPr="009F1274">
        <w:t>所示，采区规划并非仅由工作面数量、宽度、推进方向和煤柱参数等几何决策变量决定，还同时</w:t>
      </w:r>
      <w:proofErr w:type="gramStart"/>
      <w:r w:rsidRPr="009F1274">
        <w:t>受覆岩</w:t>
      </w:r>
      <w:proofErr w:type="gramEnd"/>
      <w:r w:rsidRPr="009F1274">
        <w:t>扰动响应结果约束；不同扰动特征通过统一评价与约束映射进入方案筛选过程，并最终作用于安全控制、资源回收和工程实施等规划目标。</w:t>
      </w:r>
    </w:p>
    <w:p w14:paraId="16A6890F" w14:textId="77777777" w:rsidR="009F1274" w:rsidRDefault="009F1274" w:rsidP="00BD3A38">
      <w:pPr>
        <w:pStyle w:val="aff"/>
      </w:pPr>
      <w:r w:rsidRPr="00E6558E">
        <w:rPr>
          <w:noProof/>
        </w:rPr>
        <w:drawing>
          <wp:inline distT="0" distB="0" distL="0" distR="0" wp14:anchorId="3082F06D" wp14:editId="3D525582">
            <wp:extent cx="5778000" cy="2958271"/>
            <wp:effectExtent l="0" t="0" r="0" b="0"/>
            <wp:docPr id="2" name="图片 1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2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78000" cy="2958271"/>
                    </a:xfrm>
                    <a:prstGeom prst="rect">
                      <a:avLst/>
                    </a:prstGeom>
                    <a:noFill/>
                    <a:ln>
                      <a:noFill/>
                    </a:ln>
                  </pic:spPr>
                </pic:pic>
              </a:graphicData>
            </a:graphic>
          </wp:inline>
        </w:drawing>
      </w:r>
    </w:p>
    <w:p w14:paraId="6CBDA3BE" w14:textId="074BB297" w:rsidR="009F1274" w:rsidRDefault="009F1274" w:rsidP="009F1274">
      <w:pPr>
        <w:pStyle w:val="14"/>
      </w:pPr>
      <w:bookmarkStart w:id="0" w:name="_Ref227760894"/>
      <w:bookmarkStart w:id="1" w:name="_Ref227760885"/>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717C8">
        <w:rPr>
          <w:noProof/>
        </w:rPr>
        <w:t>1</w:t>
      </w:r>
      <w:r>
        <w:fldChar w:fldCharType="end"/>
      </w:r>
      <w:bookmarkEnd w:id="0"/>
      <w:r>
        <w:rPr>
          <w:rFonts w:hint="eastAsia"/>
        </w:rPr>
        <w:t xml:space="preserve"> </w:t>
      </w:r>
      <w:r w:rsidRPr="009F1274">
        <w:t>多</w:t>
      </w:r>
      <w:proofErr w:type="gramStart"/>
      <w:r w:rsidRPr="009F1274">
        <w:t>场景覆岩扰动</w:t>
      </w:r>
      <w:proofErr w:type="gramEnd"/>
      <w:r w:rsidRPr="009F1274">
        <w:t>约束下采区协同规划决策机理图</w:t>
      </w:r>
      <w:bookmarkEnd w:id="1"/>
    </w:p>
    <w:p w14:paraId="1AC489D2" w14:textId="3E0F9D1B" w:rsidR="009F1274" w:rsidRPr="009F1274" w:rsidRDefault="009F1274" w:rsidP="009F1274">
      <w:pPr>
        <w:pStyle w:val="14"/>
      </w:pPr>
      <w:r w:rsidRPr="009F1274">
        <w:t>Fig.</w:t>
      </w:r>
      <w:r w:rsidR="00ED29A2">
        <w:fldChar w:fldCharType="begin"/>
      </w:r>
      <w:r w:rsidR="00ED29A2">
        <w:instrText xml:space="preserve"> REF _Ref227760894 \h </w:instrText>
      </w:r>
      <w:r w:rsidR="00ED29A2">
        <w:fldChar w:fldCharType="separate"/>
      </w:r>
      <w:r w:rsidR="00ED29A2">
        <w:rPr>
          <w:noProof/>
        </w:rPr>
        <w:t>1</w:t>
      </w:r>
      <w:r w:rsidR="00ED29A2">
        <w:fldChar w:fldCharType="end"/>
      </w:r>
      <w:r w:rsidRPr="009F1274">
        <w:t xml:space="preserve"> Mechanism diagram of collaborative planning decisions for mining districts under multi-scenario overburden disturbance constraints</w:t>
      </w:r>
    </w:p>
    <w:p w14:paraId="4F7D6B41" w14:textId="77777777" w:rsidR="009F1274" w:rsidRDefault="009F1274" w:rsidP="00644E0C">
      <w:pPr>
        <w:pStyle w:val="100"/>
        <w:ind w:firstLine="420"/>
        <w:sectPr w:rsidR="009F1274" w:rsidSect="009F1274">
          <w:type w:val="continuous"/>
          <w:pgSz w:w="11906" w:h="16838"/>
          <w:pgMar w:top="1418" w:right="1134" w:bottom="1134" w:left="1134" w:header="1418" w:footer="0" w:gutter="0"/>
          <w:cols w:space="720"/>
          <w:docGrid w:linePitch="312"/>
        </w:sectPr>
      </w:pPr>
    </w:p>
    <w:p w14:paraId="58BEF457" w14:textId="3FD0058B" w:rsidR="00ED29A2" w:rsidRDefault="00644E0C" w:rsidP="00644E0C">
      <w:pPr>
        <w:pStyle w:val="100"/>
        <w:ind w:firstLine="420"/>
      </w:pPr>
      <w:r w:rsidRPr="00644E0C">
        <w:rPr>
          <w:rFonts w:hint="eastAsia"/>
        </w:rPr>
        <w:t>为实现多</w:t>
      </w:r>
      <w:proofErr w:type="gramStart"/>
      <w:r w:rsidRPr="00644E0C">
        <w:rPr>
          <w:rFonts w:hint="eastAsia"/>
        </w:rPr>
        <w:t>场景覆岩扰动</w:t>
      </w:r>
      <w:proofErr w:type="gramEnd"/>
      <w:r w:rsidRPr="00644E0C">
        <w:rPr>
          <w:rFonts w:hint="eastAsia"/>
        </w:rPr>
        <w:t>结果在采区规划中的统一表达，本文构建了由输入层、响应层和表征</w:t>
      </w:r>
      <w:r w:rsidRPr="00644E0C">
        <w:rPr>
          <w:rFonts w:hint="eastAsia"/>
        </w:rPr>
        <w:t>层组成</w:t>
      </w:r>
      <w:proofErr w:type="gramStart"/>
      <w:r w:rsidRPr="00644E0C">
        <w:rPr>
          <w:rFonts w:hint="eastAsia"/>
        </w:rPr>
        <w:t>的覆岩扰动</w:t>
      </w:r>
      <w:proofErr w:type="gramEnd"/>
      <w:r w:rsidRPr="00644E0C">
        <w:rPr>
          <w:rFonts w:hint="eastAsia"/>
        </w:rPr>
        <w:t>量化体系。</w:t>
      </w:r>
      <w:proofErr w:type="gramStart"/>
      <w:r w:rsidR="00ED29A2" w:rsidRPr="00ED29A2">
        <w:t>覆岩扰动</w:t>
      </w:r>
      <w:proofErr w:type="gramEnd"/>
      <w:r w:rsidR="00ED29A2" w:rsidRPr="00ED29A2">
        <w:t>量化指标体系的层级结构及其主要组成如</w:t>
      </w:r>
      <w:r w:rsidR="00ED29A2">
        <w:fldChar w:fldCharType="begin"/>
      </w:r>
      <w:r w:rsidR="00ED29A2">
        <w:instrText xml:space="preserve"> REF _Ref227762119 \h </w:instrText>
      </w:r>
      <w:r w:rsidR="00ED29A2">
        <w:fldChar w:fldCharType="separate"/>
      </w:r>
      <w:r w:rsidR="00ED29A2">
        <w:rPr>
          <w:rFonts w:hint="eastAsia"/>
        </w:rPr>
        <w:t>图</w:t>
      </w:r>
      <w:r w:rsidR="00ED29A2">
        <w:rPr>
          <w:noProof/>
        </w:rPr>
        <w:t>2</w:t>
      </w:r>
      <w:r w:rsidR="00ED29A2">
        <w:fldChar w:fldCharType="end"/>
      </w:r>
      <w:r w:rsidR="00ED29A2" w:rsidRPr="00ED29A2">
        <w:t>所示。</w:t>
      </w:r>
    </w:p>
    <w:p w14:paraId="73A4884C" w14:textId="77777777" w:rsidR="00ED29A2" w:rsidRDefault="00ED29A2" w:rsidP="00ED29A2">
      <w:pPr>
        <w:pStyle w:val="aff"/>
        <w:keepNext/>
        <w:sectPr w:rsidR="00ED29A2" w:rsidSect="00AD42AB">
          <w:type w:val="continuous"/>
          <w:pgSz w:w="11906" w:h="16838"/>
          <w:pgMar w:top="1418" w:right="1134" w:bottom="1134" w:left="1134" w:header="1418" w:footer="0" w:gutter="0"/>
          <w:cols w:num="2" w:space="720"/>
          <w:docGrid w:linePitch="312"/>
        </w:sectPr>
      </w:pPr>
    </w:p>
    <w:p w14:paraId="20D8E049" w14:textId="77777777" w:rsidR="00ED29A2" w:rsidRDefault="00ED29A2" w:rsidP="00ED29A2">
      <w:pPr>
        <w:pStyle w:val="aff"/>
      </w:pPr>
      <w:r w:rsidRPr="00ED29A2">
        <w:rPr>
          <w:noProof/>
        </w:rPr>
        <w:lastRenderedPageBreak/>
        <w:drawing>
          <wp:inline distT="0" distB="0" distL="0" distR="0" wp14:anchorId="45622634" wp14:editId="62D9E578">
            <wp:extent cx="5334000" cy="3368040"/>
            <wp:effectExtent l="0" t="0" r="0" b="0"/>
            <wp:docPr id="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34000" cy="3368040"/>
                    </a:xfrm>
                    <a:prstGeom prst="rect">
                      <a:avLst/>
                    </a:prstGeom>
                    <a:noFill/>
                    <a:ln>
                      <a:noFill/>
                    </a:ln>
                  </pic:spPr>
                </pic:pic>
              </a:graphicData>
            </a:graphic>
          </wp:inline>
        </w:drawing>
      </w:r>
    </w:p>
    <w:p w14:paraId="539DE69F" w14:textId="725367FA" w:rsidR="00ED29A2" w:rsidRDefault="00ED29A2" w:rsidP="00ED29A2">
      <w:pPr>
        <w:pStyle w:val="14"/>
      </w:pPr>
      <w:bookmarkStart w:id="2" w:name="_Ref227762119"/>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717C8">
        <w:rPr>
          <w:noProof/>
        </w:rPr>
        <w:t>2</w:t>
      </w:r>
      <w:r>
        <w:fldChar w:fldCharType="end"/>
      </w:r>
      <w:bookmarkEnd w:id="2"/>
      <w:r>
        <w:rPr>
          <w:rFonts w:hint="eastAsia"/>
        </w:rPr>
        <w:t xml:space="preserve"> </w:t>
      </w:r>
      <w:proofErr w:type="gramStart"/>
      <w:r w:rsidRPr="00F723DF">
        <w:rPr>
          <w:rFonts w:hint="eastAsia"/>
        </w:rPr>
        <w:t>覆岩扰动</w:t>
      </w:r>
      <w:proofErr w:type="gramEnd"/>
      <w:r w:rsidRPr="00F723DF">
        <w:rPr>
          <w:rFonts w:hint="eastAsia"/>
        </w:rPr>
        <w:t>量化指标体系</w:t>
      </w:r>
      <w:r w:rsidRPr="00F723DF">
        <w:t>结构框架图</w:t>
      </w:r>
    </w:p>
    <w:p w14:paraId="3D035F0C" w14:textId="165134F3" w:rsidR="00ED29A2" w:rsidRDefault="00ED29A2" w:rsidP="00ED29A2">
      <w:pPr>
        <w:pStyle w:val="14"/>
      </w:pPr>
      <w:r>
        <w:t>Fig.</w:t>
      </w:r>
      <w:r>
        <w:fldChar w:fldCharType="begin"/>
      </w:r>
      <w:r>
        <w:instrText xml:space="preserve"> REF _Ref227762119 \h </w:instrText>
      </w:r>
      <w:r>
        <w:fldChar w:fldCharType="separate"/>
      </w:r>
      <w:r>
        <w:rPr>
          <w:noProof/>
        </w:rPr>
        <w:t>2</w:t>
      </w:r>
      <w:r>
        <w:fldChar w:fldCharType="end"/>
      </w:r>
      <w:r>
        <w:rPr>
          <w:rFonts w:hint="eastAsia"/>
        </w:rPr>
        <w:t xml:space="preserve"> </w:t>
      </w:r>
      <w:r w:rsidR="00CB5879" w:rsidRPr="00CB5879">
        <w:t>Structural framework of the quantitative index system for overburden disturbance</w:t>
      </w:r>
    </w:p>
    <w:p w14:paraId="0A0DD422" w14:textId="77777777" w:rsidR="00ED29A2" w:rsidRDefault="00ED29A2" w:rsidP="00644E0C">
      <w:pPr>
        <w:pStyle w:val="100"/>
        <w:ind w:firstLine="420"/>
        <w:sectPr w:rsidR="00ED29A2" w:rsidSect="002711E2">
          <w:type w:val="continuous"/>
          <w:pgSz w:w="11906" w:h="16838"/>
          <w:pgMar w:top="1418" w:right="1134" w:bottom="1134" w:left="1134" w:header="720" w:footer="720" w:gutter="0"/>
          <w:cols w:space="720"/>
          <w:docGrid w:linePitch="598"/>
        </w:sectPr>
      </w:pPr>
    </w:p>
    <w:p w14:paraId="29C7E130" w14:textId="61598A2C" w:rsidR="00644E0C" w:rsidRDefault="00ED29A2" w:rsidP="00644E0C">
      <w:pPr>
        <w:pStyle w:val="100"/>
        <w:ind w:firstLine="420"/>
      </w:pPr>
      <w:r w:rsidRPr="00ED29A2">
        <w:t>如</w:t>
      </w:r>
      <w:r>
        <w:fldChar w:fldCharType="begin"/>
      </w:r>
      <w:r>
        <w:instrText xml:space="preserve"> REF _Ref227762119 \h </w:instrText>
      </w:r>
      <w:r>
        <w:fldChar w:fldCharType="separate"/>
      </w:r>
      <w:r>
        <w:rPr>
          <w:rFonts w:hint="eastAsia"/>
        </w:rPr>
        <w:t>图</w:t>
      </w:r>
      <w:r>
        <w:rPr>
          <w:noProof/>
        </w:rPr>
        <w:t>2</w:t>
      </w:r>
      <w:r>
        <w:fldChar w:fldCharType="end"/>
      </w:r>
      <w:r w:rsidRPr="00ED29A2">
        <w:t>所示</w:t>
      </w:r>
      <w:r>
        <w:rPr>
          <w:rFonts w:hint="eastAsia"/>
        </w:rPr>
        <w:t>，</w:t>
      </w:r>
      <w:r w:rsidR="00644E0C" w:rsidRPr="00644E0C">
        <w:rPr>
          <w:rFonts w:hint="eastAsia"/>
        </w:rPr>
        <w:t>输入层包括地质因素与开采因素，响应层包括位移、应力和裂隙发育三类响应指标，表征层则通过权重集成形成综合扰动指数。在保持指标体系和计算结构稳定的前提下，通过识别不同工程场景下的</w:t>
      </w:r>
      <w:proofErr w:type="gramStart"/>
      <w:r w:rsidR="00644E0C" w:rsidRPr="00644E0C">
        <w:rPr>
          <w:rFonts w:hint="eastAsia"/>
        </w:rPr>
        <w:t>目标层并调配</w:t>
      </w:r>
      <w:proofErr w:type="gramEnd"/>
      <w:r w:rsidR="00644E0C" w:rsidRPr="00644E0C">
        <w:rPr>
          <w:rFonts w:hint="eastAsia"/>
        </w:rPr>
        <w:t>位移类、应力类和裂隙类响应的类别权重，可使综合扰动指标适配地表沉陷、含水层扰动和上行开采等不同工程目标。</w:t>
      </w:r>
    </w:p>
    <w:p w14:paraId="1C306C64" w14:textId="2108FCDF" w:rsidR="00644E0C" w:rsidRPr="00644E0C" w:rsidRDefault="00644E0C" w:rsidP="00644E0C">
      <w:pPr>
        <w:pStyle w:val="100"/>
        <w:ind w:firstLine="420"/>
      </w:pPr>
      <w:r w:rsidRPr="00644E0C">
        <w:t>基于上述思路，本文</w:t>
      </w:r>
      <w:proofErr w:type="gramStart"/>
      <w:r w:rsidRPr="00644E0C">
        <w:t>将覆岩扰动</w:t>
      </w:r>
      <w:proofErr w:type="gramEnd"/>
      <w:r w:rsidRPr="00644E0C">
        <w:t>指数定义为面向采区规划的统一风险表征指标。其目的不是提出新</w:t>
      </w:r>
      <w:proofErr w:type="gramStart"/>
      <w:r w:rsidRPr="00644E0C">
        <w:t>的覆岩力学</w:t>
      </w:r>
      <w:proofErr w:type="gramEnd"/>
      <w:r w:rsidRPr="00644E0C">
        <w:t>机理参数，而是将多场景扰动评价结果转化为规划阶段可直接调用的无量纲约束量。</w:t>
      </w:r>
      <w:proofErr w:type="gramStart"/>
      <w:r w:rsidRPr="00644E0C">
        <w:t>设规划域</w:t>
      </w:r>
      <w:proofErr w:type="gramEnd"/>
      <w:r w:rsidRPr="00644E0C">
        <w:t>为</w:t>
      </w:r>
      <w:r w:rsidRPr="00644E0C">
        <w:t>Ω</w:t>
      </w:r>
      <w:r w:rsidRPr="00644E0C">
        <w:t>，任意位置</w:t>
      </w:r>
      <w:r w:rsidRPr="00644E0C">
        <w:t>x</w:t>
      </w:r>
      <w:r w:rsidRPr="00644E0C">
        <w:t>处的地表沉陷扰动、含水层扰动和上行开采扰动分别记为</w:t>
      </w:r>
      <w:r w:rsidRPr="00644E0C">
        <w:t xml:space="preserve"> </w:t>
      </w:r>
      <m:oMath>
        <m:sSub>
          <m:sSubPr>
            <m:ctrlPr>
              <w:rPr>
                <w:rFonts w:ascii="Cambria Math" w:hAnsi="Cambria Math"/>
              </w:rPr>
            </m:ctrlPr>
          </m:sSubPr>
          <m:e>
            <m:r>
              <w:rPr>
                <w:rFonts w:ascii="Cambria Math" w:hAnsi="Cambria Math"/>
              </w:rPr>
              <m:t>D</m:t>
            </m:r>
          </m:e>
          <m:sub>
            <m:r>
              <w:rPr>
                <w:rFonts w:ascii="Cambria Math" w:hAnsi="Cambria Math"/>
              </w:rPr>
              <m:t>s</m:t>
            </m:r>
          </m:sub>
        </m:sSub>
        <m:r>
          <m:rPr>
            <m:sty m:val="p"/>
          </m:rPr>
          <w:rPr>
            <w:rFonts w:ascii="Cambria Math" w:hAnsi="Cambria Math"/>
          </w:rPr>
          <m:t>(</m:t>
        </m:r>
        <m:r>
          <w:rPr>
            <w:rFonts w:ascii="Cambria Math" w:hAnsi="Cambria Math"/>
          </w:rPr>
          <m:t>x</m:t>
        </m:r>
        <m:r>
          <m:rPr>
            <m:sty m:val="p"/>
          </m:rPr>
          <w:rPr>
            <w:rFonts w:ascii="Cambria Math" w:hAnsi="Cambria Math"/>
          </w:rPr>
          <m:t>)</m:t>
        </m:r>
      </m:oMath>
      <w:r w:rsidRPr="00644E0C">
        <w:t>、</w:t>
      </w:r>
      <m:oMath>
        <m:sSub>
          <m:sSubPr>
            <m:ctrlPr>
              <w:rPr>
                <w:rFonts w:ascii="Cambria Math" w:hAnsi="Cambria Math"/>
              </w:rPr>
            </m:ctrlPr>
          </m:sSubPr>
          <m:e>
            <m:r>
              <w:rPr>
                <w:rFonts w:ascii="Cambria Math" w:hAnsi="Cambria Math"/>
              </w:rPr>
              <m:t>D</m:t>
            </m:r>
          </m:e>
          <m:sub>
            <m:r>
              <w:rPr>
                <w:rFonts w:ascii="Cambria Math" w:hAnsi="Cambria Math"/>
              </w:rPr>
              <m:t>a</m:t>
            </m:r>
          </m:sub>
        </m:sSub>
        <m:r>
          <m:rPr>
            <m:sty m:val="p"/>
          </m:rPr>
          <w:rPr>
            <w:rFonts w:ascii="Cambria Math" w:hAnsi="Cambria Math"/>
          </w:rPr>
          <m:t>(</m:t>
        </m:r>
        <m:r>
          <w:rPr>
            <w:rFonts w:ascii="Cambria Math" w:hAnsi="Cambria Math"/>
          </w:rPr>
          <m:t>x</m:t>
        </m:r>
        <m:r>
          <m:rPr>
            <m:sty m:val="p"/>
          </m:rPr>
          <w:rPr>
            <w:rFonts w:ascii="Cambria Math" w:hAnsi="Cambria Math"/>
          </w:rPr>
          <m:t>)</m:t>
        </m:r>
      </m:oMath>
      <w:r w:rsidRPr="00644E0C">
        <w:t xml:space="preserve"> </w:t>
      </w:r>
      <w:r w:rsidRPr="00644E0C">
        <w:t>和</w:t>
      </w:r>
      <w:r w:rsidRPr="00644E0C">
        <w:t xml:space="preserve"> </w:t>
      </w:r>
      <m:oMath>
        <m:sSub>
          <m:sSubPr>
            <m:ctrlPr>
              <w:rPr>
                <w:rFonts w:ascii="Cambria Math" w:hAnsi="Cambria Math"/>
              </w:rPr>
            </m:ctrlPr>
          </m:sSubPr>
          <m:e>
            <m:r>
              <w:rPr>
                <w:rFonts w:ascii="Cambria Math" w:hAnsi="Cambria Math"/>
              </w:rPr>
              <m:t>D</m:t>
            </m:r>
          </m:e>
          <m:sub>
            <m:r>
              <w:rPr>
                <w:rFonts w:ascii="Cambria Math" w:hAnsi="Cambria Math"/>
              </w:rPr>
              <m:t>u</m:t>
            </m:r>
          </m:sub>
        </m:sSub>
        <m:r>
          <m:rPr>
            <m:sty m:val="p"/>
          </m:rPr>
          <w:rPr>
            <w:rFonts w:ascii="Cambria Math" w:hAnsi="Cambria Math"/>
          </w:rPr>
          <m:t>(</m:t>
        </m:r>
        <m:r>
          <w:rPr>
            <w:rFonts w:ascii="Cambria Math" w:hAnsi="Cambria Math"/>
          </w:rPr>
          <m:t>x</m:t>
        </m:r>
        <m:r>
          <m:rPr>
            <m:sty m:val="p"/>
          </m:rPr>
          <w:rPr>
            <w:rFonts w:ascii="Cambria Math" w:hAnsi="Cambria Math"/>
          </w:rPr>
          <m:t>)</m:t>
        </m:r>
      </m:oMath>
      <w:r w:rsidRPr="00644E0C">
        <w:t>，各分量均归一化到</w:t>
      </w:r>
      <w:r w:rsidRPr="00644E0C">
        <w:t>[0,1]</w:t>
      </w:r>
      <w:r w:rsidRPr="00644E0C">
        <w:t>区间，</w:t>
      </w:r>
      <w:proofErr w:type="gramStart"/>
      <w:r w:rsidRPr="00644E0C">
        <w:t>则综合覆岩</w:t>
      </w:r>
      <w:proofErr w:type="gramEnd"/>
      <w:r w:rsidRPr="00644E0C">
        <w:t>扰动指数可表示为：</w:t>
      </w:r>
    </w:p>
    <w:p w14:paraId="4F7E038D" w14:textId="05A18700" w:rsidR="00D027BE" w:rsidRDefault="00644E0C" w:rsidP="00D027BE">
      <w:pPr>
        <w:pStyle w:val="100"/>
        <w:ind w:firstLineChars="0" w:firstLine="0"/>
        <w:jc w:val="center"/>
      </w:pPr>
      <w:r w:rsidRPr="00644E0C">
        <w:rPr>
          <w:position w:val="-12"/>
        </w:rPr>
        <w:object w:dxaOrig="3860" w:dyaOrig="360" w14:anchorId="0A30DB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3.2pt;height:18pt" o:ole="">
            <v:imagedata r:id="rId13" o:title=""/>
          </v:shape>
          <o:OLEObject Type="Embed" ProgID="Equation.DSMT4" ShapeID="_x0000_i1025" DrawAspect="Content" ObjectID="_1838381596" r:id="rId14"/>
        </w:object>
      </w:r>
    </w:p>
    <w:p w14:paraId="13B98069" w14:textId="293866B0" w:rsidR="00351EC4" w:rsidRDefault="00644E0C" w:rsidP="00644E0C">
      <w:pPr>
        <w:pStyle w:val="100"/>
        <w:ind w:firstLine="420"/>
      </w:pPr>
      <w:r w:rsidRPr="00644E0C">
        <w:t>其中，</w:t>
      </w:r>
      <m:oMath>
        <m:sSub>
          <m:sSubPr>
            <m:ctrlPr>
              <w:rPr>
                <w:rFonts w:ascii="Cambria Math" w:hAnsi="Cambria Math"/>
              </w:rPr>
            </m:ctrlPr>
          </m:sSubPr>
          <m:e>
            <m:r>
              <w:rPr>
                <w:rFonts w:ascii="Cambria Math" w:hAnsi="Cambria Math"/>
              </w:rPr>
              <m:t>w</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u</m:t>
            </m:r>
          </m:sub>
        </m:sSub>
        <m:r>
          <m:rPr>
            <m:sty m:val="p"/>
          </m:rPr>
          <w:rPr>
            <w:rFonts w:ascii="Cambria Math" w:hAnsi="Cambria Math"/>
          </w:rPr>
          <m:t>=1</m:t>
        </m:r>
      </m:oMath>
      <w:r w:rsidRPr="00644E0C">
        <w:t>，且各权重均不小于</w:t>
      </w:r>
      <w:r w:rsidRPr="00644E0C">
        <w:t>0</w:t>
      </w:r>
      <w:r w:rsidRPr="00644E0C">
        <w:t>。</w:t>
      </w:r>
      <w:proofErr w:type="gramStart"/>
      <w:r w:rsidRPr="00644E0C">
        <w:t>该表达</w:t>
      </w:r>
      <w:proofErr w:type="gramEnd"/>
      <w:r w:rsidRPr="00644E0C">
        <w:t>并不意味着所有矿区采用固定不变的权重，而是建立一种统一的风险组织方式，即将原本量纲不同、判据不同和空间尺度不同的多场景扰动结果，转化为可共同参与约束筛选与方案比较的统一指标。</w:t>
      </w:r>
      <w:r w:rsidR="00ED29A2" w:rsidRPr="00ED29A2">
        <w:rPr>
          <w:rFonts w:hint="eastAsia"/>
        </w:rPr>
        <w:t>为进一步说明地质因素、开采因素与多类扰动响应之间的传递关系，以及</w:t>
      </w:r>
      <w:proofErr w:type="gramStart"/>
      <w:r w:rsidR="00ED29A2" w:rsidRPr="00ED29A2">
        <w:rPr>
          <w:rFonts w:hint="eastAsia"/>
        </w:rPr>
        <w:t>综合覆岩扰动</w:t>
      </w:r>
      <w:proofErr w:type="gramEnd"/>
      <w:r w:rsidR="00ED29A2" w:rsidRPr="00ED29A2">
        <w:rPr>
          <w:rFonts w:hint="eastAsia"/>
        </w:rPr>
        <w:t>指数的权重组织方式，本文将其表示为影响路径与权重组织图，如</w:t>
      </w:r>
      <w:r w:rsidR="006B4B0A">
        <w:fldChar w:fldCharType="begin"/>
      </w:r>
      <w:r w:rsidR="006B4B0A">
        <w:instrText xml:space="preserve"> </w:instrText>
      </w:r>
      <w:r w:rsidR="006B4B0A">
        <w:rPr>
          <w:rFonts w:hint="eastAsia"/>
        </w:rPr>
        <w:instrText>REF _Ref227762319 \h</w:instrText>
      </w:r>
      <w:r w:rsidR="006B4B0A">
        <w:instrText xml:space="preserve"> </w:instrText>
      </w:r>
      <w:r w:rsidR="006B4B0A">
        <w:fldChar w:fldCharType="separate"/>
      </w:r>
      <w:r w:rsidR="006B4B0A">
        <w:rPr>
          <w:rFonts w:hint="eastAsia"/>
        </w:rPr>
        <w:t>图</w:t>
      </w:r>
      <w:r w:rsidR="006B4B0A">
        <w:rPr>
          <w:noProof/>
        </w:rPr>
        <w:t>3</w:t>
      </w:r>
      <w:r w:rsidR="006B4B0A">
        <w:fldChar w:fldCharType="end"/>
      </w:r>
      <w:r w:rsidR="00ED29A2" w:rsidRPr="00ED29A2">
        <w:rPr>
          <w:rFonts w:hint="eastAsia"/>
        </w:rPr>
        <w:t>所示</w:t>
      </w:r>
      <w:r w:rsidR="00ED29A2">
        <w:rPr>
          <w:rFonts w:hint="eastAsia"/>
        </w:rPr>
        <w:t>，</w:t>
      </w:r>
      <w:r w:rsidR="00ED29A2" w:rsidRPr="00ED29A2">
        <w:rPr>
          <w:rFonts w:hint="eastAsia"/>
        </w:rPr>
        <w:t>不同地质因素和开采因素并非直接以同等方式进入综合评价，而是通过位移、应力和裂隙等响应通道逐级传递，并最终汇入</w:t>
      </w:r>
      <w:proofErr w:type="gramStart"/>
      <w:r w:rsidR="00ED29A2" w:rsidRPr="00ED29A2">
        <w:rPr>
          <w:rFonts w:hint="eastAsia"/>
        </w:rPr>
        <w:t>综合覆岩扰动</w:t>
      </w:r>
      <w:proofErr w:type="gramEnd"/>
      <w:r w:rsidR="00ED29A2" w:rsidRPr="00ED29A2">
        <w:rPr>
          <w:rFonts w:hint="eastAsia"/>
        </w:rPr>
        <w:t>指数；这一过程揭示了综合指标的形成并非简单线性拼接，而是建立在多层响应耦合与权重组织基础上的统一表征。</w:t>
      </w:r>
    </w:p>
    <w:p w14:paraId="3F50CDA5" w14:textId="77777777" w:rsidR="00ED29A2" w:rsidRDefault="00ED29A2" w:rsidP="00ED29A2">
      <w:pPr>
        <w:pStyle w:val="100"/>
        <w:keepNext/>
        <w:ind w:firstLineChars="0" w:firstLine="0"/>
        <w:sectPr w:rsidR="00ED29A2" w:rsidSect="00AD42AB">
          <w:type w:val="continuous"/>
          <w:pgSz w:w="11906" w:h="16838"/>
          <w:pgMar w:top="1418" w:right="1134" w:bottom="1134" w:left="1134" w:header="1418" w:footer="0" w:gutter="0"/>
          <w:cols w:num="2" w:space="720"/>
          <w:docGrid w:linePitch="312"/>
        </w:sectPr>
      </w:pPr>
    </w:p>
    <w:p w14:paraId="61045CCD" w14:textId="77777777" w:rsidR="00ED29A2" w:rsidRDefault="00ED29A2" w:rsidP="00ED29A2">
      <w:pPr>
        <w:pStyle w:val="aff"/>
      </w:pPr>
      <w:r w:rsidRPr="006603B8">
        <w:rPr>
          <w:noProof/>
        </w:rPr>
        <w:lastRenderedPageBreak/>
        <w:drawing>
          <wp:inline distT="0" distB="0" distL="0" distR="0" wp14:anchorId="6EED1ED7" wp14:editId="4425C21B">
            <wp:extent cx="5778000" cy="2597992"/>
            <wp:effectExtent l="0" t="0" r="0" b="0"/>
            <wp:docPr id="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78000" cy="2597992"/>
                    </a:xfrm>
                    <a:prstGeom prst="rect">
                      <a:avLst/>
                    </a:prstGeom>
                    <a:noFill/>
                    <a:ln>
                      <a:noFill/>
                    </a:ln>
                  </pic:spPr>
                </pic:pic>
              </a:graphicData>
            </a:graphic>
          </wp:inline>
        </w:drawing>
      </w:r>
    </w:p>
    <w:p w14:paraId="5A0D7513" w14:textId="5C257029" w:rsidR="00ED29A2" w:rsidRDefault="00ED29A2" w:rsidP="00ED29A2">
      <w:pPr>
        <w:pStyle w:val="14"/>
      </w:pPr>
      <w:bookmarkStart w:id="3" w:name="_Ref227762319"/>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717C8">
        <w:rPr>
          <w:noProof/>
        </w:rPr>
        <w:t>3</w:t>
      </w:r>
      <w:r>
        <w:fldChar w:fldCharType="end"/>
      </w:r>
      <w:bookmarkEnd w:id="3"/>
      <w:r>
        <w:rPr>
          <w:rFonts w:hint="eastAsia"/>
        </w:rPr>
        <w:t xml:space="preserve"> </w:t>
      </w:r>
      <w:proofErr w:type="gramStart"/>
      <w:r w:rsidRPr="00ED29A2">
        <w:t>覆岩扰动</w:t>
      </w:r>
      <w:proofErr w:type="gramEnd"/>
      <w:r w:rsidRPr="00ED29A2">
        <w:t>影响路径与权重组织图</w:t>
      </w:r>
    </w:p>
    <w:p w14:paraId="41457B2D" w14:textId="3C893060" w:rsidR="00ED29A2" w:rsidRPr="00ED29A2" w:rsidRDefault="00ED29A2" w:rsidP="00ED29A2">
      <w:pPr>
        <w:pStyle w:val="14"/>
      </w:pPr>
      <w:r w:rsidRPr="00ED29A2">
        <w:t>Fig.</w:t>
      </w:r>
      <w:r>
        <w:fldChar w:fldCharType="begin"/>
      </w:r>
      <w:r>
        <w:instrText xml:space="preserve"> REF _Ref227762319 \h  \* MERGEFORMAT </w:instrText>
      </w:r>
      <w:r>
        <w:fldChar w:fldCharType="separate"/>
      </w:r>
      <w:r>
        <w:rPr>
          <w:noProof/>
        </w:rPr>
        <w:t>3</w:t>
      </w:r>
      <w:r>
        <w:fldChar w:fldCharType="end"/>
      </w:r>
      <w:r w:rsidRPr="00ED29A2">
        <w:t xml:space="preserve"> Influence paths and weight organization of overburden disturbance</w:t>
      </w:r>
    </w:p>
    <w:p w14:paraId="19EE1480" w14:textId="77777777" w:rsidR="00ED29A2" w:rsidRDefault="00ED29A2" w:rsidP="00644E0C">
      <w:pPr>
        <w:pStyle w:val="100"/>
        <w:ind w:firstLine="420"/>
        <w:sectPr w:rsidR="00ED29A2" w:rsidSect="002711E2">
          <w:type w:val="continuous"/>
          <w:pgSz w:w="11906" w:h="16838"/>
          <w:pgMar w:top="1418" w:right="1134" w:bottom="1134" w:left="1134" w:header="720" w:footer="720" w:gutter="0"/>
          <w:cols w:space="720"/>
          <w:docGrid w:linePitch="598"/>
        </w:sectPr>
      </w:pPr>
    </w:p>
    <w:p w14:paraId="194FACCE" w14:textId="1EEC9DF8" w:rsidR="00644E0C" w:rsidRDefault="00644E0C" w:rsidP="00644E0C">
      <w:pPr>
        <w:pStyle w:val="100"/>
        <w:ind w:firstLine="420"/>
      </w:pPr>
      <w:r w:rsidRPr="00644E0C">
        <w:t>在规划语境下，</w:t>
      </w:r>
      <w:proofErr w:type="gramStart"/>
      <w:r w:rsidRPr="00644E0C">
        <w:t>统一覆岩扰动</w:t>
      </w:r>
      <w:proofErr w:type="gramEnd"/>
      <w:r w:rsidRPr="00644E0C">
        <w:t>约束主要具有</w:t>
      </w:r>
      <w:r w:rsidRPr="00644E0C">
        <w:t>3</w:t>
      </w:r>
      <w:r w:rsidRPr="00644E0C">
        <w:t>方面作用：其一，用于识别采区尺度上的高扰动敏感区与相对有利区，为工作面初始布局提供空间边界；其二，用于统计候选方案区域内的扰动均值、</w:t>
      </w:r>
      <w:proofErr w:type="gramStart"/>
      <w:r w:rsidRPr="00644E0C">
        <w:t>高分位</w:t>
      </w:r>
      <w:proofErr w:type="gramEnd"/>
      <w:r w:rsidRPr="00644E0C">
        <w:t>水平及超阈值暴露比例，为</w:t>
      </w:r>
      <w:proofErr w:type="gramStart"/>
      <w:r w:rsidRPr="00644E0C">
        <w:t>方案级比较</w:t>
      </w:r>
      <w:proofErr w:type="gramEnd"/>
      <w:r w:rsidRPr="00644E0C">
        <w:t>提供统一依据；其三，作为后续参数调控和工程优化的上游输入，使风险控制由布局完成后的事后校核转变为方案形成阶段的前置约束。由此，采区规划的决策变量、</w:t>
      </w:r>
      <w:proofErr w:type="gramStart"/>
      <w:r w:rsidRPr="00644E0C">
        <w:t>覆岩扰动</w:t>
      </w:r>
      <w:proofErr w:type="gramEnd"/>
      <w:r w:rsidRPr="00644E0C">
        <w:t>响应及规划约束结果之间建立起可计算的映射关系。</w:t>
      </w:r>
      <w:r w:rsidR="006C6CB7">
        <w:fldChar w:fldCharType="begin"/>
      </w:r>
      <w:r w:rsidR="006C6CB7">
        <w:instrText xml:space="preserve"> REF _Ref227766961 \h </w:instrText>
      </w:r>
      <w:r w:rsidR="006C6CB7">
        <w:fldChar w:fldCharType="separate"/>
      </w:r>
      <w:r w:rsidR="006C6CB7">
        <w:rPr>
          <w:rFonts w:hint="eastAsia"/>
        </w:rPr>
        <w:t>表</w:t>
      </w:r>
      <w:r w:rsidR="006C6CB7">
        <w:rPr>
          <w:noProof/>
        </w:rPr>
        <w:t>1</w:t>
      </w:r>
      <w:r w:rsidR="006C6CB7">
        <w:fldChar w:fldCharType="end"/>
      </w:r>
      <w:r w:rsidR="006C6CB7" w:rsidRPr="006C6CB7">
        <w:t>给出了多</w:t>
      </w:r>
      <w:proofErr w:type="gramStart"/>
      <w:r w:rsidR="006C6CB7" w:rsidRPr="006C6CB7">
        <w:t>场景覆岩扰动</w:t>
      </w:r>
      <w:proofErr w:type="gramEnd"/>
      <w:r w:rsidR="006C6CB7" w:rsidRPr="006C6CB7">
        <w:t>风险在关注对象、输入依据及规划作用层面的对应关系。</w:t>
      </w:r>
      <w:r w:rsidR="006C6CB7">
        <w:fldChar w:fldCharType="begin"/>
      </w:r>
      <w:r w:rsidR="006C6CB7">
        <w:instrText xml:space="preserve"> REF _Ref227766961 \h </w:instrText>
      </w:r>
      <w:r w:rsidR="006C6CB7">
        <w:fldChar w:fldCharType="separate"/>
      </w:r>
      <w:r w:rsidR="006C6CB7">
        <w:rPr>
          <w:rFonts w:hint="eastAsia"/>
        </w:rPr>
        <w:t>表</w:t>
      </w:r>
      <w:r w:rsidR="006C6CB7">
        <w:rPr>
          <w:noProof/>
        </w:rPr>
        <w:t>1</w:t>
      </w:r>
      <w:r w:rsidR="006C6CB7">
        <w:fldChar w:fldCharType="end"/>
      </w:r>
      <w:r w:rsidR="006C6CB7" w:rsidRPr="006C6CB7">
        <w:t>表明，不同风险场景</w:t>
      </w:r>
      <w:proofErr w:type="gramStart"/>
      <w:r w:rsidR="006C6CB7" w:rsidRPr="006C6CB7">
        <w:t>虽关注</w:t>
      </w:r>
      <w:proofErr w:type="gramEnd"/>
      <w:r w:rsidR="006C6CB7" w:rsidRPr="006C6CB7">
        <w:t>对象和输入依据不同，但均可通过统一指标组织进入采区规划过程，从而为后续候选方案筛选和比较提供一致的约束口径。</w:t>
      </w:r>
    </w:p>
    <w:p w14:paraId="6BEA1F91" w14:textId="4289313C" w:rsidR="00DC3694" w:rsidRDefault="00DC3694" w:rsidP="006C6CB7">
      <w:pPr>
        <w:pStyle w:val="15"/>
      </w:pPr>
      <w:bookmarkStart w:id="4" w:name="_Ref227766961"/>
      <w:r>
        <w:rPr>
          <w:rFonts w:hint="eastAsia"/>
        </w:rPr>
        <w:t>表</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6C6CB7">
        <w:rPr>
          <w:noProof/>
        </w:rPr>
        <w:t>1</w:t>
      </w:r>
      <w:r>
        <w:fldChar w:fldCharType="end"/>
      </w:r>
      <w:bookmarkEnd w:id="4"/>
      <w:r>
        <w:rPr>
          <w:rFonts w:hint="eastAsia"/>
        </w:rPr>
        <w:t xml:space="preserve"> </w:t>
      </w:r>
      <w:r w:rsidR="006C6CB7" w:rsidRPr="006C6CB7">
        <w:rPr>
          <w:rFonts w:hint="eastAsia"/>
        </w:rPr>
        <w:t>多</w:t>
      </w:r>
      <w:proofErr w:type="gramStart"/>
      <w:r w:rsidR="006C6CB7" w:rsidRPr="006C6CB7">
        <w:rPr>
          <w:rFonts w:hint="eastAsia"/>
        </w:rPr>
        <w:t>场景覆岩扰动</w:t>
      </w:r>
      <w:proofErr w:type="gramEnd"/>
      <w:r w:rsidR="006C6CB7" w:rsidRPr="006C6CB7">
        <w:rPr>
          <w:rFonts w:hint="eastAsia"/>
        </w:rPr>
        <w:t>风险组织关系</w:t>
      </w:r>
    </w:p>
    <w:p w14:paraId="46F37A39" w14:textId="78278F39" w:rsidR="006C6CB7" w:rsidRDefault="006C6CB7" w:rsidP="006C6CB7">
      <w:pPr>
        <w:pStyle w:val="15"/>
      </w:pPr>
      <w:r w:rsidRPr="00351EC4">
        <w:t>Table</w:t>
      </w:r>
      <w:r w:rsidR="00FB3E3F">
        <w:rPr>
          <w:rFonts w:hint="eastAsia"/>
        </w:rPr>
        <w:t xml:space="preserve"> </w:t>
      </w:r>
      <w:r>
        <w:rPr>
          <w:rFonts w:hint="eastAsia"/>
        </w:rPr>
        <w:t>1</w:t>
      </w:r>
      <w:r w:rsidRPr="00351EC4">
        <w:t xml:space="preserve"> </w:t>
      </w:r>
      <w:r w:rsidRPr="006C6CB7">
        <w:t>Organization of multi-scenario overburden disturbance risks</w:t>
      </w:r>
    </w:p>
    <w:tbl>
      <w:tblPr>
        <w:tblW w:w="0" w:type="auto"/>
        <w:jc w:val="center"/>
        <w:tblCellSpacing w:w="15" w:type="dxa"/>
        <w:tblBorders>
          <w:bottom w:val="single" w:sz="4" w:space="0" w:color="auto"/>
        </w:tblBorders>
        <w:tblCellMar>
          <w:top w:w="15" w:type="dxa"/>
          <w:left w:w="15" w:type="dxa"/>
          <w:bottom w:w="15" w:type="dxa"/>
          <w:right w:w="15" w:type="dxa"/>
        </w:tblCellMar>
        <w:tblLook w:val="04A0" w:firstRow="1" w:lastRow="0" w:firstColumn="1" w:lastColumn="0" w:noHBand="0" w:noVBand="1"/>
      </w:tblPr>
      <w:tblGrid>
        <w:gridCol w:w="584"/>
        <w:gridCol w:w="1029"/>
        <w:gridCol w:w="1604"/>
        <w:gridCol w:w="1242"/>
      </w:tblGrid>
      <w:tr w:rsidR="006C6CB7" w:rsidRPr="006C6CB7" w14:paraId="62EDA237" w14:textId="77777777" w:rsidTr="006C6CB7">
        <w:trPr>
          <w:tblHeader/>
          <w:tblCellSpacing w:w="15" w:type="dxa"/>
          <w:jc w:val="center"/>
        </w:trPr>
        <w:tc>
          <w:tcPr>
            <w:tcW w:w="0" w:type="auto"/>
            <w:tcBorders>
              <w:top w:val="single" w:sz="4" w:space="0" w:color="auto"/>
              <w:bottom w:val="single" w:sz="4" w:space="0" w:color="auto"/>
            </w:tcBorders>
            <w:vAlign w:val="center"/>
            <w:hideMark/>
          </w:tcPr>
          <w:p w14:paraId="598450C5" w14:textId="77777777" w:rsidR="006C6CB7" w:rsidRPr="006C6CB7" w:rsidRDefault="006C6CB7" w:rsidP="006C6CB7">
            <w:pPr>
              <w:spacing w:beforeLines="0" w:before="0" w:afterLines="0" w:after="0"/>
              <w:jc w:val="center"/>
              <w:rPr>
                <w:rFonts w:eastAsia="宋体"/>
                <w:sz w:val="18"/>
              </w:rPr>
            </w:pPr>
            <w:r w:rsidRPr="006C6CB7">
              <w:rPr>
                <w:rFonts w:eastAsia="宋体"/>
                <w:sz w:val="18"/>
              </w:rPr>
              <w:t>场景</w:t>
            </w:r>
          </w:p>
        </w:tc>
        <w:tc>
          <w:tcPr>
            <w:tcW w:w="0" w:type="auto"/>
            <w:tcBorders>
              <w:top w:val="single" w:sz="4" w:space="0" w:color="auto"/>
              <w:bottom w:val="single" w:sz="4" w:space="0" w:color="auto"/>
            </w:tcBorders>
            <w:vAlign w:val="center"/>
            <w:hideMark/>
          </w:tcPr>
          <w:p w14:paraId="441B6D02" w14:textId="77777777" w:rsidR="006C6CB7" w:rsidRPr="006C6CB7" w:rsidRDefault="006C6CB7" w:rsidP="006C6CB7">
            <w:pPr>
              <w:spacing w:beforeLines="0" w:before="0" w:afterLines="0" w:after="0"/>
              <w:jc w:val="center"/>
              <w:rPr>
                <w:rFonts w:eastAsia="宋体"/>
                <w:sz w:val="18"/>
              </w:rPr>
            </w:pPr>
            <w:r w:rsidRPr="006C6CB7">
              <w:rPr>
                <w:rFonts w:eastAsia="宋体"/>
                <w:sz w:val="18"/>
              </w:rPr>
              <w:t>主要关注对象</w:t>
            </w:r>
          </w:p>
        </w:tc>
        <w:tc>
          <w:tcPr>
            <w:tcW w:w="0" w:type="auto"/>
            <w:tcBorders>
              <w:top w:val="single" w:sz="4" w:space="0" w:color="auto"/>
              <w:bottom w:val="single" w:sz="4" w:space="0" w:color="auto"/>
            </w:tcBorders>
            <w:vAlign w:val="center"/>
            <w:hideMark/>
          </w:tcPr>
          <w:p w14:paraId="6B31BE97" w14:textId="77777777" w:rsidR="006C6CB7" w:rsidRPr="006C6CB7" w:rsidRDefault="006C6CB7" w:rsidP="006C6CB7">
            <w:pPr>
              <w:spacing w:beforeLines="0" w:before="0" w:afterLines="0" w:after="0"/>
              <w:jc w:val="center"/>
              <w:rPr>
                <w:rFonts w:eastAsia="宋体"/>
                <w:sz w:val="18"/>
              </w:rPr>
            </w:pPr>
            <w:r w:rsidRPr="006C6CB7">
              <w:rPr>
                <w:rFonts w:eastAsia="宋体"/>
                <w:sz w:val="18"/>
              </w:rPr>
              <w:t>主要输入依据</w:t>
            </w:r>
          </w:p>
        </w:tc>
        <w:tc>
          <w:tcPr>
            <w:tcW w:w="0" w:type="auto"/>
            <w:tcBorders>
              <w:top w:val="single" w:sz="4" w:space="0" w:color="auto"/>
              <w:bottom w:val="single" w:sz="4" w:space="0" w:color="auto"/>
            </w:tcBorders>
            <w:vAlign w:val="center"/>
            <w:hideMark/>
          </w:tcPr>
          <w:p w14:paraId="6E699107" w14:textId="77777777" w:rsidR="006C6CB7" w:rsidRPr="006C6CB7" w:rsidRDefault="006C6CB7" w:rsidP="006C6CB7">
            <w:pPr>
              <w:spacing w:beforeLines="0" w:before="0" w:afterLines="0" w:after="0"/>
              <w:jc w:val="center"/>
              <w:rPr>
                <w:rFonts w:eastAsia="宋体"/>
                <w:sz w:val="18"/>
              </w:rPr>
            </w:pPr>
            <w:r w:rsidRPr="006C6CB7">
              <w:rPr>
                <w:rFonts w:eastAsia="宋体"/>
                <w:sz w:val="18"/>
              </w:rPr>
              <w:t>规划作用</w:t>
            </w:r>
          </w:p>
        </w:tc>
      </w:tr>
      <w:tr w:rsidR="006C6CB7" w:rsidRPr="006C6CB7" w14:paraId="7FDDF5B9" w14:textId="77777777" w:rsidTr="006C6CB7">
        <w:trPr>
          <w:tblCellSpacing w:w="15" w:type="dxa"/>
          <w:jc w:val="center"/>
        </w:trPr>
        <w:tc>
          <w:tcPr>
            <w:tcW w:w="0" w:type="auto"/>
            <w:vAlign w:val="center"/>
            <w:hideMark/>
          </w:tcPr>
          <w:p w14:paraId="51750EBE" w14:textId="77777777" w:rsidR="006C6CB7" w:rsidRPr="006C6CB7" w:rsidRDefault="006C6CB7" w:rsidP="006C6CB7">
            <w:pPr>
              <w:spacing w:beforeLines="0" w:before="0" w:afterLines="0" w:after="0"/>
              <w:jc w:val="center"/>
              <w:rPr>
                <w:rFonts w:eastAsia="宋体"/>
                <w:sz w:val="18"/>
              </w:rPr>
            </w:pPr>
            <w:r w:rsidRPr="006C6CB7">
              <w:rPr>
                <w:rFonts w:eastAsia="宋体"/>
                <w:sz w:val="18"/>
              </w:rPr>
              <w:t>地表沉陷</w:t>
            </w:r>
          </w:p>
        </w:tc>
        <w:tc>
          <w:tcPr>
            <w:tcW w:w="0" w:type="auto"/>
            <w:vAlign w:val="center"/>
            <w:hideMark/>
          </w:tcPr>
          <w:p w14:paraId="12C3650B" w14:textId="77777777" w:rsidR="006C6CB7" w:rsidRPr="006C6CB7" w:rsidRDefault="006C6CB7" w:rsidP="006C6CB7">
            <w:pPr>
              <w:spacing w:beforeLines="0" w:before="0" w:afterLines="0" w:after="0"/>
              <w:jc w:val="center"/>
              <w:rPr>
                <w:rFonts w:eastAsia="宋体"/>
                <w:sz w:val="18"/>
              </w:rPr>
            </w:pPr>
            <w:r w:rsidRPr="006C6CB7">
              <w:rPr>
                <w:rFonts w:eastAsia="宋体"/>
                <w:sz w:val="18"/>
              </w:rPr>
              <w:t>地表移动与沉陷风险</w:t>
            </w:r>
          </w:p>
        </w:tc>
        <w:tc>
          <w:tcPr>
            <w:tcW w:w="0" w:type="auto"/>
            <w:vAlign w:val="center"/>
            <w:hideMark/>
          </w:tcPr>
          <w:p w14:paraId="6D081E8D" w14:textId="77777777" w:rsidR="006C6CB7" w:rsidRPr="006C6CB7" w:rsidRDefault="006C6CB7" w:rsidP="006C6CB7">
            <w:pPr>
              <w:spacing w:beforeLines="0" w:before="0" w:afterLines="0" w:after="0"/>
              <w:jc w:val="center"/>
              <w:rPr>
                <w:rFonts w:eastAsia="宋体"/>
                <w:sz w:val="18"/>
              </w:rPr>
            </w:pPr>
            <w:r w:rsidRPr="006C6CB7">
              <w:rPr>
                <w:rFonts w:eastAsia="宋体"/>
                <w:sz w:val="18"/>
              </w:rPr>
              <w:t>沉陷预测结果、地表保护约束</w:t>
            </w:r>
          </w:p>
        </w:tc>
        <w:tc>
          <w:tcPr>
            <w:tcW w:w="0" w:type="auto"/>
            <w:vAlign w:val="center"/>
            <w:hideMark/>
          </w:tcPr>
          <w:p w14:paraId="6B88F2F8" w14:textId="77777777" w:rsidR="006C6CB7" w:rsidRPr="006C6CB7" w:rsidRDefault="006C6CB7" w:rsidP="006C6CB7">
            <w:pPr>
              <w:spacing w:beforeLines="0" w:before="0" w:afterLines="0" w:after="0"/>
              <w:jc w:val="center"/>
              <w:rPr>
                <w:rFonts w:eastAsia="宋体"/>
                <w:sz w:val="18"/>
              </w:rPr>
            </w:pPr>
            <w:r w:rsidRPr="006C6CB7">
              <w:rPr>
                <w:rFonts w:eastAsia="宋体"/>
                <w:sz w:val="18"/>
              </w:rPr>
              <w:t>约束工作面布局范围与高敏感区避让</w:t>
            </w:r>
          </w:p>
        </w:tc>
      </w:tr>
      <w:tr w:rsidR="006C6CB7" w:rsidRPr="006C6CB7" w14:paraId="1530514C" w14:textId="77777777" w:rsidTr="006C6CB7">
        <w:trPr>
          <w:tblCellSpacing w:w="15" w:type="dxa"/>
          <w:jc w:val="center"/>
        </w:trPr>
        <w:tc>
          <w:tcPr>
            <w:tcW w:w="0" w:type="auto"/>
            <w:vAlign w:val="center"/>
            <w:hideMark/>
          </w:tcPr>
          <w:p w14:paraId="0128AE20" w14:textId="77777777" w:rsidR="006C6CB7" w:rsidRPr="006C6CB7" w:rsidRDefault="006C6CB7" w:rsidP="006C6CB7">
            <w:pPr>
              <w:spacing w:beforeLines="0" w:before="0" w:afterLines="0" w:after="0"/>
              <w:jc w:val="center"/>
              <w:rPr>
                <w:rFonts w:eastAsia="宋体"/>
                <w:sz w:val="18"/>
              </w:rPr>
            </w:pPr>
            <w:r w:rsidRPr="006C6CB7">
              <w:rPr>
                <w:rFonts w:eastAsia="宋体"/>
                <w:sz w:val="18"/>
              </w:rPr>
              <w:t>含水层扰动</w:t>
            </w:r>
          </w:p>
        </w:tc>
        <w:tc>
          <w:tcPr>
            <w:tcW w:w="0" w:type="auto"/>
            <w:vAlign w:val="center"/>
            <w:hideMark/>
          </w:tcPr>
          <w:p w14:paraId="10ACB51B" w14:textId="77777777" w:rsidR="006C6CB7" w:rsidRPr="006C6CB7" w:rsidRDefault="006C6CB7" w:rsidP="006C6CB7">
            <w:pPr>
              <w:spacing w:beforeLines="0" w:before="0" w:afterLines="0" w:after="0"/>
              <w:jc w:val="center"/>
              <w:rPr>
                <w:rFonts w:eastAsia="宋体"/>
                <w:sz w:val="18"/>
              </w:rPr>
            </w:pPr>
            <w:r w:rsidRPr="006C6CB7">
              <w:rPr>
                <w:rFonts w:eastAsia="宋体"/>
                <w:sz w:val="18"/>
              </w:rPr>
              <w:t>导水裂隙带与含水层受扰风险</w:t>
            </w:r>
          </w:p>
        </w:tc>
        <w:tc>
          <w:tcPr>
            <w:tcW w:w="0" w:type="auto"/>
            <w:vAlign w:val="center"/>
            <w:hideMark/>
          </w:tcPr>
          <w:p w14:paraId="4CAC781E" w14:textId="77777777" w:rsidR="006C6CB7" w:rsidRPr="006C6CB7" w:rsidRDefault="006C6CB7" w:rsidP="006C6CB7">
            <w:pPr>
              <w:spacing w:beforeLines="0" w:before="0" w:afterLines="0" w:after="0"/>
              <w:jc w:val="center"/>
              <w:rPr>
                <w:rFonts w:eastAsia="宋体"/>
                <w:sz w:val="18"/>
              </w:rPr>
            </w:pPr>
            <w:r w:rsidRPr="006C6CB7">
              <w:rPr>
                <w:rFonts w:eastAsia="宋体"/>
                <w:sz w:val="18"/>
              </w:rPr>
              <w:t>导水裂隙带高度、含水层敏感性、隔水层条件</w:t>
            </w:r>
          </w:p>
        </w:tc>
        <w:tc>
          <w:tcPr>
            <w:tcW w:w="0" w:type="auto"/>
            <w:vAlign w:val="center"/>
            <w:hideMark/>
          </w:tcPr>
          <w:p w14:paraId="0F88FBCB" w14:textId="77777777" w:rsidR="006C6CB7" w:rsidRPr="006C6CB7" w:rsidRDefault="006C6CB7" w:rsidP="006C6CB7">
            <w:pPr>
              <w:spacing w:beforeLines="0" w:before="0" w:afterLines="0" w:after="0"/>
              <w:jc w:val="center"/>
              <w:rPr>
                <w:rFonts w:eastAsia="宋体"/>
                <w:sz w:val="18"/>
              </w:rPr>
            </w:pPr>
            <w:r w:rsidRPr="006C6CB7">
              <w:rPr>
                <w:rFonts w:eastAsia="宋体"/>
                <w:sz w:val="18"/>
              </w:rPr>
              <w:t>参与风险筛选与含水层敏感区避让</w:t>
            </w:r>
          </w:p>
        </w:tc>
      </w:tr>
      <w:tr w:rsidR="006C6CB7" w:rsidRPr="006C6CB7" w14:paraId="0D31C6B9" w14:textId="77777777" w:rsidTr="006C6CB7">
        <w:trPr>
          <w:tblCellSpacing w:w="15" w:type="dxa"/>
          <w:jc w:val="center"/>
        </w:trPr>
        <w:tc>
          <w:tcPr>
            <w:tcW w:w="0" w:type="auto"/>
            <w:vAlign w:val="center"/>
            <w:hideMark/>
          </w:tcPr>
          <w:p w14:paraId="79AB8D13" w14:textId="77777777" w:rsidR="006C6CB7" w:rsidRPr="006C6CB7" w:rsidRDefault="006C6CB7" w:rsidP="006C6CB7">
            <w:pPr>
              <w:spacing w:beforeLines="0" w:before="0" w:afterLines="0" w:after="0"/>
              <w:jc w:val="center"/>
              <w:rPr>
                <w:rFonts w:eastAsia="宋体"/>
                <w:sz w:val="18"/>
              </w:rPr>
            </w:pPr>
            <w:r w:rsidRPr="006C6CB7">
              <w:rPr>
                <w:rFonts w:eastAsia="宋体"/>
                <w:sz w:val="18"/>
              </w:rPr>
              <w:t>上行开采</w:t>
            </w:r>
          </w:p>
        </w:tc>
        <w:tc>
          <w:tcPr>
            <w:tcW w:w="0" w:type="auto"/>
            <w:vAlign w:val="center"/>
            <w:hideMark/>
          </w:tcPr>
          <w:p w14:paraId="45500225" w14:textId="77777777" w:rsidR="006C6CB7" w:rsidRPr="006C6CB7" w:rsidRDefault="006C6CB7" w:rsidP="006C6CB7">
            <w:pPr>
              <w:spacing w:beforeLines="0" w:before="0" w:afterLines="0" w:after="0"/>
              <w:jc w:val="center"/>
              <w:rPr>
                <w:rFonts w:eastAsia="宋体"/>
                <w:sz w:val="18"/>
              </w:rPr>
            </w:pPr>
            <w:r w:rsidRPr="006C6CB7">
              <w:rPr>
                <w:rFonts w:eastAsia="宋体"/>
                <w:sz w:val="18"/>
              </w:rPr>
              <w:t>上覆岩层再扰动与安全边界</w:t>
            </w:r>
          </w:p>
        </w:tc>
        <w:tc>
          <w:tcPr>
            <w:tcW w:w="0" w:type="auto"/>
            <w:vAlign w:val="center"/>
            <w:hideMark/>
          </w:tcPr>
          <w:p w14:paraId="296F232E" w14:textId="77777777" w:rsidR="006C6CB7" w:rsidRPr="006C6CB7" w:rsidRDefault="006C6CB7" w:rsidP="006C6CB7">
            <w:pPr>
              <w:spacing w:beforeLines="0" w:before="0" w:afterLines="0" w:after="0"/>
              <w:jc w:val="center"/>
              <w:rPr>
                <w:rFonts w:eastAsia="宋体"/>
                <w:sz w:val="18"/>
              </w:rPr>
            </w:pPr>
            <w:r w:rsidRPr="006C6CB7">
              <w:rPr>
                <w:rFonts w:eastAsia="宋体"/>
                <w:sz w:val="18"/>
              </w:rPr>
              <w:t>采动应力、</w:t>
            </w:r>
            <w:proofErr w:type="gramStart"/>
            <w:r w:rsidRPr="006C6CB7">
              <w:rPr>
                <w:rFonts w:eastAsia="宋体"/>
                <w:sz w:val="18"/>
              </w:rPr>
              <w:t>覆岩破坏</w:t>
            </w:r>
            <w:proofErr w:type="gramEnd"/>
            <w:r w:rsidRPr="006C6CB7">
              <w:rPr>
                <w:rFonts w:eastAsia="宋体"/>
                <w:sz w:val="18"/>
              </w:rPr>
              <w:t>特征、上行开采条件</w:t>
            </w:r>
          </w:p>
        </w:tc>
        <w:tc>
          <w:tcPr>
            <w:tcW w:w="0" w:type="auto"/>
            <w:vAlign w:val="center"/>
            <w:hideMark/>
          </w:tcPr>
          <w:p w14:paraId="27A5581B" w14:textId="77777777" w:rsidR="006C6CB7" w:rsidRPr="006C6CB7" w:rsidRDefault="006C6CB7" w:rsidP="006C6CB7">
            <w:pPr>
              <w:spacing w:beforeLines="0" w:before="0" w:afterLines="0" w:after="0"/>
              <w:jc w:val="center"/>
              <w:rPr>
                <w:rFonts w:eastAsia="宋体"/>
                <w:sz w:val="18"/>
              </w:rPr>
            </w:pPr>
            <w:r w:rsidRPr="006C6CB7">
              <w:rPr>
                <w:rFonts w:eastAsia="宋体"/>
                <w:sz w:val="18"/>
              </w:rPr>
              <w:t>支撑上行开采可行性评价与约束表达</w:t>
            </w:r>
          </w:p>
        </w:tc>
      </w:tr>
      <w:tr w:rsidR="006C6CB7" w:rsidRPr="006C6CB7" w14:paraId="75E4164F" w14:textId="77777777" w:rsidTr="006C6CB7">
        <w:trPr>
          <w:tblCellSpacing w:w="15" w:type="dxa"/>
          <w:jc w:val="center"/>
        </w:trPr>
        <w:tc>
          <w:tcPr>
            <w:tcW w:w="0" w:type="auto"/>
            <w:vAlign w:val="center"/>
            <w:hideMark/>
          </w:tcPr>
          <w:p w14:paraId="49A1628D" w14:textId="77777777" w:rsidR="006C6CB7" w:rsidRPr="006C6CB7" w:rsidRDefault="006C6CB7" w:rsidP="006C6CB7">
            <w:pPr>
              <w:spacing w:beforeLines="0" w:before="0" w:afterLines="0" w:after="0"/>
              <w:jc w:val="center"/>
              <w:rPr>
                <w:rFonts w:eastAsia="宋体"/>
                <w:sz w:val="18"/>
              </w:rPr>
            </w:pPr>
            <w:proofErr w:type="gramStart"/>
            <w:r w:rsidRPr="006C6CB7">
              <w:rPr>
                <w:rFonts w:eastAsia="宋体"/>
                <w:sz w:val="18"/>
              </w:rPr>
              <w:t>综合覆岩扰动</w:t>
            </w:r>
            <w:proofErr w:type="gramEnd"/>
          </w:p>
        </w:tc>
        <w:tc>
          <w:tcPr>
            <w:tcW w:w="0" w:type="auto"/>
            <w:vAlign w:val="center"/>
            <w:hideMark/>
          </w:tcPr>
          <w:p w14:paraId="4F4E8FAB" w14:textId="77777777" w:rsidR="006C6CB7" w:rsidRPr="006C6CB7" w:rsidRDefault="006C6CB7" w:rsidP="006C6CB7">
            <w:pPr>
              <w:spacing w:beforeLines="0" w:before="0" w:afterLines="0" w:after="0"/>
              <w:jc w:val="center"/>
              <w:rPr>
                <w:rFonts w:eastAsia="宋体"/>
                <w:sz w:val="18"/>
              </w:rPr>
            </w:pPr>
            <w:r w:rsidRPr="006C6CB7">
              <w:rPr>
                <w:rFonts w:eastAsia="宋体"/>
                <w:sz w:val="18"/>
              </w:rPr>
              <w:t>多场景叠加扰动</w:t>
            </w:r>
          </w:p>
        </w:tc>
        <w:tc>
          <w:tcPr>
            <w:tcW w:w="0" w:type="auto"/>
            <w:vAlign w:val="center"/>
            <w:hideMark/>
          </w:tcPr>
          <w:p w14:paraId="13EA61CC" w14:textId="77777777" w:rsidR="006C6CB7" w:rsidRPr="006C6CB7" w:rsidRDefault="006C6CB7" w:rsidP="006C6CB7">
            <w:pPr>
              <w:spacing w:beforeLines="0" w:before="0" w:afterLines="0" w:after="0"/>
              <w:jc w:val="center"/>
              <w:rPr>
                <w:rFonts w:eastAsia="宋体"/>
                <w:sz w:val="18"/>
              </w:rPr>
            </w:pPr>
            <w:r w:rsidRPr="006C6CB7">
              <w:rPr>
                <w:rFonts w:eastAsia="宋体"/>
                <w:sz w:val="18"/>
              </w:rPr>
              <w:t>多场景风险归一化与加权组织结果</w:t>
            </w:r>
          </w:p>
        </w:tc>
        <w:tc>
          <w:tcPr>
            <w:tcW w:w="0" w:type="auto"/>
            <w:vAlign w:val="center"/>
            <w:hideMark/>
          </w:tcPr>
          <w:p w14:paraId="21B69E50" w14:textId="77777777" w:rsidR="006C6CB7" w:rsidRPr="006C6CB7" w:rsidRDefault="006C6CB7" w:rsidP="006C6CB7">
            <w:pPr>
              <w:spacing w:beforeLines="0" w:before="0" w:afterLines="0" w:after="0"/>
              <w:jc w:val="center"/>
              <w:rPr>
                <w:rFonts w:eastAsia="宋体"/>
                <w:sz w:val="18"/>
              </w:rPr>
            </w:pPr>
            <w:r w:rsidRPr="006C6CB7">
              <w:rPr>
                <w:rFonts w:eastAsia="宋体"/>
                <w:sz w:val="18"/>
              </w:rPr>
              <w:t>形成统一</w:t>
            </w:r>
            <w:proofErr w:type="gramStart"/>
            <w:r w:rsidRPr="006C6CB7">
              <w:rPr>
                <w:rFonts w:eastAsia="宋体"/>
                <w:sz w:val="18"/>
              </w:rPr>
              <w:t>方案级风险</w:t>
            </w:r>
            <w:proofErr w:type="gramEnd"/>
            <w:r w:rsidRPr="006C6CB7">
              <w:rPr>
                <w:rFonts w:eastAsia="宋体"/>
                <w:sz w:val="18"/>
              </w:rPr>
              <w:t>统计指标</w:t>
            </w:r>
          </w:p>
        </w:tc>
      </w:tr>
    </w:tbl>
    <w:p w14:paraId="24AB957F" w14:textId="75546966" w:rsidR="00351EC4" w:rsidRPr="00351EC4" w:rsidRDefault="00351EC4" w:rsidP="00351EC4">
      <w:pPr>
        <w:pStyle w:val="12"/>
      </w:pPr>
      <w:r w:rsidRPr="00351EC4">
        <w:t xml:space="preserve">1.2 </w:t>
      </w:r>
      <w:r w:rsidR="00644E0C" w:rsidRPr="00644E0C">
        <w:rPr>
          <w:rFonts w:hint="eastAsia"/>
        </w:rPr>
        <w:t>有效布置</w:t>
      </w:r>
      <w:proofErr w:type="gramStart"/>
      <w:r w:rsidR="00644E0C" w:rsidRPr="00644E0C">
        <w:rPr>
          <w:rFonts w:hint="eastAsia"/>
        </w:rPr>
        <w:t>域与连续参数场</w:t>
      </w:r>
      <w:proofErr w:type="gramEnd"/>
      <w:r w:rsidR="00644E0C" w:rsidRPr="00644E0C">
        <w:rPr>
          <w:rFonts w:hint="eastAsia"/>
        </w:rPr>
        <w:t>构建</w:t>
      </w:r>
    </w:p>
    <w:p w14:paraId="6592FE67" w14:textId="082FBDE1" w:rsidR="00351EC4" w:rsidRDefault="00644E0C" w:rsidP="00351EC4">
      <w:pPr>
        <w:pStyle w:val="100"/>
        <w:ind w:firstLine="420"/>
      </w:pPr>
      <w:r w:rsidRPr="00644E0C">
        <w:rPr>
          <w:rFonts w:hint="eastAsia"/>
        </w:rPr>
        <w:t>采区规划首先面临输入对象异构问题。采区边界属于几何约束对象，钻孔样点反映离散地质采样信息，分层资料和设计参数则体现工程规则与布置要求。若这些</w:t>
      </w:r>
      <w:proofErr w:type="gramStart"/>
      <w:r w:rsidRPr="00644E0C">
        <w:rPr>
          <w:rFonts w:hint="eastAsia"/>
        </w:rPr>
        <w:t>输入仍</w:t>
      </w:r>
      <w:proofErr w:type="gramEnd"/>
      <w:r w:rsidRPr="00644E0C">
        <w:rPr>
          <w:rFonts w:hint="eastAsia"/>
        </w:rPr>
        <w:t>停留在各自独立的数据形态中，则难以直接进入统一的规划求解过程。因此，在候选方案生成之前，需要先完成两项基础工作：一是将边界、煤柱与保护距离等约束组织为可布置的有效空间范围；二是将钻孔等离散地质信息转换为能够参与布局比较的连续参数场。前者决定“哪里可以布置”，后者回答“不同位置具有什么资源与约束属性”，两者共同构成后续采区规划的基础底图</w:t>
      </w:r>
      <w:r w:rsidR="00351EC4" w:rsidRPr="00351EC4">
        <w:t>。</w:t>
      </w:r>
      <w:r w:rsidR="009F1274" w:rsidRPr="009F1274">
        <w:rPr>
          <w:rFonts w:hint="eastAsia"/>
        </w:rPr>
        <w:t>为清晰说明采区规划中基础输入、参数体系构建及规划输出之间的组织关系，本文将输入对象与求解过程统一表示为参数体系构建流程，如</w:t>
      </w:r>
      <w:r w:rsidR="00ED29A2">
        <w:fldChar w:fldCharType="begin"/>
      </w:r>
      <w:r w:rsidR="00ED29A2">
        <w:instrText xml:space="preserve"> </w:instrText>
      </w:r>
      <w:r w:rsidR="00ED29A2">
        <w:rPr>
          <w:rFonts w:hint="eastAsia"/>
        </w:rPr>
        <w:instrText>REF _Ref227761656 \h</w:instrText>
      </w:r>
      <w:r w:rsidR="00ED29A2">
        <w:instrText xml:space="preserve"> </w:instrText>
      </w:r>
      <w:r w:rsidR="00ED29A2">
        <w:fldChar w:fldCharType="separate"/>
      </w:r>
      <w:r w:rsidR="006B4B0A">
        <w:rPr>
          <w:rFonts w:hint="eastAsia"/>
        </w:rPr>
        <w:t>图</w:t>
      </w:r>
      <w:r w:rsidR="006B4B0A">
        <w:rPr>
          <w:noProof/>
        </w:rPr>
        <w:t>4</w:t>
      </w:r>
      <w:r w:rsidR="00ED29A2">
        <w:fldChar w:fldCharType="end"/>
      </w:r>
      <w:r w:rsidR="009F1274" w:rsidRPr="009F1274">
        <w:rPr>
          <w:rFonts w:hint="eastAsia"/>
        </w:rPr>
        <w:t>所示</w:t>
      </w:r>
      <w:r w:rsidR="009F1274">
        <w:rPr>
          <w:rFonts w:hint="eastAsia"/>
        </w:rPr>
        <w:t>：</w:t>
      </w:r>
      <w:r w:rsidR="009F1274" w:rsidRPr="009F1274">
        <w:rPr>
          <w:rFonts w:hint="eastAsia"/>
        </w:rPr>
        <w:t>采区边界、钻孔样点、地质参数及规划控制参数首先被统一组织为规划基础输入，随后通过空间约束处理、</w:t>
      </w:r>
      <w:proofErr w:type="gramStart"/>
      <w:r w:rsidR="009F1274" w:rsidRPr="009F1274">
        <w:rPr>
          <w:rFonts w:hint="eastAsia"/>
        </w:rPr>
        <w:t>参数场</w:t>
      </w:r>
      <w:proofErr w:type="gramEnd"/>
      <w:r w:rsidR="009F1274" w:rsidRPr="009F1274">
        <w:rPr>
          <w:rFonts w:hint="eastAsia"/>
        </w:rPr>
        <w:t>构建和方案生成规则转换为可计算的规划对象，并进一步支撑有效布置域构建、连续</w:t>
      </w:r>
      <w:proofErr w:type="gramStart"/>
      <w:r w:rsidR="009F1274" w:rsidRPr="009F1274">
        <w:rPr>
          <w:rFonts w:hint="eastAsia"/>
        </w:rPr>
        <w:t>参数场表达</w:t>
      </w:r>
      <w:proofErr w:type="gramEnd"/>
      <w:r w:rsidR="009F1274" w:rsidRPr="009F1274">
        <w:rPr>
          <w:rFonts w:hint="eastAsia"/>
        </w:rPr>
        <w:t>和后续候选方案生成。</w:t>
      </w:r>
    </w:p>
    <w:p w14:paraId="64E98886" w14:textId="77777777" w:rsidR="009F1274" w:rsidRDefault="009F1274" w:rsidP="009F1274">
      <w:pPr>
        <w:pStyle w:val="100"/>
        <w:ind w:firstLineChars="0" w:firstLine="0"/>
        <w:sectPr w:rsidR="009F1274" w:rsidSect="00AD42AB">
          <w:type w:val="continuous"/>
          <w:pgSz w:w="11906" w:h="16838"/>
          <w:pgMar w:top="1418" w:right="1134" w:bottom="1134" w:left="1134" w:header="1418" w:footer="0" w:gutter="0"/>
          <w:cols w:num="2" w:space="720"/>
          <w:docGrid w:linePitch="312"/>
        </w:sectPr>
      </w:pPr>
    </w:p>
    <w:p w14:paraId="01D34CE3" w14:textId="2D649507" w:rsidR="009F1274" w:rsidRDefault="009F1274" w:rsidP="009F1274">
      <w:pPr>
        <w:pStyle w:val="100"/>
        <w:ind w:firstLineChars="0" w:firstLine="0"/>
        <w:jc w:val="center"/>
      </w:pPr>
      <w:r w:rsidRPr="00F467F9">
        <w:rPr>
          <w:noProof/>
        </w:rPr>
        <w:lastRenderedPageBreak/>
        <w:drawing>
          <wp:inline distT="0" distB="0" distL="0" distR="0" wp14:anchorId="06B5EE49" wp14:editId="72E1FDFE">
            <wp:extent cx="5778000" cy="3181833"/>
            <wp:effectExtent l="0" t="0" r="0"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78000" cy="3181833"/>
                    </a:xfrm>
                    <a:prstGeom prst="rect">
                      <a:avLst/>
                    </a:prstGeom>
                    <a:noFill/>
                    <a:ln>
                      <a:noFill/>
                    </a:ln>
                  </pic:spPr>
                </pic:pic>
              </a:graphicData>
            </a:graphic>
          </wp:inline>
        </w:drawing>
      </w:r>
    </w:p>
    <w:p w14:paraId="4E57BF6F" w14:textId="13EB420D" w:rsidR="009F1274" w:rsidRDefault="009F1274" w:rsidP="009F1274">
      <w:pPr>
        <w:pStyle w:val="14"/>
      </w:pPr>
      <w:bookmarkStart w:id="5" w:name="_Ref227761656"/>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717C8">
        <w:rPr>
          <w:noProof/>
        </w:rPr>
        <w:t>4</w:t>
      </w:r>
      <w:r>
        <w:fldChar w:fldCharType="end"/>
      </w:r>
      <w:bookmarkEnd w:id="5"/>
      <w:r>
        <w:rPr>
          <w:rFonts w:hint="eastAsia"/>
        </w:rPr>
        <w:t xml:space="preserve"> </w:t>
      </w:r>
      <w:r w:rsidRPr="009F1274">
        <w:t>采区规划输入组织与参数体系构建流程图</w:t>
      </w:r>
    </w:p>
    <w:p w14:paraId="58C91414" w14:textId="2CBD89B1" w:rsidR="009F1274" w:rsidRPr="009F1274" w:rsidRDefault="009F1274" w:rsidP="009F1274">
      <w:pPr>
        <w:pStyle w:val="14"/>
      </w:pPr>
      <w:r w:rsidRPr="009F1274">
        <w:t>Fig.</w:t>
      </w:r>
      <w:r w:rsidR="00ED29A2">
        <w:fldChar w:fldCharType="begin"/>
      </w:r>
      <w:r w:rsidR="00ED29A2">
        <w:instrText xml:space="preserve"> REF _Ref227761656 \h </w:instrText>
      </w:r>
      <w:r w:rsidR="00ED29A2">
        <w:fldChar w:fldCharType="separate"/>
      </w:r>
      <w:r w:rsidR="006B4B0A">
        <w:rPr>
          <w:noProof/>
        </w:rPr>
        <w:t>4</w:t>
      </w:r>
      <w:r w:rsidR="00ED29A2">
        <w:fldChar w:fldCharType="end"/>
      </w:r>
      <w:r w:rsidRPr="009F1274">
        <w:t xml:space="preserve"> Workflow of input organization and parameter system construction for mining district planning</w:t>
      </w:r>
    </w:p>
    <w:p w14:paraId="6E276B32" w14:textId="77777777" w:rsidR="009F1274" w:rsidRDefault="009F1274" w:rsidP="00644E0C">
      <w:pPr>
        <w:pStyle w:val="130"/>
        <w:sectPr w:rsidR="009F1274" w:rsidSect="002711E2">
          <w:type w:val="continuous"/>
          <w:pgSz w:w="11906" w:h="16838"/>
          <w:pgMar w:top="1418" w:right="1134" w:bottom="1134" w:left="1134" w:header="720" w:footer="720" w:gutter="0"/>
          <w:cols w:space="720"/>
          <w:docGrid w:linePitch="598"/>
        </w:sectPr>
      </w:pPr>
    </w:p>
    <w:p w14:paraId="1837C118" w14:textId="2DF77110" w:rsidR="00644E0C" w:rsidRDefault="00644E0C" w:rsidP="00644E0C">
      <w:pPr>
        <w:pStyle w:val="130"/>
      </w:pPr>
      <w:r w:rsidRPr="00644E0C">
        <w:t xml:space="preserve">1.2.1 </w:t>
      </w:r>
      <w:r w:rsidRPr="00644E0C">
        <w:t>有效布置域构建</w:t>
      </w:r>
    </w:p>
    <w:p w14:paraId="5336AA61" w14:textId="2CF92C16" w:rsidR="00351EC4" w:rsidRDefault="00644E0C" w:rsidP="00644E0C">
      <w:pPr>
        <w:pStyle w:val="100"/>
        <w:ind w:firstLine="420"/>
      </w:pPr>
      <w:r w:rsidRPr="00644E0C">
        <w:rPr>
          <w:rFonts w:hint="eastAsia"/>
        </w:rPr>
        <w:t>原始采区边界并不能直接作为工作面布置边界使用。实际规划过程中，边界煤柱、区段煤柱以及局部保护对象等约束均会压缩可布置空间，并对工作面走向、宽度组合及连接关系产生影响。为此，本文在原始边界基础上叠加边界煤柱约束、区段煤柱约束和局部保护距离约束，通过缓冲内缩和几何合法性处理构建有效布置域。其本质是从原始采区边界中剔除不满足安全隔离、保护要求或几何可实施性的区域，从而获得后续候选方案生成的合法空间。</w:t>
      </w:r>
    </w:p>
    <w:p w14:paraId="6A06E88D" w14:textId="510EBABD" w:rsidR="00053560" w:rsidRDefault="00053560" w:rsidP="00644E0C">
      <w:pPr>
        <w:pStyle w:val="100"/>
        <w:ind w:firstLine="420"/>
      </w:pPr>
      <w:r w:rsidRPr="00053560">
        <w:t>设原始采区边界为</w:t>
      </w:r>
      <w:r w:rsidRPr="00053560">
        <w:t xml:space="preserve"> </w:t>
      </w:r>
      <m:oMath>
        <m:r>
          <w:rPr>
            <w:rFonts w:ascii="Cambria Math" w:hAnsi="Cambria Math"/>
          </w:rPr>
          <m:t>B</m:t>
        </m:r>
      </m:oMath>
      <w:r w:rsidRPr="00053560">
        <w:t>，边界煤柱、区段煤柱和局部保护对象对应的约束距离分别为</w:t>
      </w:r>
      <w:r w:rsidRPr="00053560">
        <w:t xml:space="preserve"> </w:t>
      </w:r>
      <m:oMath>
        <m:sSub>
          <m:sSubPr>
            <m:ctrlPr>
              <w:rPr>
                <w:rFonts w:ascii="Cambria Math" w:hAnsi="Cambria Math"/>
              </w:rPr>
            </m:ctrlPr>
          </m:sSubPr>
          <m:e>
            <m:r>
              <w:rPr>
                <w:rFonts w:ascii="Cambria Math" w:hAnsi="Cambria Math"/>
              </w:rPr>
              <m:t>d</m:t>
            </m:r>
          </m:e>
          <m:sub>
            <m:r>
              <w:rPr>
                <w:rFonts w:ascii="Cambria Math" w:hAnsi="Cambria Math"/>
              </w:rPr>
              <m:t>b</m:t>
            </m:r>
          </m:sub>
        </m:sSub>
      </m:oMath>
      <w:r w:rsidRPr="00053560">
        <w:t>、</w:t>
      </w:r>
      <m:oMath>
        <m:sSub>
          <m:sSubPr>
            <m:ctrlPr>
              <w:rPr>
                <w:rFonts w:ascii="Cambria Math" w:hAnsi="Cambria Math"/>
              </w:rPr>
            </m:ctrlPr>
          </m:sSubPr>
          <m:e>
            <m:r>
              <w:rPr>
                <w:rFonts w:ascii="Cambria Math" w:hAnsi="Cambria Math"/>
              </w:rPr>
              <m:t>d</m:t>
            </m:r>
          </m:e>
          <m:sub>
            <m:r>
              <w:rPr>
                <w:rFonts w:ascii="Cambria Math" w:hAnsi="Cambria Math"/>
              </w:rPr>
              <m:t>c</m:t>
            </m:r>
          </m:sub>
        </m:sSub>
      </m:oMath>
      <w:r w:rsidRPr="00053560">
        <w:t xml:space="preserve"> </w:t>
      </w:r>
      <w:r w:rsidRPr="00053560">
        <w:t>和</w:t>
      </w:r>
      <w:r w:rsidRPr="00053560">
        <w:t xml:space="preserve"> </w:t>
      </w:r>
      <m:oMath>
        <m:sSub>
          <m:sSubPr>
            <m:ctrlPr>
              <w:rPr>
                <w:rFonts w:ascii="Cambria Math" w:hAnsi="Cambria Math"/>
              </w:rPr>
            </m:ctrlPr>
          </m:sSubPr>
          <m:e>
            <m:r>
              <w:rPr>
                <w:rFonts w:ascii="Cambria Math" w:hAnsi="Cambria Math"/>
              </w:rPr>
              <m:t>d</m:t>
            </m:r>
          </m:e>
          <m:sub>
            <m:r>
              <w:rPr>
                <w:rFonts w:ascii="Cambria Math" w:hAnsi="Cambria Math"/>
              </w:rPr>
              <m:t>p</m:t>
            </m:r>
          </m:sub>
        </m:sSub>
      </m:oMath>
      <w:r w:rsidRPr="00053560">
        <w:t>，则有效</w:t>
      </w:r>
      <w:proofErr w:type="gramStart"/>
      <w:r w:rsidRPr="00053560">
        <w:t>布置域可理解</w:t>
      </w:r>
      <w:proofErr w:type="gramEnd"/>
      <w:r w:rsidRPr="00053560">
        <w:t>为对原始边界进行</w:t>
      </w:r>
      <w:proofErr w:type="gramStart"/>
      <w:r w:rsidRPr="00053560">
        <w:t>逐级内</w:t>
      </w:r>
      <w:proofErr w:type="gramEnd"/>
      <w:r w:rsidRPr="00053560">
        <w:t>缩和约束裁剪后保留下来的主可布置区域。若约束处理后出现多个离散连通域或局部狭长畸变区域，则优先保留主连通区域，并在不突破煤柱底线约束的前提下进行必要的几何修整，以保证后续工作面布置具有可解性和工程合理性。经过这一处理后，原始边界被转化为带有明确工程意义的有效布置域，候选方案的空间生成、工作面切分及推进方向组合均在该域内完成。</w:t>
      </w:r>
    </w:p>
    <w:p w14:paraId="5E6272F9" w14:textId="57ADA44B" w:rsidR="00053560" w:rsidRDefault="00053560" w:rsidP="00644E0C">
      <w:pPr>
        <w:pStyle w:val="100"/>
        <w:ind w:firstLine="420"/>
      </w:pPr>
      <w:r w:rsidRPr="00053560">
        <w:t>与传统仅将边界作为绘图轮廓的处理方式不同，本文将有效布置域视为规划求解的第一层硬约束。也就是说，任何候选方案均必须首先满足</w:t>
      </w:r>
      <w:r w:rsidRPr="00053560">
        <w:t>“</w:t>
      </w:r>
      <w:proofErr w:type="gramStart"/>
      <w:r w:rsidRPr="00053560">
        <w:t>不</w:t>
      </w:r>
      <w:proofErr w:type="gramEnd"/>
      <w:r w:rsidRPr="00053560">
        <w:t>越界、煤柱充足、几何可实施</w:t>
      </w:r>
      <w:r w:rsidRPr="00053560">
        <w:t>”</w:t>
      </w:r>
      <w:r w:rsidRPr="00053560">
        <w:t>这一底线条件；只有在此基础上，才有必要进一步比较资源覆盖、</w:t>
      </w:r>
      <w:r w:rsidRPr="00053560">
        <w:t>工程效率和扰动风险。这样处理可以避免将明显不具备工程可行性的几何组合带入后续排序过程，从而提高方案生成效率，并增强不同方案之间的比较一致性。</w:t>
      </w:r>
    </w:p>
    <w:p w14:paraId="41115A7E" w14:textId="77777777" w:rsidR="00053560" w:rsidRPr="00053560" w:rsidRDefault="00053560" w:rsidP="00053560">
      <w:pPr>
        <w:pStyle w:val="130"/>
      </w:pPr>
      <w:r w:rsidRPr="00053560">
        <w:t xml:space="preserve">1.2.2 </w:t>
      </w:r>
      <w:r w:rsidRPr="00053560">
        <w:t>连续</w:t>
      </w:r>
      <w:proofErr w:type="gramStart"/>
      <w:r w:rsidRPr="00053560">
        <w:t>参数场</w:t>
      </w:r>
      <w:proofErr w:type="gramEnd"/>
      <w:r w:rsidRPr="00053560">
        <w:t>构建</w:t>
      </w:r>
    </w:p>
    <w:p w14:paraId="51C96F1C" w14:textId="70A02A46" w:rsidR="00053560" w:rsidRPr="00053560" w:rsidRDefault="00053560" w:rsidP="00053560">
      <w:pPr>
        <w:pStyle w:val="100"/>
        <w:ind w:firstLine="420"/>
      </w:pPr>
      <w:r w:rsidRPr="00053560">
        <w:t>在完成有效布置域构建后，还需要将离散钻孔样点转化为可与空间布局对象叠加分析的连续参数场。对于采区规划而言，煤层厚度、岩性参数、瓦斯含量、涌水量等属性均可能影响工作面布置与方案优选；但在</w:t>
      </w:r>
      <w:proofErr w:type="gramStart"/>
      <w:r w:rsidRPr="00053560">
        <w:t>当前样</w:t>
      </w:r>
      <w:proofErr w:type="gramEnd"/>
      <w:r w:rsidRPr="00053560">
        <w:t>例中，钻孔数据首先以离散</w:t>
      </w:r>
      <w:proofErr w:type="gramStart"/>
      <w:r w:rsidRPr="00053560">
        <w:t>点形式</w:t>
      </w:r>
      <w:proofErr w:type="gramEnd"/>
      <w:r w:rsidRPr="00053560">
        <w:t>存在，无法直接支持空间比较。因此，本文以统一坐标系下的钻孔样点为基础，对煤层厚度等主要属性进行插值处理，并在边界范围内裁剪，形成连续参数场。</w:t>
      </w:r>
    </w:p>
    <w:p w14:paraId="37B86F1F" w14:textId="14BC3F22" w:rsidR="00053560" w:rsidRPr="00053560" w:rsidRDefault="00053560" w:rsidP="00053560">
      <w:pPr>
        <w:pStyle w:val="100"/>
        <w:ind w:firstLine="420"/>
      </w:pPr>
      <w:r w:rsidRPr="00053560">
        <w:t>设钻孔样点集合为</w:t>
      </w:r>
      <w:r w:rsidRPr="00053560">
        <w:t xml:space="preserve"> </w:t>
      </w:r>
      <m:oMath>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e>
            <m:sSub>
              <m:sSubPr>
                <m:ctrlPr>
                  <w:rPr>
                    <w:rFonts w:ascii="Cambria Math" w:hAnsi="Cambria Math"/>
                  </w:rPr>
                </m:ctrlPr>
              </m:sSubPr>
              <m:e>
                <m:r>
                  <w:rPr>
                    <w:rFonts w:ascii="Cambria Math" w:hAnsi="Cambria Math"/>
                  </w:rPr>
                  <m:t>z</m:t>
                </m:r>
              </m:e>
              <m:sub>
                <m:r>
                  <w:rPr>
                    <w:rFonts w:ascii="Cambria Math" w:hAnsi="Cambria Math"/>
                  </w:rPr>
                  <m:t>i</m:t>
                </m:r>
              </m:sub>
            </m:sSub>
          </m:e>
        </m:d>
      </m:oMath>
      <w:r w:rsidRPr="00053560">
        <w:t>，其中</w:t>
      </w:r>
      <w:r w:rsidRPr="00053560">
        <w:t xml:space="preserve"> </w:t>
      </w:r>
      <m:oMath>
        <m:sSub>
          <m:sSubPr>
            <m:ctrlPr>
              <w:rPr>
                <w:rFonts w:ascii="Cambria Math" w:hAnsi="Cambria Math"/>
              </w:rPr>
            </m:ctrlPr>
          </m:sSubPr>
          <m:e>
            <m:r>
              <w:rPr>
                <w:rFonts w:ascii="Cambria Math" w:hAnsi="Cambria Math"/>
              </w:rPr>
              <m:t>z</m:t>
            </m:r>
          </m:e>
          <m:sub>
            <m:r>
              <w:rPr>
                <w:rFonts w:ascii="Cambria Math" w:hAnsi="Cambria Math"/>
              </w:rPr>
              <m:t>i</m:t>
            </m:r>
          </m:sub>
        </m:sSub>
      </m:oMath>
      <w:r w:rsidRPr="00053560">
        <w:t>为第</w:t>
      </w:r>
      <w:r w:rsidRPr="00053560">
        <w:t xml:space="preserve"> </w:t>
      </w:r>
      <m:oMath>
        <m:r>
          <w:rPr>
            <w:rFonts w:ascii="Cambria Math" w:hAnsi="Cambria Math"/>
          </w:rPr>
          <m:t>i</m:t>
        </m:r>
      </m:oMath>
      <w:proofErr w:type="gramStart"/>
      <w:r w:rsidRPr="00053560">
        <w:t>个</w:t>
      </w:r>
      <w:proofErr w:type="gramEnd"/>
      <w:r w:rsidRPr="00053560">
        <w:t>钻孔处的属性观测值，则规划域内任意位置</w:t>
      </w:r>
      <w:r w:rsidRPr="00053560">
        <w:t xml:space="preserve"> </w:t>
      </w:r>
      <m:oMath>
        <m:r>
          <w:rPr>
            <w:rFonts w:ascii="Cambria Math" w:hAnsi="Cambria Math"/>
          </w:rPr>
          <m:t>x</m:t>
        </m:r>
      </m:oMath>
      <w:r w:rsidRPr="00053560">
        <w:t>处的参数估计值可表示为周边钻孔样点加权贡献的结果。本文采用</w:t>
      </w:r>
      <w:proofErr w:type="gramStart"/>
      <w:r w:rsidRPr="00053560">
        <w:t>反距离</w:t>
      </w:r>
      <w:proofErr w:type="gramEnd"/>
      <w:r w:rsidRPr="00053560">
        <w:t>加权插值方法构建连续参数场，主要考虑到</w:t>
      </w:r>
      <w:proofErr w:type="gramStart"/>
      <w:r w:rsidRPr="00053560">
        <w:t>当前样</w:t>
      </w:r>
      <w:proofErr w:type="gramEnd"/>
      <w:r w:rsidRPr="00053560">
        <w:t>例钻孔数量有限、研究目标是形成规划可用的连续约束底图，而不是在本文中展开不同地质统计插值方法的系统比较。插值前，对钻孔坐标进行统一配准，并对明显异常值进行检查；插值后，再依据有效</w:t>
      </w:r>
      <w:proofErr w:type="gramStart"/>
      <w:r w:rsidRPr="00053560">
        <w:t>布置域对结果</w:t>
      </w:r>
      <w:proofErr w:type="gramEnd"/>
      <w:r w:rsidRPr="00053560">
        <w:t>进行边界裁剪和网格化表达，以保证</w:t>
      </w:r>
      <w:proofErr w:type="gramStart"/>
      <w:r w:rsidRPr="00053560">
        <w:t>参数场</w:t>
      </w:r>
      <w:proofErr w:type="gramEnd"/>
      <w:r w:rsidRPr="00053560">
        <w:t>与规划域、</w:t>
      </w:r>
      <w:proofErr w:type="gramStart"/>
      <w:r w:rsidRPr="00053560">
        <w:t>扰动场</w:t>
      </w:r>
      <w:proofErr w:type="gramEnd"/>
      <w:r w:rsidRPr="00053560">
        <w:t>以及候选方案对象处于同一空间参照下。</w:t>
      </w:r>
    </w:p>
    <w:p w14:paraId="398BCBF5" w14:textId="05523E78" w:rsidR="00053560" w:rsidRPr="00053560" w:rsidRDefault="00053560" w:rsidP="00053560">
      <w:pPr>
        <w:pStyle w:val="100"/>
        <w:ind w:firstLine="420"/>
      </w:pPr>
      <w:r w:rsidRPr="00053560">
        <w:t>连续</w:t>
      </w:r>
      <w:proofErr w:type="gramStart"/>
      <w:r w:rsidRPr="00053560">
        <w:t>参数场进入</w:t>
      </w:r>
      <w:proofErr w:type="gramEnd"/>
      <w:r w:rsidRPr="00053560">
        <w:t>规划后，地质信息不再只是</w:t>
      </w:r>
      <w:r w:rsidRPr="00053560">
        <w:lastRenderedPageBreak/>
        <w:t>背景描述，而是直接参与候选方案比较的空间变量。以煤层厚度场为例，厚度较高区域通常对应更高的资源利用潜力，而厚度较低区域则可在边界调整、煤柱保留或低优先级布置中发挥约束作用。进一步地，当连续</w:t>
      </w:r>
      <w:proofErr w:type="gramStart"/>
      <w:r w:rsidRPr="00053560">
        <w:t>参数场与覆岩扰动场</w:t>
      </w:r>
      <w:proofErr w:type="gramEnd"/>
      <w:r w:rsidRPr="00053560">
        <w:t>叠加后，采区规划能够同时识别</w:t>
      </w:r>
      <w:r w:rsidRPr="00053560">
        <w:t>“</w:t>
      </w:r>
      <w:r w:rsidRPr="00053560">
        <w:t>资源条件较优但扰动较高</w:t>
      </w:r>
      <w:r w:rsidRPr="00053560">
        <w:t>”</w:t>
      </w:r>
      <w:r w:rsidRPr="00053560">
        <w:t>和</w:t>
      </w:r>
      <w:r w:rsidRPr="00053560">
        <w:t>“</w:t>
      </w:r>
      <w:r w:rsidRPr="00053560">
        <w:t>资源条件一般但扰动较低</w:t>
      </w:r>
      <w:r w:rsidRPr="00053560">
        <w:t>”</w:t>
      </w:r>
      <w:r w:rsidRPr="00053560">
        <w:t>等不同空间组合，为候选方案之间的风险</w:t>
      </w:r>
      <w:r w:rsidRPr="00053560">
        <w:t>—</w:t>
      </w:r>
      <w:r w:rsidRPr="00053560">
        <w:t>收益权衡提供基础。由此，离散钻孔样本被转化为可参与规划筛选与排序的连续信息载体。</w:t>
      </w:r>
    </w:p>
    <w:p w14:paraId="431C4BB9" w14:textId="77777777" w:rsidR="00053560" w:rsidRPr="00053560" w:rsidRDefault="00053560" w:rsidP="00053560">
      <w:pPr>
        <w:pStyle w:val="130"/>
      </w:pPr>
      <w:r w:rsidRPr="00053560">
        <w:t xml:space="preserve">1.2.3 </w:t>
      </w:r>
      <w:r w:rsidRPr="00053560">
        <w:t>统一规划输入组织</w:t>
      </w:r>
    </w:p>
    <w:p w14:paraId="2F91CA41" w14:textId="39619BBB" w:rsidR="00053560" w:rsidRPr="00053560" w:rsidRDefault="00053560" w:rsidP="00053560">
      <w:pPr>
        <w:pStyle w:val="100"/>
        <w:ind w:firstLine="420"/>
      </w:pPr>
      <w:r w:rsidRPr="00053560">
        <w:t>经过上述处理，采区规划的基础输入可归纳为</w:t>
      </w:r>
      <w:r w:rsidRPr="00053560">
        <w:t>4</w:t>
      </w:r>
      <w:r w:rsidRPr="00053560">
        <w:t>类：几何边界与有效布置域、钻孔样点及连续参数场、规划控制参数、</w:t>
      </w:r>
      <w:proofErr w:type="gramStart"/>
      <w:r w:rsidRPr="00053560">
        <w:t>覆岩扰动</w:t>
      </w:r>
      <w:proofErr w:type="gramEnd"/>
      <w:r w:rsidRPr="00053560">
        <w:t>约束。其中，几何边界决定候选方案生成的合法空间范围，连续</w:t>
      </w:r>
      <w:proofErr w:type="gramStart"/>
      <w:r w:rsidRPr="00053560">
        <w:t>参数场</w:t>
      </w:r>
      <w:proofErr w:type="gramEnd"/>
      <w:r w:rsidRPr="00053560">
        <w:t>提供资源与地质属性分布，规划控制参数限定工作面宽度、推进方向、煤柱宽度及长度校核条件，</w:t>
      </w:r>
      <w:proofErr w:type="gramStart"/>
      <w:r w:rsidRPr="00053560">
        <w:t>覆岩扰动</w:t>
      </w:r>
      <w:proofErr w:type="gramEnd"/>
      <w:r w:rsidRPr="00053560">
        <w:t>约束则为方案生成与比较提供统一风险口径。四类输入共同作用于同一空间网格、同一边界参照和同</w:t>
      </w:r>
      <w:proofErr w:type="gramStart"/>
      <w:r w:rsidRPr="00053560">
        <w:t>一评价</w:t>
      </w:r>
      <w:proofErr w:type="gramEnd"/>
      <w:r w:rsidRPr="00053560">
        <w:t>框架下，为后续候选方案生成与多目标比选提供了一致的数据基础。</w:t>
      </w:r>
    </w:p>
    <w:p w14:paraId="0708F57C" w14:textId="42EA80F2" w:rsidR="00053560" w:rsidRPr="00053560" w:rsidRDefault="00053560" w:rsidP="00053560">
      <w:pPr>
        <w:pStyle w:val="100"/>
        <w:ind w:firstLine="420"/>
      </w:pPr>
      <w:r w:rsidRPr="00053560">
        <w:t>需要指出的是，本文在样例中重点展示煤层厚度连续</w:t>
      </w:r>
      <w:proofErr w:type="gramStart"/>
      <w:r w:rsidRPr="00053560">
        <w:t>参数场</w:t>
      </w:r>
      <w:proofErr w:type="gramEnd"/>
      <w:r w:rsidRPr="00053560">
        <w:t>及其与有效布置域的耦合关系，</w:t>
      </w:r>
      <w:r w:rsidRPr="00053560">
        <w:t>其他属性则作为同一流程下可扩展输入保留。这种处理并不意味着其他地质属性不重要，而是强调本文的研究重点在于建立</w:t>
      </w:r>
      <w:r w:rsidRPr="00053560">
        <w:t>“</w:t>
      </w:r>
      <w:r w:rsidRPr="00053560">
        <w:t>离散输入</w:t>
      </w:r>
      <w:r w:rsidRPr="00053560">
        <w:t>—</w:t>
      </w:r>
      <w:r w:rsidRPr="00053560">
        <w:t>连续参数场</w:t>
      </w:r>
      <w:r w:rsidRPr="00053560">
        <w:t>—</w:t>
      </w:r>
      <w:r w:rsidRPr="00053560">
        <w:t>规划对象</w:t>
      </w:r>
      <w:r w:rsidRPr="00053560">
        <w:t>”</w:t>
      </w:r>
      <w:r w:rsidRPr="00053560">
        <w:t>的可计算映射关系，使后续候选方案生成和风险统计建立在统一且可复核的输入基础之上。</w:t>
      </w:r>
    </w:p>
    <w:p w14:paraId="4AFD0BA1" w14:textId="1D419F02" w:rsidR="00053560" w:rsidRDefault="00053560" w:rsidP="00053560">
      <w:pPr>
        <w:pStyle w:val="12"/>
      </w:pPr>
      <w:r w:rsidRPr="00053560">
        <w:t xml:space="preserve">1.3 </w:t>
      </w:r>
      <w:r w:rsidRPr="00053560">
        <w:t>候选方案生成与多目标比选模型</w:t>
      </w:r>
    </w:p>
    <w:p w14:paraId="10368BCC" w14:textId="5229AB18" w:rsidR="00053560" w:rsidRDefault="00053560" w:rsidP="00053560">
      <w:pPr>
        <w:pStyle w:val="100"/>
        <w:ind w:firstLine="420"/>
      </w:pPr>
      <w:r w:rsidRPr="00053560">
        <w:t>在有效布置域、连续</w:t>
      </w:r>
      <w:proofErr w:type="gramStart"/>
      <w:r w:rsidRPr="00053560">
        <w:t>参数场</w:t>
      </w:r>
      <w:proofErr w:type="gramEnd"/>
      <w:r w:rsidRPr="00053560">
        <w:t>和</w:t>
      </w:r>
      <w:proofErr w:type="gramStart"/>
      <w:r w:rsidRPr="00053560">
        <w:t>统一覆岩扰动</w:t>
      </w:r>
      <w:proofErr w:type="gramEnd"/>
      <w:r w:rsidRPr="00053560">
        <w:t>约束共同确定之后，采区规划的核心问题可进一步表述为：在满足几何可实施性和安全隔离要求的前提下，如何生成具有工程可行性的候选方案，并在工程效率、资源回收和扰动控制之间开展统一比较。与仅输出单一布置结果的传统做法不同，本文将采区规划视为</w:t>
      </w:r>
      <w:r w:rsidRPr="00053560">
        <w:t>“</w:t>
      </w:r>
      <w:r w:rsidRPr="00053560">
        <w:t>统一候选池上的多目标筛选问题</w:t>
      </w:r>
      <w:r w:rsidRPr="00053560">
        <w:t>”</w:t>
      </w:r>
      <w:r w:rsidRPr="00053560">
        <w:t>，即先在同</w:t>
      </w:r>
      <w:proofErr w:type="gramStart"/>
      <w:r w:rsidRPr="00053560">
        <w:t>一基础</w:t>
      </w:r>
      <w:proofErr w:type="gramEnd"/>
      <w:r w:rsidRPr="00053560">
        <w:t>输入、同一几何底线约束和同一</w:t>
      </w:r>
      <w:proofErr w:type="gramStart"/>
      <w:r w:rsidRPr="00053560">
        <w:t>扰动场</w:t>
      </w:r>
      <w:proofErr w:type="gramEnd"/>
      <w:r w:rsidRPr="00053560">
        <w:t>条件下形成有限候选方案集合，再根据不同决策偏好对其进行排序与优选。</w:t>
      </w:r>
      <w:r w:rsidR="00ED29A2" w:rsidRPr="00ED29A2">
        <w:t>为说明候选方案生成与多目标比选并非孤立计算过程，而是建立在数据组织、模型计算与决策筛选协同基础上的分层结构，本文将其表示为数据</w:t>
      </w:r>
      <w:r w:rsidR="00ED29A2" w:rsidRPr="00ED29A2">
        <w:t>—</w:t>
      </w:r>
      <w:r w:rsidR="00ED29A2" w:rsidRPr="00ED29A2">
        <w:t>模型</w:t>
      </w:r>
      <w:r w:rsidR="00ED29A2" w:rsidRPr="00ED29A2">
        <w:t>—</w:t>
      </w:r>
      <w:r w:rsidR="00ED29A2" w:rsidRPr="00ED29A2">
        <w:t>规划决策分层架构，如</w:t>
      </w:r>
      <w:r w:rsidR="00ED29A2">
        <w:fldChar w:fldCharType="begin"/>
      </w:r>
      <w:r w:rsidR="00ED29A2">
        <w:instrText xml:space="preserve"> REF _Ref227761644 \h </w:instrText>
      </w:r>
      <w:r w:rsidR="00ED29A2">
        <w:fldChar w:fldCharType="separate"/>
      </w:r>
      <w:r w:rsidR="006B4B0A">
        <w:rPr>
          <w:rFonts w:hint="eastAsia"/>
        </w:rPr>
        <w:t>图</w:t>
      </w:r>
      <w:r w:rsidR="006B4B0A">
        <w:rPr>
          <w:noProof/>
        </w:rPr>
        <w:t>5</w:t>
      </w:r>
      <w:r w:rsidR="00ED29A2">
        <w:fldChar w:fldCharType="end"/>
      </w:r>
      <w:r w:rsidR="00ED29A2" w:rsidRPr="00ED29A2">
        <w:t>所示。</w:t>
      </w:r>
      <w:r w:rsidRPr="00053560">
        <w:t>这样既能够避免不同方案基于不同输入条件而失去可比性，也有利于保留人工复核和后续工程调整空间。</w:t>
      </w:r>
    </w:p>
    <w:p w14:paraId="7740539D" w14:textId="77777777" w:rsidR="00ED29A2" w:rsidRDefault="00ED29A2" w:rsidP="00ED29A2">
      <w:pPr>
        <w:pStyle w:val="100"/>
        <w:keepNext/>
        <w:ind w:firstLineChars="0" w:firstLine="0"/>
        <w:sectPr w:rsidR="00ED29A2" w:rsidSect="00A07DBF">
          <w:type w:val="continuous"/>
          <w:pgSz w:w="11906" w:h="16838"/>
          <w:pgMar w:top="1418" w:right="1134" w:bottom="1134" w:left="1134" w:header="720" w:footer="720" w:gutter="0"/>
          <w:cols w:num="2" w:space="720"/>
          <w:docGrid w:linePitch="598"/>
        </w:sectPr>
      </w:pPr>
    </w:p>
    <w:p w14:paraId="3C7D52C1" w14:textId="77777777" w:rsidR="00ED29A2" w:rsidRDefault="00ED29A2" w:rsidP="00ED29A2">
      <w:pPr>
        <w:pStyle w:val="100"/>
        <w:keepNext/>
        <w:ind w:firstLineChars="0" w:firstLine="0"/>
        <w:jc w:val="center"/>
      </w:pPr>
      <w:r w:rsidRPr="00E6558E">
        <w:rPr>
          <w:noProof/>
        </w:rPr>
        <w:drawing>
          <wp:inline distT="0" distB="0" distL="0" distR="0" wp14:anchorId="60A211B8" wp14:editId="1A776ECA">
            <wp:extent cx="5778000" cy="2776074"/>
            <wp:effectExtent l="0" t="0" r="0" b="5715"/>
            <wp:docPr id="4"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78000" cy="2776074"/>
                    </a:xfrm>
                    <a:prstGeom prst="rect">
                      <a:avLst/>
                    </a:prstGeom>
                    <a:noFill/>
                    <a:ln>
                      <a:noFill/>
                    </a:ln>
                  </pic:spPr>
                </pic:pic>
              </a:graphicData>
            </a:graphic>
          </wp:inline>
        </w:drawing>
      </w:r>
    </w:p>
    <w:p w14:paraId="62D0A802" w14:textId="5C0214FB" w:rsidR="00ED29A2" w:rsidRDefault="00ED29A2" w:rsidP="00ED29A2">
      <w:pPr>
        <w:pStyle w:val="14"/>
      </w:pPr>
      <w:bookmarkStart w:id="6" w:name="_Ref227761644"/>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717C8">
        <w:rPr>
          <w:noProof/>
        </w:rPr>
        <w:t>5</w:t>
      </w:r>
      <w:r>
        <w:fldChar w:fldCharType="end"/>
      </w:r>
      <w:bookmarkEnd w:id="6"/>
      <w:r>
        <w:rPr>
          <w:rFonts w:hint="eastAsia"/>
        </w:rPr>
        <w:t xml:space="preserve"> </w:t>
      </w:r>
      <w:r w:rsidRPr="00ED29A2">
        <w:t>数据</w:t>
      </w:r>
      <w:r w:rsidRPr="00ED29A2">
        <w:t>—</w:t>
      </w:r>
      <w:r w:rsidRPr="00ED29A2">
        <w:t>模型</w:t>
      </w:r>
      <w:r w:rsidRPr="00ED29A2">
        <w:t>—</w:t>
      </w:r>
      <w:r w:rsidRPr="00ED29A2">
        <w:t>规划决策分层架构图</w:t>
      </w:r>
    </w:p>
    <w:p w14:paraId="3E798D30" w14:textId="451FD7E0" w:rsidR="00ED29A2" w:rsidRPr="00ED29A2" w:rsidRDefault="00ED29A2" w:rsidP="00ED29A2">
      <w:pPr>
        <w:pStyle w:val="14"/>
      </w:pPr>
      <w:r w:rsidRPr="00ED29A2">
        <w:t>Fig.</w:t>
      </w:r>
      <w:r>
        <w:fldChar w:fldCharType="begin"/>
      </w:r>
      <w:r>
        <w:instrText xml:space="preserve"> REF _Ref227761644 \h </w:instrText>
      </w:r>
      <w:r>
        <w:fldChar w:fldCharType="separate"/>
      </w:r>
      <w:r w:rsidR="002711E2">
        <w:rPr>
          <w:noProof/>
        </w:rPr>
        <w:t>5</w:t>
      </w:r>
      <w:r>
        <w:fldChar w:fldCharType="end"/>
      </w:r>
      <w:r w:rsidRPr="00ED29A2">
        <w:t xml:space="preserve"> Layered architecture of data, model, and planning decision</w:t>
      </w:r>
    </w:p>
    <w:p w14:paraId="79D4B7FA" w14:textId="77777777" w:rsidR="00ED29A2" w:rsidRDefault="00ED29A2" w:rsidP="00053560">
      <w:pPr>
        <w:pStyle w:val="130"/>
        <w:sectPr w:rsidR="00ED29A2" w:rsidSect="00ED29A2">
          <w:type w:val="continuous"/>
          <w:pgSz w:w="11906" w:h="16838"/>
          <w:pgMar w:top="1418" w:right="1134" w:bottom="1134" w:left="1134" w:header="1418" w:footer="0" w:gutter="0"/>
          <w:cols w:space="720"/>
          <w:docGrid w:linePitch="312"/>
        </w:sectPr>
      </w:pPr>
    </w:p>
    <w:p w14:paraId="48A43F57" w14:textId="77777777" w:rsidR="00053560" w:rsidRPr="00053560" w:rsidRDefault="00053560" w:rsidP="00053560">
      <w:pPr>
        <w:pStyle w:val="130"/>
      </w:pPr>
      <w:r w:rsidRPr="00053560">
        <w:t xml:space="preserve">1.3.1 </w:t>
      </w:r>
      <w:r w:rsidRPr="00053560">
        <w:t>候选方案表达</w:t>
      </w:r>
    </w:p>
    <w:p w14:paraId="601EBB0E" w14:textId="1DD4AAD3" w:rsidR="00053560" w:rsidRPr="00053560" w:rsidRDefault="00053560" w:rsidP="00053560">
      <w:pPr>
        <w:pStyle w:val="100"/>
        <w:ind w:firstLine="420"/>
      </w:pPr>
      <w:r w:rsidRPr="00053560">
        <w:t>设候选方案集合为</w:t>
      </w:r>
      <w:r w:rsidRPr="00053560">
        <w:t xml:space="preserve"> </w:t>
      </w:r>
      <m:oMath>
        <m:r>
          <m:rPr>
            <m:sty m:val="p"/>
          </m:rPr>
          <w:rPr>
            <w:rFonts w:ascii="Cambria Math" w:hAnsi="Cambria Math"/>
          </w:rPr>
          <m:t>Π</m:t>
        </m:r>
      </m:oMath>
      <w:r w:rsidRPr="00053560">
        <w:t>，其中任</w:t>
      </w:r>
      <w:proofErr w:type="gramStart"/>
      <w:r w:rsidRPr="00053560">
        <w:t>一</w:t>
      </w:r>
      <w:proofErr w:type="gramEnd"/>
      <w:r w:rsidRPr="00053560">
        <w:t>候选方案</w:t>
      </w:r>
      <w:r w:rsidRPr="00053560">
        <w:t xml:space="preserve"> </w:t>
      </w:r>
      <m:oMath>
        <m:r>
          <w:rPr>
            <w:rFonts w:ascii="Cambria Math" w:hAnsi="Cambria Math"/>
          </w:rPr>
          <m:t>π</m:t>
        </m:r>
      </m:oMath>
      <w:r w:rsidRPr="00053560">
        <w:t>可由工作面数量、工作面宽度、推进方向、煤柱配置、工作面区域集合、推进长度集合及巷道连接关系等要素共同描述，即规划对象不再被视为单</w:t>
      </w:r>
      <w:r w:rsidRPr="00053560">
        <w:t>一几何图形，而是由</w:t>
      </w:r>
      <w:r w:rsidRPr="00053560">
        <w:t>“</w:t>
      </w:r>
      <w:r w:rsidRPr="00053560">
        <w:t>数量</w:t>
      </w:r>
      <w:r w:rsidRPr="00053560">
        <w:t>—</w:t>
      </w:r>
      <w:r w:rsidRPr="00053560">
        <w:t>尺度</w:t>
      </w:r>
      <w:r w:rsidRPr="00053560">
        <w:t>—</w:t>
      </w:r>
      <w:r w:rsidRPr="00053560">
        <w:t>方向</w:t>
      </w:r>
      <w:r w:rsidRPr="00053560">
        <w:t>—</w:t>
      </w:r>
      <w:r w:rsidRPr="00053560">
        <w:t>空间占用</w:t>
      </w:r>
      <w:r w:rsidRPr="00053560">
        <w:t>—</w:t>
      </w:r>
      <w:r w:rsidRPr="00053560">
        <w:t>连接关系</w:t>
      </w:r>
      <w:r w:rsidRPr="00053560">
        <w:t>”</w:t>
      </w:r>
      <w:r w:rsidRPr="00053560">
        <w:t>构成的组合对象。具体可表示为：</w:t>
      </w:r>
    </w:p>
    <w:p w14:paraId="0CF68361" w14:textId="0773048F" w:rsidR="00053560" w:rsidRPr="00053560" w:rsidRDefault="00053560" w:rsidP="00053560">
      <w:pPr>
        <w:pStyle w:val="100"/>
        <w:ind w:firstLineChars="0" w:firstLine="0"/>
        <w:jc w:val="center"/>
      </w:pPr>
      <w:r w:rsidRPr="00053560">
        <w:rPr>
          <w:position w:val="-14"/>
        </w:rPr>
        <w:object w:dxaOrig="3260" w:dyaOrig="380" w14:anchorId="28884ABE">
          <v:shape id="_x0000_i1026" type="#_x0000_t75" style="width:163.2pt;height:19.2pt" o:ole="">
            <v:imagedata r:id="rId18" o:title=""/>
          </v:shape>
          <o:OLEObject Type="Embed" ProgID="Equation.DSMT4" ShapeID="_x0000_i1026" DrawAspect="Content" ObjectID="_1838381597" r:id="rId19"/>
        </w:object>
      </w:r>
    </w:p>
    <w:p w14:paraId="34806D8D" w14:textId="3E534C46" w:rsidR="00351EC4" w:rsidRDefault="00053560" w:rsidP="00053560">
      <w:pPr>
        <w:pStyle w:val="100"/>
        <w:ind w:firstLineChars="0" w:firstLine="0"/>
        <w:rPr>
          <w:rFonts w:ascii="宋体" w:hAnsi="宋体" w:hint="eastAsia"/>
        </w:rPr>
      </w:pPr>
      <w:r w:rsidRPr="00053560">
        <w:rPr>
          <w:rFonts w:ascii="宋体" w:hAnsi="宋体"/>
        </w:rPr>
        <w:t>式中，</w:t>
      </w:r>
      <m:oMath>
        <m:r>
          <w:rPr>
            <w:rFonts w:ascii="Cambria Math" w:hAnsi="Cambria Math"/>
          </w:rPr>
          <m:t>N</m:t>
        </m:r>
      </m:oMath>
      <w:r w:rsidRPr="00053560">
        <w:rPr>
          <w:rFonts w:ascii="宋体" w:hAnsi="宋体"/>
        </w:rPr>
        <w:t xml:space="preserve"> 为工作面数量，</w:t>
      </w:r>
      <m:oMath>
        <m:sSub>
          <m:sSubPr>
            <m:ctrlPr>
              <w:rPr>
                <w:rFonts w:ascii="Cambria Math" w:hAnsi="Cambria Math"/>
              </w:rPr>
            </m:ctrlPr>
          </m:sSubPr>
          <m:e>
            <m:r>
              <w:rPr>
                <w:rFonts w:ascii="Cambria Math" w:hAnsi="Cambria Math"/>
              </w:rPr>
              <m:t>W</m:t>
            </m:r>
          </m:e>
          <m:sub>
            <m:r>
              <w:rPr>
                <w:rFonts w:ascii="Cambria Math" w:hAnsi="Cambria Math"/>
              </w:rPr>
              <m:t>f</m:t>
            </m:r>
          </m:sub>
        </m:sSub>
      </m:oMath>
      <w:r w:rsidRPr="00053560">
        <w:rPr>
          <w:rFonts w:ascii="宋体" w:hAnsi="宋体"/>
        </w:rPr>
        <w:t xml:space="preserve"> 为工作面倾向宽度，</w:t>
      </w:r>
      <m:oMath>
        <m:r>
          <w:rPr>
            <w:rFonts w:ascii="Cambria Math" w:hAnsi="Cambria Math"/>
          </w:rPr>
          <m:t>θ</m:t>
        </m:r>
      </m:oMath>
      <w:r w:rsidRPr="00053560">
        <w:rPr>
          <w:rFonts w:ascii="宋体" w:hAnsi="宋体"/>
        </w:rPr>
        <w:t xml:space="preserve"> 为推进方向，</w:t>
      </w:r>
      <m:oMath>
        <m:sSub>
          <m:sSubPr>
            <m:ctrlPr>
              <w:rPr>
                <w:rFonts w:ascii="Cambria Math" w:hAnsi="Cambria Math"/>
              </w:rPr>
            </m:ctrlPr>
          </m:sSubPr>
          <m:e>
            <m:r>
              <w:rPr>
                <w:rFonts w:ascii="Cambria Math" w:hAnsi="Cambria Math"/>
              </w:rPr>
              <m:t>B</m:t>
            </m:r>
          </m:e>
          <m:sub>
            <m:r>
              <w:rPr>
                <w:rFonts w:ascii="Cambria Math" w:hAnsi="Cambria Math"/>
              </w:rPr>
              <m:t>b</m:t>
            </m:r>
          </m:sub>
        </m:sSub>
      </m:oMath>
      <w:r w:rsidRPr="00053560">
        <w:rPr>
          <w:rFonts w:ascii="宋体" w:hAnsi="宋体"/>
        </w:rPr>
        <w:t xml:space="preserve"> 和 </w:t>
      </w:r>
      <m:oMath>
        <m:sSub>
          <m:sSubPr>
            <m:ctrlPr>
              <w:rPr>
                <w:rFonts w:ascii="Cambria Math" w:hAnsi="Cambria Math"/>
              </w:rPr>
            </m:ctrlPr>
          </m:sSubPr>
          <m:e>
            <m:r>
              <w:rPr>
                <w:rFonts w:ascii="Cambria Math" w:hAnsi="Cambria Math"/>
              </w:rPr>
              <m:t>B</m:t>
            </m:r>
          </m:e>
          <m:sub>
            <m:r>
              <w:rPr>
                <w:rFonts w:ascii="Cambria Math" w:hAnsi="Cambria Math"/>
              </w:rPr>
              <m:t>s</m:t>
            </m:r>
          </m:sub>
        </m:sSub>
      </m:oMath>
      <w:r w:rsidRPr="00053560">
        <w:rPr>
          <w:rFonts w:ascii="宋体" w:hAnsi="宋体"/>
        </w:rPr>
        <w:t>分别为边界煤柱和区段</w:t>
      </w:r>
      <w:r w:rsidRPr="00053560">
        <w:rPr>
          <w:rFonts w:ascii="宋体" w:hAnsi="宋体"/>
        </w:rPr>
        <w:lastRenderedPageBreak/>
        <w:t>煤柱宽度，</w:t>
      </w:r>
      <m:oMath>
        <m:sSub>
          <m:sSubPr>
            <m:ctrlPr>
              <w:rPr>
                <w:rFonts w:ascii="Cambria Math" w:hAnsi="Cambria Math"/>
              </w:rPr>
            </m:ctrlPr>
          </m:sSubPr>
          <m:e>
            <m:r>
              <w:rPr>
                <w:rFonts w:ascii="Cambria Math" w:hAnsi="Cambria Math"/>
              </w:rPr>
              <m:t>A</m:t>
            </m:r>
          </m:e>
          <m:sub>
            <m:r>
              <w:rPr>
                <w:rFonts w:ascii="Cambria Math" w:hAnsi="Cambria Math"/>
              </w:rPr>
              <m:t>π</m:t>
            </m:r>
          </m:sub>
        </m:sSub>
      </m:oMath>
      <w:r w:rsidRPr="00053560">
        <w:rPr>
          <w:rFonts w:ascii="宋体" w:hAnsi="宋体"/>
        </w:rPr>
        <w:t xml:space="preserve"> 为方案 </w:t>
      </w:r>
      <m:oMath>
        <m:r>
          <w:rPr>
            <w:rFonts w:ascii="Cambria Math" w:hAnsi="Cambria Math"/>
          </w:rPr>
          <m:t>π</m:t>
        </m:r>
      </m:oMath>
      <w:r w:rsidRPr="00053560">
        <w:rPr>
          <w:rFonts w:ascii="宋体" w:hAnsi="宋体"/>
        </w:rPr>
        <w:t>中工作面占用区域集合，</w:t>
      </w:r>
      <m:oMath>
        <m:sSub>
          <m:sSubPr>
            <m:ctrlPr>
              <w:rPr>
                <w:rFonts w:ascii="Cambria Math" w:hAnsi="Cambria Math"/>
              </w:rPr>
            </m:ctrlPr>
          </m:sSubPr>
          <m:e>
            <m:r>
              <w:rPr>
                <w:rFonts w:ascii="Cambria Math" w:hAnsi="Cambria Math"/>
              </w:rPr>
              <m:t>L</m:t>
            </m:r>
          </m:e>
          <m:sub>
            <m:r>
              <w:rPr>
                <w:rFonts w:ascii="Cambria Math" w:hAnsi="Cambria Math"/>
              </w:rPr>
              <m:t>π</m:t>
            </m:r>
          </m:sub>
        </m:sSub>
      </m:oMath>
      <w:r w:rsidRPr="00053560">
        <w:rPr>
          <w:rFonts w:ascii="宋体" w:hAnsi="宋体"/>
        </w:rPr>
        <w:t xml:space="preserve"> 为各工作面推进长度集合，</w:t>
      </w:r>
      <m:oMath>
        <m:sSub>
          <m:sSubPr>
            <m:ctrlPr>
              <w:rPr>
                <w:rFonts w:ascii="Cambria Math" w:hAnsi="Cambria Math"/>
              </w:rPr>
            </m:ctrlPr>
          </m:sSubPr>
          <m:e>
            <m:r>
              <w:rPr>
                <w:rFonts w:ascii="Cambria Math" w:hAnsi="Cambria Math"/>
              </w:rPr>
              <m:t>R</m:t>
            </m:r>
          </m:e>
          <m:sub>
            <m:r>
              <w:rPr>
                <w:rFonts w:ascii="Cambria Math" w:hAnsi="Cambria Math"/>
              </w:rPr>
              <m:t>π</m:t>
            </m:r>
          </m:sub>
        </m:sSub>
      </m:oMath>
      <w:r w:rsidRPr="00053560">
        <w:rPr>
          <w:rFonts w:ascii="宋体" w:hAnsi="宋体"/>
        </w:rPr>
        <w:t xml:space="preserve"> 为巷道连接与服务关系，</w:t>
      </w:r>
      <m:oMath>
        <m:sSub>
          <m:sSubPr>
            <m:ctrlPr>
              <w:rPr>
                <w:rFonts w:ascii="Cambria Math" w:hAnsi="Cambria Math"/>
              </w:rPr>
            </m:ctrlPr>
          </m:sSubPr>
          <m:e>
            <m:r>
              <w:rPr>
                <w:rFonts w:ascii="Cambria Math" w:hAnsi="Cambria Math"/>
              </w:rPr>
              <m:t>y</m:t>
            </m:r>
          </m:e>
          <m:sub>
            <m:r>
              <w:rPr>
                <w:rFonts w:ascii="Cambria Math" w:hAnsi="Cambria Math"/>
              </w:rPr>
              <m:t>π</m:t>
            </m:r>
          </m:sub>
        </m:sSub>
      </m:oMath>
      <w:r w:rsidRPr="00053560">
        <w:rPr>
          <w:rFonts w:ascii="宋体" w:hAnsi="宋体"/>
        </w:rPr>
        <w:t xml:space="preserve"> 为方案选择变量。通过这种表达方式，候选方案能够同时承接几何约束、资源统计和扰动评价结果，从而为后续统一比较提供对象基础。</w:t>
      </w:r>
    </w:p>
    <w:p w14:paraId="4D216C0B" w14:textId="77777777" w:rsidR="00053560" w:rsidRPr="00053560" w:rsidRDefault="00053560" w:rsidP="00053560">
      <w:pPr>
        <w:pStyle w:val="130"/>
      </w:pPr>
      <w:r w:rsidRPr="00053560">
        <w:t xml:space="preserve">1.3.2 </w:t>
      </w:r>
      <w:r w:rsidRPr="00053560">
        <w:t>候选方案约束条件</w:t>
      </w:r>
    </w:p>
    <w:p w14:paraId="163ABFF6" w14:textId="77777777" w:rsidR="00053560" w:rsidRPr="00053560" w:rsidRDefault="00053560" w:rsidP="00053560">
      <w:pPr>
        <w:pStyle w:val="100"/>
        <w:ind w:firstLine="420"/>
      </w:pPr>
      <w:r w:rsidRPr="00053560">
        <w:t>候选方案首先必须满足基本几何和工程底线约束。本文将边界合法性、煤柱宽度、工作面宽度和工作面不重叠作为硬约束，将推进长度校核与扰动暴露条件作为进入比选阶段的重要约束。其约束关系可概括为：</w:t>
      </w:r>
    </w:p>
    <w:p w14:paraId="3A3ED7C6" w14:textId="77777777" w:rsidR="00053560" w:rsidRDefault="00053560" w:rsidP="00053560">
      <w:pPr>
        <w:pStyle w:val="100"/>
        <w:ind w:firstLineChars="0" w:firstLine="0"/>
        <w:jc w:val="center"/>
        <w:rPr>
          <w:rFonts w:ascii="宋体" w:hAnsi="宋体" w:hint="eastAsia"/>
        </w:rPr>
        <w:sectPr w:rsidR="00053560" w:rsidSect="00A07DBF">
          <w:type w:val="continuous"/>
          <w:pgSz w:w="11906" w:h="16838"/>
          <w:pgMar w:top="1418" w:right="1134" w:bottom="1134" w:left="1134" w:header="720" w:footer="720" w:gutter="0"/>
          <w:cols w:num="2" w:space="720"/>
          <w:docGrid w:linePitch="598"/>
        </w:sectPr>
      </w:pPr>
    </w:p>
    <w:p w14:paraId="0CA5283E" w14:textId="5846664A" w:rsidR="00053560" w:rsidRDefault="00053560" w:rsidP="00053560">
      <w:pPr>
        <w:pStyle w:val="100"/>
        <w:ind w:firstLineChars="0" w:firstLine="0"/>
        <w:jc w:val="center"/>
        <w:rPr>
          <w:rFonts w:ascii="宋体" w:hAnsi="宋体" w:hint="eastAsia"/>
        </w:rPr>
      </w:pPr>
      <w:r w:rsidRPr="00053560">
        <w:rPr>
          <w:rFonts w:ascii="宋体" w:hAnsi="宋体" w:hint="eastAsia"/>
          <w:position w:val="-14"/>
        </w:rPr>
        <w:object w:dxaOrig="6860" w:dyaOrig="380" w14:anchorId="418DD697">
          <v:shape id="_x0000_i1027" type="#_x0000_t75" style="width:343.2pt;height:19.2pt" o:ole="">
            <v:imagedata r:id="rId20" o:title=""/>
          </v:shape>
          <o:OLEObject Type="Embed" ProgID="Equation.DSMT4" ShapeID="_x0000_i1027" DrawAspect="Content" ObjectID="_1838381598" r:id="rId21"/>
        </w:object>
      </w:r>
    </w:p>
    <w:p w14:paraId="17E88D84" w14:textId="77777777" w:rsidR="00053560" w:rsidRDefault="00053560" w:rsidP="00053560">
      <w:pPr>
        <w:pStyle w:val="100"/>
        <w:ind w:firstLineChars="0" w:firstLine="0"/>
        <w:jc w:val="center"/>
        <w:rPr>
          <w:rFonts w:ascii="宋体" w:hAnsi="宋体" w:hint="eastAsia"/>
        </w:rPr>
        <w:sectPr w:rsidR="00053560" w:rsidSect="00053560">
          <w:type w:val="continuous"/>
          <w:pgSz w:w="11906" w:h="16838"/>
          <w:pgMar w:top="1418" w:right="1134" w:bottom="1134" w:left="1134" w:header="1418" w:footer="0" w:gutter="0"/>
          <w:cols w:space="720"/>
          <w:docGrid w:linePitch="312"/>
        </w:sectPr>
      </w:pPr>
    </w:p>
    <w:p w14:paraId="6228DB39" w14:textId="3CA2DBE7" w:rsidR="00053560" w:rsidRDefault="00053560" w:rsidP="00053560">
      <w:pPr>
        <w:pStyle w:val="100"/>
        <w:ind w:firstLineChars="0" w:firstLine="0"/>
        <w:jc w:val="center"/>
        <w:rPr>
          <w:rFonts w:ascii="宋体" w:hAnsi="宋体" w:hint="eastAsia"/>
        </w:rPr>
      </w:pPr>
      <w:r w:rsidRPr="00053560">
        <w:rPr>
          <w:rFonts w:ascii="宋体" w:hAnsi="宋体" w:hint="eastAsia"/>
          <w:position w:val="-14"/>
        </w:rPr>
        <w:object w:dxaOrig="3400" w:dyaOrig="380" w14:anchorId="211F8F60">
          <v:shape id="_x0000_i1028" type="#_x0000_t75" style="width:169.8pt;height:19.2pt" o:ole="">
            <v:imagedata r:id="rId22" o:title=""/>
          </v:shape>
          <o:OLEObject Type="Embed" ProgID="Equation.DSMT4" ShapeID="_x0000_i1028" DrawAspect="Content" ObjectID="_1838381599" r:id="rId23"/>
        </w:object>
      </w:r>
    </w:p>
    <w:p w14:paraId="2A7785F5" w14:textId="33940DCC" w:rsidR="00053560" w:rsidRPr="00053560" w:rsidRDefault="00053560" w:rsidP="00053560">
      <w:pPr>
        <w:pStyle w:val="100"/>
        <w:ind w:firstLine="420"/>
      </w:pPr>
      <w:r w:rsidRPr="00053560">
        <w:t>其中，</w:t>
      </w:r>
      <m:oMath>
        <m:sSub>
          <m:sSubPr>
            <m:ctrlPr>
              <w:rPr>
                <w:rFonts w:ascii="Cambria Math" w:hAnsi="Cambria Math"/>
              </w:rPr>
            </m:ctrlPr>
          </m:sSubPr>
          <m:e>
            <m:r>
              <m:rPr>
                <m:sty m:val="p"/>
              </m:rPr>
              <w:rPr>
                <w:rFonts w:ascii="Cambria Math" w:hAnsi="Cambria Math"/>
              </w:rPr>
              <m:t>Ω</m:t>
            </m:r>
          </m:e>
          <m:sub>
            <m:r>
              <w:rPr>
                <w:rFonts w:ascii="Cambria Math" w:hAnsi="Cambria Math"/>
              </w:rPr>
              <m:t>e</m:t>
            </m:r>
          </m:sub>
        </m:sSub>
      </m:oMath>
      <w:r w:rsidRPr="00053560">
        <w:t xml:space="preserve"> </w:t>
      </w:r>
      <w:r w:rsidRPr="00053560">
        <w:t>为有效布置域，</w:t>
      </w:r>
      <m:oMath>
        <m:sSub>
          <m:sSubPr>
            <m:ctrlPr>
              <w:rPr>
                <w:rFonts w:ascii="Cambria Math" w:hAnsi="Cambria Math"/>
              </w:rPr>
            </m:ctrlPr>
          </m:sSubPr>
          <m:e>
            <m:r>
              <w:rPr>
                <w:rFonts w:ascii="Cambria Math" w:hAnsi="Cambria Math"/>
              </w:rPr>
              <m:t>C</m:t>
            </m:r>
          </m:e>
          <m:sub>
            <m:r>
              <w:rPr>
                <w:rFonts w:ascii="Cambria Math" w:hAnsi="Cambria Math"/>
              </w:rPr>
              <m:t>L</m:t>
            </m:r>
          </m:sub>
        </m:sSub>
      </m:oMath>
      <w:r w:rsidRPr="00053560">
        <w:t xml:space="preserve"> </w:t>
      </w:r>
      <w:r w:rsidRPr="00053560">
        <w:t>表示单工作面推进长度的推荐区间或校核条件，</w:t>
      </w:r>
      <m:oMath>
        <m:sSub>
          <m:sSubPr>
            <m:ctrlPr>
              <w:rPr>
                <w:rFonts w:ascii="Cambria Math" w:hAnsi="Cambria Math"/>
              </w:rPr>
            </m:ctrlPr>
          </m:sSubPr>
          <m:e>
            <m:r>
              <w:rPr>
                <w:rFonts w:ascii="Cambria Math" w:hAnsi="Cambria Math"/>
              </w:rPr>
              <m:t>E</m:t>
            </m:r>
          </m:e>
          <m:sub>
            <m:r>
              <w:rPr>
                <w:rFonts w:ascii="Cambria Math" w:hAnsi="Cambria Math"/>
              </w:rPr>
              <m:t>π</m:t>
            </m:r>
          </m:sub>
        </m:sSub>
      </m:oMath>
      <w:r w:rsidRPr="00053560">
        <w:t xml:space="preserve"> </w:t>
      </w:r>
      <w:r w:rsidRPr="00053560">
        <w:t>为候选方案在扰动统计意义下的暴露状态，</w:t>
      </w:r>
      <m:oMath>
        <m:sSub>
          <m:sSubPr>
            <m:ctrlPr>
              <w:rPr>
                <w:rFonts w:ascii="Cambria Math" w:hAnsi="Cambria Math"/>
              </w:rPr>
            </m:ctrlPr>
          </m:sSubPr>
          <m:e>
            <m:r>
              <w:rPr>
                <w:rFonts w:ascii="Cambria Math" w:hAnsi="Cambria Math"/>
              </w:rPr>
              <m:t>I</m:t>
            </m:r>
          </m:e>
          <m:sub>
            <m:r>
              <m:rPr>
                <m:sty m:val="p"/>
              </m:rPr>
              <w:rPr>
                <w:rFonts w:ascii="Cambria Math" w:hAnsi="Cambria Math"/>
              </w:rPr>
              <m:t>ODI</m:t>
            </m:r>
          </m:sub>
        </m:sSub>
      </m:oMath>
      <w:r w:rsidRPr="00053560">
        <w:t xml:space="preserve"> </w:t>
      </w:r>
      <w:r w:rsidRPr="00053560">
        <w:t>表示进入排序阶段所采用的扰动统计口径。上述约束的含义在于，候选方案不仅要</w:t>
      </w:r>
      <w:r w:rsidRPr="00053560">
        <w:t>“</w:t>
      </w:r>
      <w:r w:rsidRPr="00053560">
        <w:t>能画出来</w:t>
      </w:r>
      <w:r w:rsidRPr="00053560">
        <w:t>”</w:t>
      </w:r>
      <w:r w:rsidRPr="00053560">
        <w:t>，还要具备进入工程比较的基本合法性。这样处理可以将明显越界、重叠、煤柱不足或推进长度明显异常的方案提前剔除，从而避免无效方案干扰后续排序。</w:t>
      </w:r>
      <w:r w:rsidRPr="00053560">
        <w:t xml:space="preserve"> </w:t>
      </w:r>
    </w:p>
    <w:p w14:paraId="465AE2AB" w14:textId="77777777" w:rsidR="00053560" w:rsidRDefault="00053560" w:rsidP="00053560">
      <w:pPr>
        <w:pStyle w:val="100"/>
        <w:ind w:firstLine="420"/>
      </w:pPr>
      <w:r w:rsidRPr="00053560">
        <w:t>需要说明的是，</w:t>
      </w:r>
      <w:proofErr w:type="gramStart"/>
      <w:r w:rsidRPr="00053560">
        <w:t>当前样</w:t>
      </w:r>
      <w:proofErr w:type="gramEnd"/>
      <w:r w:rsidRPr="00053560">
        <w:t>例将边界约束、煤柱约束、工作面宽度约束和不重叠条件作为硬约束，而将推进长度校核和扰动暴露阈值作为方案筛选与排序阶段的工程性约束。这种处理方式的目的，是在样例验证阶段避免因现场闭环条件尚不完整而将候选空间过度压缩，同时保证进入比较的方案仍具备基本工程意义。</w:t>
      </w:r>
    </w:p>
    <w:p w14:paraId="585DC4D2" w14:textId="77777777" w:rsidR="00053560" w:rsidRPr="00053560" w:rsidRDefault="00053560" w:rsidP="00053560">
      <w:pPr>
        <w:pStyle w:val="130"/>
      </w:pPr>
      <w:r w:rsidRPr="00053560">
        <w:t xml:space="preserve">1.3.3 </w:t>
      </w:r>
      <w:r w:rsidRPr="00053560">
        <w:t>候选池生成过程</w:t>
      </w:r>
    </w:p>
    <w:p w14:paraId="205491F8" w14:textId="6174CD8E" w:rsidR="00053560" w:rsidRPr="00053560" w:rsidRDefault="00053560" w:rsidP="00053560">
      <w:pPr>
        <w:pStyle w:val="100"/>
        <w:ind w:firstLine="420"/>
      </w:pPr>
      <w:r w:rsidRPr="00053560">
        <w:t>本文采用</w:t>
      </w:r>
      <w:r w:rsidRPr="00053560">
        <w:t>“</w:t>
      </w:r>
      <w:r w:rsidRPr="00053560">
        <w:t>规则枚举</w:t>
      </w:r>
      <w:r w:rsidRPr="00053560">
        <w:t>+</w:t>
      </w:r>
      <w:r w:rsidRPr="00053560">
        <w:t>工程过滤</w:t>
      </w:r>
      <w:r w:rsidRPr="00053560">
        <w:t>”</w:t>
      </w:r>
      <w:r w:rsidRPr="00053560">
        <w:t>的方式生成候选方案池。首先，根据采区边界形态、煤层走向、工程允许方向及布置规则构造有限推进方向集合</w:t>
      </w:r>
      <w:r w:rsidRPr="00053560">
        <w:t xml:space="preserve"> </w:t>
      </w:r>
      <m:oMath>
        <m:r>
          <m:rPr>
            <m:sty m:val="p"/>
          </m:rPr>
          <w:rPr>
            <w:rFonts w:ascii="Cambria Math" w:hAnsi="Cambria Math"/>
          </w:rPr>
          <m:t>Θ</m:t>
        </m:r>
      </m:oMath>
      <w:r w:rsidRPr="00053560">
        <w:t>；然后，在</w:t>
      </w:r>
      <w:r w:rsidRPr="00053560">
        <w:t xml:space="preserve"> </w:t>
      </w:r>
      <m:oMath>
        <m:r>
          <w:rPr>
            <w:rFonts w:ascii="Cambria Math" w:hAnsi="Cambria Math"/>
          </w:rPr>
          <m:t>θ</m:t>
        </m:r>
        <m:r>
          <m:rPr>
            <m:sty m:val="p"/>
          </m:rPr>
          <w:rPr>
            <w:rFonts w:ascii="Cambria Math" w:hAnsi="Cambria Math"/>
          </w:rPr>
          <m:t>∈Θ</m:t>
        </m:r>
      </m:oMath>
      <w:r w:rsidRPr="00053560">
        <w:t>的条件下，将边界煤柱宽度、区段煤柱宽度、工作面宽度及必要的内</w:t>
      </w:r>
      <w:proofErr w:type="gramStart"/>
      <w:r w:rsidRPr="00053560">
        <w:t>缩距离</w:t>
      </w:r>
      <w:proofErr w:type="gramEnd"/>
      <w:r w:rsidRPr="00053560">
        <w:t>进行组合，形成平行工作面条带；随后对生成结果进行越界检查、重叠检查、推进长度校核、煤柱校核和连通性检查，剔除不满足基本要求的几何组合；最后，对保留下来的方案计算其覆盖率、资源覆盖和扰动统计指标，并依据方向、煤柱配置、工作面数量及空间连接关系形成候选签名，合并重复方案，得到有限候选池。</w:t>
      </w:r>
    </w:p>
    <w:p w14:paraId="67709D39" w14:textId="5ED5FD56" w:rsidR="00053560" w:rsidRPr="00053560" w:rsidRDefault="00053560" w:rsidP="00053560">
      <w:pPr>
        <w:pStyle w:val="100"/>
        <w:ind w:firstLine="420"/>
      </w:pPr>
      <w:r w:rsidRPr="00053560">
        <w:t>因此，候选池生成可归纳为</w:t>
      </w:r>
      <w:r w:rsidRPr="00053560">
        <w:t>5</w:t>
      </w:r>
      <w:r w:rsidRPr="00053560">
        <w:t>个步骤：参数取值、几何构造、硬约束过滤、指标计算和去重合并。该流程的关键在于：推进方向并不是由黑箱算法自动给出，而是在工程允许方向集合内与几何参数共同枚举，并由统一约束过滤和多目标比较共同决定推荐结果。这样既能保持方案生成过程的可解释性，也能避免因单一搜索路径导致的</w:t>
      </w:r>
      <w:proofErr w:type="gramStart"/>
      <w:r w:rsidRPr="00053560">
        <w:t>解空间</w:t>
      </w:r>
      <w:proofErr w:type="gramEnd"/>
      <w:r w:rsidRPr="00053560">
        <w:t>偏置。</w:t>
      </w:r>
    </w:p>
    <w:p w14:paraId="664C9482" w14:textId="77777777" w:rsidR="00053560" w:rsidRPr="00053560" w:rsidRDefault="00053560" w:rsidP="00053560">
      <w:pPr>
        <w:pStyle w:val="130"/>
      </w:pPr>
      <w:r w:rsidRPr="00053560">
        <w:t xml:space="preserve">1.3.4 </w:t>
      </w:r>
      <w:r w:rsidRPr="00053560">
        <w:t>多目标评价模型</w:t>
      </w:r>
    </w:p>
    <w:p w14:paraId="22EA2249" w14:textId="64005639" w:rsidR="00053560" w:rsidRPr="00053560" w:rsidRDefault="00053560" w:rsidP="00053560">
      <w:pPr>
        <w:pStyle w:val="100"/>
        <w:ind w:firstLine="420"/>
      </w:pPr>
      <w:r w:rsidRPr="00053560">
        <w:t>在通过几何与工程底线约束过滤后，候选方案需要在工程效率、资源回收和扰动控制</w:t>
      </w:r>
      <w:r w:rsidRPr="00053560">
        <w:t>3</w:t>
      </w:r>
      <w:r w:rsidRPr="00053560">
        <w:t>类目标之间进行统一比较。为此，本文定义工程效率评价函数</w:t>
      </w:r>
      <w:r w:rsidRPr="00053560">
        <w:t xml:space="preserve"> </w:t>
      </w:r>
      <m:oMath>
        <m:sSub>
          <m:sSubPr>
            <m:ctrlPr>
              <w:rPr>
                <w:rFonts w:ascii="Cambria Math" w:hAnsi="Cambria Math"/>
              </w:rPr>
            </m:ctrlPr>
          </m:sSubPr>
          <m:e>
            <m:r>
              <w:rPr>
                <w:rFonts w:ascii="Cambria Math" w:hAnsi="Cambria Math"/>
              </w:rPr>
              <m:t>S</m:t>
            </m:r>
          </m:e>
          <m:sub>
            <m:r>
              <w:rPr>
                <w:rFonts w:ascii="Cambria Math" w:hAnsi="Cambria Math"/>
              </w:rPr>
              <m:t>e</m:t>
            </m:r>
          </m:sub>
        </m:sSub>
        <m:r>
          <m:rPr>
            <m:sty m:val="p"/>
          </m:rPr>
          <w:rPr>
            <w:rFonts w:ascii="Cambria Math" w:hAnsi="Cambria Math"/>
          </w:rPr>
          <m:t>(</m:t>
        </m:r>
        <m:r>
          <w:rPr>
            <w:rFonts w:ascii="Cambria Math" w:hAnsi="Cambria Math"/>
          </w:rPr>
          <m:t>π</m:t>
        </m:r>
        <m:r>
          <m:rPr>
            <m:sty m:val="p"/>
          </m:rPr>
          <w:rPr>
            <w:rFonts w:ascii="Cambria Math" w:hAnsi="Cambria Math"/>
          </w:rPr>
          <m:t>)</m:t>
        </m:r>
      </m:oMath>
      <w:r w:rsidRPr="00053560">
        <w:t>、资源回收评价函数</w:t>
      </w:r>
      <w:r w:rsidRPr="00053560">
        <w:t xml:space="preserve"> </w:t>
      </w:r>
      <m:oMath>
        <m:sSub>
          <m:sSubPr>
            <m:ctrlPr>
              <w:rPr>
                <w:rFonts w:ascii="Cambria Math" w:hAnsi="Cambria Math"/>
              </w:rPr>
            </m:ctrlPr>
          </m:sSubPr>
          <m:e>
            <m:r>
              <w:rPr>
                <w:rFonts w:ascii="Cambria Math" w:hAnsi="Cambria Math"/>
              </w:rPr>
              <m:t>S</m:t>
            </m:r>
          </m:e>
          <m:sub>
            <m:r>
              <w:rPr>
                <w:rFonts w:ascii="Cambria Math" w:hAnsi="Cambria Math"/>
              </w:rPr>
              <m:t>r</m:t>
            </m:r>
          </m:sub>
        </m:sSub>
        <m:r>
          <m:rPr>
            <m:sty m:val="p"/>
          </m:rPr>
          <w:rPr>
            <w:rFonts w:ascii="Cambria Math" w:hAnsi="Cambria Math"/>
          </w:rPr>
          <m:t>(</m:t>
        </m:r>
        <m:r>
          <w:rPr>
            <w:rFonts w:ascii="Cambria Math" w:hAnsi="Cambria Math"/>
          </w:rPr>
          <m:t>π</m:t>
        </m:r>
        <m:r>
          <m:rPr>
            <m:sty m:val="p"/>
          </m:rPr>
          <w:rPr>
            <w:rFonts w:ascii="Cambria Math" w:hAnsi="Cambria Math"/>
          </w:rPr>
          <m:t>)</m:t>
        </m:r>
      </m:oMath>
      <w:r w:rsidRPr="00053560">
        <w:t>和扰动控制评价函数</w:t>
      </w:r>
      <w:r w:rsidRPr="00053560">
        <w:t xml:space="preserve"> </w:t>
      </w:r>
      <m:oMath>
        <m:sSub>
          <m:sSubPr>
            <m:ctrlPr>
              <w:rPr>
                <w:rFonts w:ascii="Cambria Math" w:hAnsi="Cambria Math"/>
              </w:rPr>
            </m:ctrlPr>
          </m:sSubPr>
          <m:e>
            <m:r>
              <w:rPr>
                <w:rFonts w:ascii="Cambria Math" w:hAnsi="Cambria Math"/>
              </w:rPr>
              <m:t>S</m:t>
            </m:r>
          </m:e>
          <m:sub>
            <m:r>
              <w:rPr>
                <w:rFonts w:ascii="Cambria Math" w:hAnsi="Cambria Math"/>
              </w:rPr>
              <m:t>m</m:t>
            </m:r>
          </m:sub>
        </m:sSub>
        <m:r>
          <m:rPr>
            <m:sty m:val="p"/>
          </m:rPr>
          <w:rPr>
            <w:rFonts w:ascii="Cambria Math" w:hAnsi="Cambria Math"/>
          </w:rPr>
          <m:t>(</m:t>
        </m:r>
        <m:r>
          <w:rPr>
            <w:rFonts w:ascii="Cambria Math" w:hAnsi="Cambria Math"/>
          </w:rPr>
          <m:t>π</m:t>
        </m:r>
        <m:r>
          <m:rPr>
            <m:sty m:val="p"/>
          </m:rPr>
          <w:rPr>
            <w:rFonts w:ascii="Cambria Math" w:hAnsi="Cambria Math"/>
          </w:rPr>
          <m:t>)</m:t>
        </m:r>
      </m:oMath>
      <w:r w:rsidRPr="00053560">
        <w:t>，分别对应方案的实施便利性、资源利用潜力和扰动暴露水平。在统一评价框架下，多目标综合表达可写为：</w:t>
      </w:r>
    </w:p>
    <w:p w14:paraId="459E82AE" w14:textId="4D922B78" w:rsidR="00053560" w:rsidRDefault="00D16E8F" w:rsidP="00D16E8F">
      <w:pPr>
        <w:pStyle w:val="100"/>
        <w:ind w:firstLineChars="0" w:firstLine="0"/>
        <w:jc w:val="center"/>
      </w:pPr>
      <w:r w:rsidRPr="00D16E8F">
        <w:rPr>
          <w:position w:val="-12"/>
        </w:rPr>
        <w:object w:dxaOrig="3540" w:dyaOrig="360" w14:anchorId="2A1CC608">
          <v:shape id="_x0000_i1029" type="#_x0000_t75" style="width:177pt;height:18pt" o:ole="">
            <v:imagedata r:id="rId24" o:title=""/>
          </v:shape>
          <o:OLEObject Type="Embed" ProgID="Equation.DSMT4" ShapeID="_x0000_i1029" DrawAspect="Content" ObjectID="_1838381600" r:id="rId25"/>
        </w:object>
      </w:r>
    </w:p>
    <w:p w14:paraId="71F85AE5" w14:textId="1CB952AA" w:rsidR="00D16E8F" w:rsidRPr="00D16E8F" w:rsidRDefault="00D16E8F" w:rsidP="00D16E8F">
      <w:pPr>
        <w:pStyle w:val="100"/>
        <w:ind w:firstLine="420"/>
      </w:pPr>
      <w:r w:rsidRPr="00D16E8F">
        <w:t>其中，</w:t>
      </w:r>
      <m:oMath>
        <m:sSub>
          <m:sSubPr>
            <m:ctrlPr>
              <w:rPr>
                <w:rFonts w:ascii="Cambria Math" w:hAnsi="Cambria Math"/>
              </w:rPr>
            </m:ctrlPr>
          </m:sSubPr>
          <m:e>
            <m:r>
              <w:rPr>
                <w:rFonts w:ascii="Cambria Math" w:hAnsi="Cambria Math"/>
              </w:rPr>
              <m:t>λ</m:t>
            </m:r>
          </m:e>
          <m:sub>
            <m:r>
              <w:rPr>
                <w:rFonts w:ascii="Cambria Math" w:hAnsi="Cambria Math"/>
              </w:rPr>
              <m:t>e</m:t>
            </m:r>
          </m:sub>
        </m:sSub>
      </m:oMath>
      <w:r w:rsidRPr="00D16E8F">
        <w:t>、</w:t>
      </w:r>
      <m:oMath>
        <m:sSub>
          <m:sSubPr>
            <m:ctrlPr>
              <w:rPr>
                <w:rFonts w:ascii="Cambria Math" w:hAnsi="Cambria Math"/>
              </w:rPr>
            </m:ctrlPr>
          </m:sSubPr>
          <m:e>
            <m:r>
              <w:rPr>
                <w:rFonts w:ascii="Cambria Math" w:hAnsi="Cambria Math"/>
              </w:rPr>
              <m:t>λ</m:t>
            </m:r>
          </m:e>
          <m:sub>
            <m:r>
              <w:rPr>
                <w:rFonts w:ascii="Cambria Math" w:hAnsi="Cambria Math"/>
              </w:rPr>
              <m:t>r</m:t>
            </m:r>
          </m:sub>
        </m:sSub>
      </m:oMath>
      <w:r w:rsidRPr="00D16E8F">
        <w:t xml:space="preserve"> </w:t>
      </w:r>
      <w:r w:rsidRPr="00D16E8F">
        <w:t>和</w:t>
      </w:r>
      <w:r w:rsidRPr="00D16E8F">
        <w:t xml:space="preserve"> </w:t>
      </w:r>
      <m:oMath>
        <m:sSub>
          <m:sSubPr>
            <m:ctrlPr>
              <w:rPr>
                <w:rFonts w:ascii="Cambria Math" w:hAnsi="Cambria Math"/>
              </w:rPr>
            </m:ctrlPr>
          </m:sSubPr>
          <m:e>
            <m:r>
              <w:rPr>
                <w:rFonts w:ascii="Cambria Math" w:hAnsi="Cambria Math"/>
              </w:rPr>
              <m:t>λ</m:t>
            </m:r>
          </m:e>
          <m:sub>
            <m:r>
              <w:rPr>
                <w:rFonts w:ascii="Cambria Math" w:hAnsi="Cambria Math"/>
              </w:rPr>
              <m:t>m</m:t>
            </m:r>
          </m:sub>
        </m:sSub>
      </m:oMath>
      <w:r w:rsidRPr="00D16E8F">
        <w:t>分别为工程效率、资源回收和扰动控制的偏好权重，且满足</w:t>
      </w:r>
    </w:p>
    <w:p w14:paraId="33763EE3" w14:textId="4A66148C" w:rsidR="00D16E8F" w:rsidRDefault="00D16E8F" w:rsidP="00D16E8F">
      <w:pPr>
        <w:pStyle w:val="100"/>
        <w:ind w:firstLineChars="0" w:firstLine="0"/>
        <w:jc w:val="center"/>
      </w:pPr>
      <w:r w:rsidRPr="00D16E8F">
        <w:rPr>
          <w:position w:val="-12"/>
        </w:rPr>
        <w:object w:dxaOrig="3220" w:dyaOrig="360" w14:anchorId="6D32D183">
          <v:shape id="_x0000_i1030" type="#_x0000_t75" style="width:160.8pt;height:18pt" o:ole="">
            <v:imagedata r:id="rId26" o:title=""/>
          </v:shape>
          <o:OLEObject Type="Embed" ProgID="Equation.DSMT4" ShapeID="_x0000_i1030" DrawAspect="Content" ObjectID="_1838381601" r:id="rId27"/>
        </w:object>
      </w:r>
    </w:p>
    <w:p w14:paraId="0BAF13F0" w14:textId="536C1C45" w:rsidR="00D16E8F" w:rsidRPr="00D16E8F" w:rsidRDefault="00D16E8F" w:rsidP="00D16E8F">
      <w:pPr>
        <w:pStyle w:val="100"/>
        <w:ind w:firstLine="420"/>
      </w:pPr>
      <w:proofErr w:type="gramStart"/>
      <w:r w:rsidRPr="00D16E8F">
        <w:t>该表达</w:t>
      </w:r>
      <w:proofErr w:type="gramEnd"/>
      <w:r w:rsidRPr="00D16E8F">
        <w:t>用于说明同一候选池上的多目标权衡口径，而不是将采区规划简化为单一数学最优解。其作用主要在于：当不同工程目标存在冲突时，通过调节偏好权重形成具有解释性的方案排序结果。</w:t>
      </w:r>
    </w:p>
    <w:p w14:paraId="569C836D" w14:textId="758559AE" w:rsidR="00D16E8F" w:rsidRPr="00D16E8F" w:rsidRDefault="00D16E8F" w:rsidP="00D16E8F">
      <w:pPr>
        <w:pStyle w:val="100"/>
        <w:ind w:firstLine="420"/>
      </w:pPr>
      <w:r w:rsidRPr="00D16E8F">
        <w:t>具体而言，工程效率目标主要关注有效布置域覆盖率、工作面连续性、巷道组织便利性和实施稳定性；资源回收目标在覆盖率基础上进一步考虑</w:t>
      </w:r>
      <w:proofErr w:type="gramStart"/>
      <w:r w:rsidRPr="00D16E8F">
        <w:t>厚度场</w:t>
      </w:r>
      <w:proofErr w:type="gramEnd"/>
      <w:r w:rsidRPr="00D16E8F">
        <w:t>利用程度和资源价值分布；扰动控制目标则关注候选区域</w:t>
      </w:r>
      <w:proofErr w:type="gramStart"/>
      <w:r w:rsidRPr="00D16E8F">
        <w:t>内覆岩</w:t>
      </w:r>
      <w:proofErr w:type="gramEnd"/>
      <w:r w:rsidRPr="00D16E8F">
        <w:t>扰动均值、</w:t>
      </w:r>
      <w:proofErr w:type="gramStart"/>
      <w:r w:rsidRPr="00D16E8F">
        <w:t>高分位</w:t>
      </w:r>
      <w:proofErr w:type="gramEnd"/>
      <w:r w:rsidRPr="00D16E8F">
        <w:t>风险及阈值超限暴露程度。</w:t>
      </w:r>
      <w:r w:rsidRPr="00D16E8F">
        <w:t>3</w:t>
      </w:r>
      <w:r w:rsidRPr="00D16E8F">
        <w:t>类目标并非分别对应彼此独立的方案生成框架，而是在同一候选池上采用不同评价口径进行排序。这样处理的优势在于，不同偏好方案之间具有统一的输入基础和统一的约束背景，因而能够开展严格意义上的同口径比较。</w:t>
      </w:r>
    </w:p>
    <w:p w14:paraId="4D6AD100" w14:textId="77777777" w:rsidR="00D16E8F" w:rsidRPr="00D16E8F" w:rsidRDefault="00D16E8F" w:rsidP="00D16E8F">
      <w:pPr>
        <w:pStyle w:val="100"/>
        <w:ind w:firstLine="420"/>
      </w:pPr>
      <w:r w:rsidRPr="00D16E8F">
        <w:t>由此，本文形成了</w:t>
      </w:r>
      <w:r w:rsidRPr="00D16E8F">
        <w:t>“</w:t>
      </w:r>
      <w:r w:rsidRPr="00D16E8F">
        <w:t>统一候选池</w:t>
      </w:r>
      <w:r w:rsidRPr="00D16E8F">
        <w:t>—</w:t>
      </w:r>
      <w:r w:rsidRPr="00D16E8F">
        <w:t>多目标评价</w:t>
      </w:r>
      <w:r w:rsidRPr="00D16E8F">
        <w:t>—</w:t>
      </w:r>
      <w:r w:rsidRPr="00D16E8F">
        <w:t>偏好驱动排序</w:t>
      </w:r>
      <w:r w:rsidRPr="00D16E8F">
        <w:t>”</w:t>
      </w:r>
      <w:r w:rsidRPr="00D16E8F">
        <w:t>的采区协同规划模型。工程效率优先、资源回收优先和扰动控制优先并不代表不同输入条件下的独立方案体系，而是在同一候选池上的不同决策视角。后文将基于该模型进一步构建</w:t>
      </w:r>
      <w:proofErr w:type="gramStart"/>
      <w:r w:rsidRPr="00D16E8F">
        <w:t>方案级</w:t>
      </w:r>
      <w:proofErr w:type="gramEnd"/>
      <w:r w:rsidRPr="00D16E8F">
        <w:t>扰动统计指标，并在此基础上给出</w:t>
      </w:r>
      <w:r w:rsidRPr="00D16E8F">
        <w:t>A</w:t>
      </w:r>
      <w:r w:rsidRPr="00D16E8F">
        <w:t>、</w:t>
      </w:r>
      <w:r w:rsidRPr="00D16E8F">
        <w:t>B</w:t>
      </w:r>
      <w:r w:rsidRPr="00D16E8F">
        <w:t>、</w:t>
      </w:r>
      <w:r w:rsidRPr="00D16E8F">
        <w:t>C</w:t>
      </w:r>
      <w:r w:rsidRPr="00D16E8F">
        <w:t>方案的比较与优选结果。</w:t>
      </w:r>
    </w:p>
    <w:p w14:paraId="22932CB4" w14:textId="77777777" w:rsidR="00AD42AB" w:rsidRDefault="00AD42AB" w:rsidP="004B50B8">
      <w:pPr>
        <w:pStyle w:val="100"/>
        <w:keepNext/>
        <w:ind w:firstLineChars="0" w:firstLine="0"/>
        <w:jc w:val="center"/>
        <w:sectPr w:rsidR="00AD42AB" w:rsidSect="00AD42AB">
          <w:type w:val="continuous"/>
          <w:pgSz w:w="11906" w:h="16838"/>
          <w:pgMar w:top="1418" w:right="1134" w:bottom="1134" w:left="1134" w:header="1418" w:footer="0" w:gutter="0"/>
          <w:cols w:num="2" w:space="720"/>
          <w:docGrid w:linePitch="312"/>
        </w:sectPr>
      </w:pPr>
    </w:p>
    <w:p w14:paraId="0326B9A8" w14:textId="77777777" w:rsidR="00AD42AB" w:rsidRDefault="00AD42AB" w:rsidP="00351EC4">
      <w:pPr>
        <w:pStyle w:val="100"/>
        <w:ind w:firstLine="420"/>
        <w:sectPr w:rsidR="00AD42AB" w:rsidSect="00AD42AB">
          <w:type w:val="continuous"/>
          <w:pgSz w:w="11906" w:h="16838"/>
          <w:pgMar w:top="1418" w:right="1134" w:bottom="1134" w:left="1134" w:header="1418" w:footer="0" w:gutter="0"/>
          <w:cols w:space="720"/>
          <w:docGrid w:linePitch="312"/>
        </w:sectPr>
      </w:pPr>
    </w:p>
    <w:p w14:paraId="35339040" w14:textId="4E67670A" w:rsidR="00351EC4" w:rsidRPr="00D16E8F" w:rsidRDefault="00D16E8F" w:rsidP="00D16E8F">
      <w:pPr>
        <w:pStyle w:val="12"/>
      </w:pPr>
      <w:r w:rsidRPr="00D16E8F">
        <w:rPr>
          <w:rFonts w:hint="eastAsia"/>
        </w:rPr>
        <w:lastRenderedPageBreak/>
        <w:t xml:space="preserve">1.4 </w:t>
      </w:r>
      <w:proofErr w:type="gramStart"/>
      <w:r w:rsidRPr="00D16E8F">
        <w:rPr>
          <w:rFonts w:hint="eastAsia"/>
        </w:rPr>
        <w:t>方案级风险</w:t>
      </w:r>
      <w:proofErr w:type="gramEnd"/>
      <w:r w:rsidRPr="00D16E8F">
        <w:rPr>
          <w:rFonts w:hint="eastAsia"/>
        </w:rPr>
        <w:t>统计与优选规则</w:t>
      </w:r>
    </w:p>
    <w:p w14:paraId="64A6091F" w14:textId="77777777" w:rsidR="00D16E8F" w:rsidRPr="00D16E8F" w:rsidRDefault="00D16E8F" w:rsidP="00D16E8F">
      <w:pPr>
        <w:pStyle w:val="100"/>
        <w:ind w:firstLine="420"/>
      </w:pPr>
      <w:r w:rsidRPr="00D16E8F">
        <w:t>在完成候选方案生成与多目标评价模型构建后，还需要建立统一的</w:t>
      </w:r>
      <w:proofErr w:type="gramStart"/>
      <w:r w:rsidRPr="00D16E8F">
        <w:t>方案级风险</w:t>
      </w:r>
      <w:proofErr w:type="gramEnd"/>
      <w:r w:rsidRPr="00D16E8F">
        <w:t>统计口径，使不同候选方案能够在同</w:t>
      </w:r>
      <w:proofErr w:type="gramStart"/>
      <w:r w:rsidRPr="00D16E8F">
        <w:t>一覆岩扰动场</w:t>
      </w:r>
      <w:proofErr w:type="gramEnd"/>
      <w:r w:rsidRPr="00D16E8F">
        <w:t>和同</w:t>
      </w:r>
      <w:proofErr w:type="gramStart"/>
      <w:r w:rsidRPr="00D16E8F">
        <w:t>一评价</w:t>
      </w:r>
      <w:proofErr w:type="gramEnd"/>
      <w:r w:rsidRPr="00D16E8F">
        <w:t>尺度下进行比较。若仅依据空间分布图对方案进行经验判断，虽然能够识别局部高值区，但难以形成可复核、可排序和可比较的</w:t>
      </w:r>
      <w:proofErr w:type="gramStart"/>
      <w:r w:rsidRPr="00D16E8F">
        <w:t>方案级</w:t>
      </w:r>
      <w:proofErr w:type="gramEnd"/>
      <w:r w:rsidRPr="00D16E8F">
        <w:t>结论。因此，本文将候选方案所在区域</w:t>
      </w:r>
      <w:proofErr w:type="gramStart"/>
      <w:r w:rsidRPr="00D16E8F">
        <w:t>的覆岩扰动</w:t>
      </w:r>
      <w:proofErr w:type="gramEnd"/>
      <w:r w:rsidRPr="00D16E8F">
        <w:t>统计结果进一步归纳为总体水平、高值尾部水平和超阈值暴露程度</w:t>
      </w:r>
      <w:r w:rsidRPr="00D16E8F">
        <w:t>3</w:t>
      </w:r>
      <w:r w:rsidRPr="00D16E8F">
        <w:t>类指标，并在此基础上建立方案优选规则。</w:t>
      </w:r>
    </w:p>
    <w:p w14:paraId="50B8C5D3" w14:textId="77777777" w:rsidR="00D16E8F" w:rsidRPr="00D16E8F" w:rsidRDefault="00D16E8F" w:rsidP="00D16E8F">
      <w:pPr>
        <w:pStyle w:val="130"/>
      </w:pPr>
      <w:r w:rsidRPr="00D16E8F">
        <w:t xml:space="preserve">1.4.1 </w:t>
      </w:r>
      <w:proofErr w:type="gramStart"/>
      <w:r w:rsidRPr="00D16E8F">
        <w:t>方案级风险</w:t>
      </w:r>
      <w:proofErr w:type="gramEnd"/>
      <w:r w:rsidRPr="00D16E8F">
        <w:t>统计指标</w:t>
      </w:r>
    </w:p>
    <w:p w14:paraId="5B8A0824" w14:textId="1DFEE5A0" w:rsidR="00D16E8F" w:rsidRDefault="00D16E8F" w:rsidP="00D16E8F">
      <w:pPr>
        <w:pStyle w:val="100"/>
        <w:ind w:firstLine="420"/>
      </w:pPr>
      <w:r w:rsidRPr="00D16E8F">
        <w:t>设候选方案</w:t>
      </w:r>
      <w:r w:rsidRPr="00D16E8F">
        <w:t xml:space="preserve"> </w:t>
      </w:r>
      <m:oMath>
        <m:r>
          <w:rPr>
            <w:rFonts w:ascii="Cambria Math" w:hAnsi="Cambria Math"/>
          </w:rPr>
          <m:t>π</m:t>
        </m:r>
      </m:oMath>
      <w:r w:rsidRPr="00D16E8F">
        <w:t>对应的布置区域为</w:t>
      </w:r>
      <w:r w:rsidRPr="00D16E8F">
        <w:t xml:space="preserve"> </w:t>
      </w:r>
      <m:oMath>
        <m:sSub>
          <m:sSubPr>
            <m:ctrlPr>
              <w:rPr>
                <w:rFonts w:ascii="Cambria Math" w:hAnsi="Cambria Math"/>
              </w:rPr>
            </m:ctrlPr>
          </m:sSubPr>
          <m:e>
            <m:r>
              <w:rPr>
                <w:rFonts w:ascii="Cambria Math" w:hAnsi="Cambria Math"/>
              </w:rPr>
              <m:t>A</m:t>
            </m:r>
          </m:e>
          <m:sub>
            <m:r>
              <w:rPr>
                <w:rFonts w:ascii="Cambria Math" w:hAnsi="Cambria Math"/>
              </w:rPr>
              <m:t>π</m:t>
            </m:r>
          </m:sub>
        </m:sSub>
      </m:oMath>
      <w:r w:rsidRPr="00D16E8F">
        <w:t>，区域内参与统计的网格总数为</w:t>
      </w:r>
      <w:r w:rsidRPr="00D16E8F">
        <w:t xml:space="preserve"> </w:t>
      </w:r>
      <m:oMath>
        <m:sSub>
          <m:sSubPr>
            <m:ctrlPr>
              <w:rPr>
                <w:rFonts w:ascii="Cambria Math" w:hAnsi="Cambria Math"/>
              </w:rPr>
            </m:ctrlPr>
          </m:sSubPr>
          <m:e>
            <m:r>
              <w:rPr>
                <w:rFonts w:ascii="Cambria Math" w:hAnsi="Cambria Math"/>
              </w:rPr>
              <m:t>N</m:t>
            </m:r>
          </m:e>
          <m:sub>
            <m:r>
              <w:rPr>
                <w:rFonts w:ascii="Cambria Math" w:hAnsi="Cambria Math"/>
              </w:rPr>
              <m:t>π</m:t>
            </m:r>
          </m:sub>
        </m:sSub>
      </m:oMath>
      <w:r w:rsidRPr="00D16E8F">
        <w:t>，第</w:t>
      </w:r>
      <w:r w:rsidRPr="00D16E8F">
        <w:t xml:space="preserve"> </w:t>
      </w:r>
      <m:oMath>
        <m:r>
          <w:rPr>
            <w:rFonts w:ascii="Cambria Math" w:hAnsi="Cambria Math"/>
          </w:rPr>
          <m:t>i</m:t>
        </m:r>
      </m:oMath>
      <w:proofErr w:type="gramStart"/>
      <w:r w:rsidRPr="00D16E8F">
        <w:t>个</w:t>
      </w:r>
      <w:proofErr w:type="gramEnd"/>
      <w:r w:rsidRPr="00D16E8F">
        <w:t>网格的</w:t>
      </w:r>
      <w:proofErr w:type="gramStart"/>
      <w:r w:rsidRPr="00D16E8F">
        <w:t>覆岩扰动值</w:t>
      </w:r>
      <w:proofErr w:type="gramEnd"/>
      <w:r w:rsidRPr="00D16E8F">
        <w:t>为</w:t>
      </w:r>
      <w:r w:rsidRPr="00D16E8F">
        <w:t xml:space="preserve"> </w:t>
      </w:r>
      <m:oMath>
        <m:r>
          <w:rPr>
            <w:rFonts w:ascii="Cambria Math" w:hAnsi="Cambria Math"/>
          </w:rPr>
          <m:t>OD</m:t>
        </m:r>
        <m:sSub>
          <m:sSubPr>
            <m:ctrlPr>
              <w:rPr>
                <w:rFonts w:ascii="Cambria Math" w:hAnsi="Cambria Math"/>
              </w:rPr>
            </m:ctrlPr>
          </m:sSubPr>
          <m:e>
            <m:r>
              <w:rPr>
                <w:rFonts w:ascii="Cambria Math" w:hAnsi="Cambria Math"/>
              </w:rPr>
              <m:t>I</m:t>
            </m:r>
          </m:e>
          <m:sub>
            <m:r>
              <w:rPr>
                <w:rFonts w:ascii="Cambria Math" w:hAnsi="Cambria Math"/>
              </w:rPr>
              <m:t>i</m:t>
            </m:r>
          </m:sub>
        </m:sSub>
      </m:oMath>
      <w:r w:rsidRPr="00D16E8F">
        <w:t>。</w:t>
      </w:r>
      <w:proofErr w:type="gramStart"/>
      <w:r w:rsidRPr="00D16E8F">
        <w:t>则方案级风险</w:t>
      </w:r>
      <w:proofErr w:type="gramEnd"/>
      <w:r w:rsidRPr="00D16E8F">
        <w:t>首先采用区域内扰动均值表征，其定义为</w:t>
      </w:r>
    </w:p>
    <w:p w14:paraId="6FAB65EA" w14:textId="67117724" w:rsidR="00D16E8F" w:rsidRPr="00D16E8F" w:rsidRDefault="00D16E8F" w:rsidP="00D16E8F">
      <w:pPr>
        <w:pStyle w:val="100"/>
        <w:ind w:firstLineChars="0" w:firstLine="0"/>
        <w:jc w:val="center"/>
      </w:pPr>
      <w:r w:rsidRPr="00D16E8F">
        <w:rPr>
          <w:position w:val="-30"/>
        </w:rPr>
        <w:object w:dxaOrig="1960" w:dyaOrig="720" w14:anchorId="57E6ED94">
          <v:shape id="_x0000_i1031" type="#_x0000_t75" style="width:97.8pt;height:36pt" o:ole="">
            <v:imagedata r:id="rId28" o:title=""/>
          </v:shape>
          <o:OLEObject Type="Embed" ProgID="Equation.DSMT4" ShapeID="_x0000_i1031" DrawAspect="Content" ObjectID="_1838381602" r:id="rId29"/>
        </w:object>
      </w:r>
    </w:p>
    <w:p w14:paraId="120185DA" w14:textId="77777777" w:rsidR="00D16E8F" w:rsidRPr="00D16E8F" w:rsidRDefault="00D16E8F" w:rsidP="00D16E8F">
      <w:pPr>
        <w:pStyle w:val="100"/>
        <w:ind w:firstLine="420"/>
      </w:pPr>
      <w:r w:rsidRPr="00D16E8F">
        <w:t>该指标反映方案覆盖范围内的总体扰动水平，适合用于比较不同方案的平均风险暴露程度。</w:t>
      </w:r>
    </w:p>
    <w:p w14:paraId="5F78A900" w14:textId="2B973F92" w:rsidR="00D16E8F" w:rsidRPr="00D16E8F" w:rsidRDefault="00D16E8F" w:rsidP="00D16E8F">
      <w:pPr>
        <w:pStyle w:val="100"/>
        <w:ind w:firstLine="420"/>
      </w:pPr>
      <w:r w:rsidRPr="00D16E8F">
        <w:t>仅用均值仍不足以揭示局部高扰动尾部特征。为此，本文进一步引入</w:t>
      </w:r>
      <w:r w:rsidRPr="00D16E8F">
        <w:t>90%</w:t>
      </w:r>
      <w:r w:rsidRPr="00D16E8F">
        <w:t>分位数</w:t>
      </w:r>
      <w:r w:rsidRPr="00D16E8F">
        <w:t xml:space="preserve"> </w:t>
      </w:r>
      <m:oMath>
        <m:r>
          <w:rPr>
            <w:rFonts w:ascii="Cambria Math" w:hAnsi="Cambria Math"/>
          </w:rPr>
          <m:t>P</m:t>
        </m:r>
        <m:sSub>
          <m:sSubPr>
            <m:ctrlPr>
              <w:rPr>
                <w:rFonts w:ascii="Cambria Math" w:hAnsi="Cambria Math"/>
              </w:rPr>
            </m:ctrlPr>
          </m:sSubPr>
          <m:e>
            <m:r>
              <m:rPr>
                <m:sty m:val="p"/>
              </m:rPr>
              <w:rPr>
                <w:rFonts w:ascii="Cambria Math" w:hAnsi="Cambria Math"/>
              </w:rPr>
              <m:t>90</m:t>
            </m:r>
          </m:e>
          <m:sub>
            <m:r>
              <w:rPr>
                <w:rFonts w:ascii="Cambria Math" w:hAnsi="Cambria Math"/>
              </w:rPr>
              <m:t>π</m:t>
            </m:r>
          </m:sub>
        </m:sSub>
      </m:oMath>
      <w:r w:rsidRPr="00D16E8F">
        <w:t>作为高值尾部风险指标，用于描述方案区域内扰动值分布上部区间的典型水平。与均值相比，</w:t>
      </w:r>
      <m:oMath>
        <m:r>
          <w:rPr>
            <w:rFonts w:ascii="Cambria Math" w:hAnsi="Cambria Math"/>
          </w:rPr>
          <m:t>P</m:t>
        </m:r>
        <m:sSub>
          <m:sSubPr>
            <m:ctrlPr>
              <w:rPr>
                <w:rFonts w:ascii="Cambria Math" w:hAnsi="Cambria Math"/>
              </w:rPr>
            </m:ctrlPr>
          </m:sSubPr>
          <m:e>
            <m:r>
              <m:rPr>
                <m:sty m:val="p"/>
              </m:rPr>
              <w:rPr>
                <w:rFonts w:ascii="Cambria Math" w:hAnsi="Cambria Math"/>
              </w:rPr>
              <m:t>90</m:t>
            </m:r>
          </m:e>
          <m:sub>
            <m:r>
              <w:rPr>
                <w:rFonts w:ascii="Cambria Math" w:hAnsi="Cambria Math"/>
              </w:rPr>
              <m:t>π</m:t>
            </m:r>
          </m:sub>
        </m:sSub>
      </m:oMath>
      <w:r w:rsidRPr="00D16E8F">
        <w:t xml:space="preserve"> </w:t>
      </w:r>
      <w:r w:rsidRPr="00D16E8F">
        <w:t>对局部高</w:t>
      </w:r>
      <w:proofErr w:type="gramStart"/>
      <w:r w:rsidRPr="00D16E8F">
        <w:t>值区更加</w:t>
      </w:r>
      <w:proofErr w:type="gramEnd"/>
      <w:r w:rsidRPr="00D16E8F">
        <w:t>敏感，能够反映方案是否在局部范围内接触到较强扰动带，从而弥补均值对极端值不敏感的不足。</w:t>
      </w:r>
    </w:p>
    <w:p w14:paraId="32F856AB" w14:textId="77777777" w:rsidR="00D16E8F" w:rsidRDefault="00D16E8F" w:rsidP="00D16E8F">
      <w:pPr>
        <w:pStyle w:val="100"/>
        <w:ind w:firstLine="420"/>
      </w:pPr>
      <w:r w:rsidRPr="00D16E8F">
        <w:t>在此基础上，为定量表征高扰动区域在方案中的空间占比，定义超阈值暴露比例：</w:t>
      </w:r>
    </w:p>
    <w:p w14:paraId="692ECBD0" w14:textId="22F16F24" w:rsidR="00D16E8F" w:rsidRPr="00D16E8F" w:rsidRDefault="00D16E8F" w:rsidP="00D16E8F">
      <w:pPr>
        <w:pStyle w:val="100"/>
        <w:ind w:firstLineChars="0" w:firstLine="0"/>
        <w:jc w:val="center"/>
      </w:pPr>
      <w:r w:rsidRPr="00D16E8F">
        <w:rPr>
          <w:position w:val="-30"/>
        </w:rPr>
        <w:object w:dxaOrig="1920" w:dyaOrig="720" w14:anchorId="42AA3062">
          <v:shape id="_x0000_i1032" type="#_x0000_t75" style="width:96pt;height:36pt" o:ole="">
            <v:imagedata r:id="rId30" o:title=""/>
          </v:shape>
          <o:OLEObject Type="Embed" ProgID="Equation.DSMT4" ShapeID="_x0000_i1032" DrawAspect="Content" ObjectID="_1838381603" r:id="rId31"/>
        </w:object>
      </w:r>
    </w:p>
    <w:p w14:paraId="79F92186" w14:textId="1BA4260E" w:rsidR="00D16E8F" w:rsidRPr="00D16E8F" w:rsidRDefault="00D16E8F" w:rsidP="00D16E8F">
      <w:pPr>
        <w:pStyle w:val="100"/>
        <w:ind w:firstLine="420"/>
      </w:pPr>
      <w:r w:rsidRPr="00D16E8F">
        <w:t>式中，</w:t>
      </w:r>
      <m:oMath>
        <m:sSubSup>
          <m:sSubSupPr>
            <m:ctrlPr>
              <w:rPr>
                <w:rFonts w:ascii="Cambria Math" w:hAnsi="Cambria Math"/>
              </w:rPr>
            </m:ctrlPr>
          </m:sSubSupPr>
          <m:e>
            <m:r>
              <w:rPr>
                <w:rFonts w:ascii="Cambria Math" w:hAnsi="Cambria Math"/>
              </w:rPr>
              <m:t>N</m:t>
            </m:r>
          </m:e>
          <m:sub>
            <m:r>
              <w:rPr>
                <w:rFonts w:ascii="Cambria Math" w:hAnsi="Cambria Math"/>
              </w:rPr>
              <m:t>π</m:t>
            </m:r>
          </m:sub>
          <m:sup>
            <m:r>
              <w:rPr>
                <w:rFonts w:ascii="Cambria Math" w:hAnsi="Cambria Math"/>
              </w:rPr>
              <m:t>τ</m:t>
            </m:r>
          </m:sup>
        </m:sSubSup>
      </m:oMath>
      <w:r w:rsidRPr="00D16E8F">
        <w:t xml:space="preserve"> </w:t>
      </w:r>
      <w:r w:rsidRPr="00D16E8F">
        <w:t>为候选方案区域内满足</w:t>
      </w:r>
      <w:r w:rsidRPr="00D16E8F">
        <w:t xml:space="preserve"> </w:t>
      </w:r>
      <m:oMath>
        <m:r>
          <w:rPr>
            <w:rFonts w:ascii="Cambria Math" w:hAnsi="Cambria Math"/>
          </w:rPr>
          <m:t>OD</m:t>
        </m:r>
        <m:sSub>
          <m:sSubPr>
            <m:ctrlPr>
              <w:rPr>
                <w:rFonts w:ascii="Cambria Math" w:hAnsi="Cambria Math"/>
              </w:rPr>
            </m:ctrlPr>
          </m:sSubPr>
          <m:e>
            <m:r>
              <w:rPr>
                <w:rFonts w:ascii="Cambria Math" w:hAnsi="Cambria Math"/>
              </w:rPr>
              <m:t>I</m:t>
            </m:r>
          </m:e>
          <m:sub>
            <m:r>
              <w:rPr>
                <w:rFonts w:ascii="Cambria Math" w:hAnsi="Cambria Math"/>
              </w:rPr>
              <m:t>i</m:t>
            </m:r>
          </m:sub>
        </m:sSub>
        <m:r>
          <m:rPr>
            <m:sty m:val="p"/>
          </m:rPr>
          <w:rPr>
            <w:rFonts w:ascii="Cambria Math" w:hAnsi="Cambria Math"/>
          </w:rPr>
          <m:t>&gt;</m:t>
        </m:r>
        <m:r>
          <w:rPr>
            <w:rFonts w:ascii="Cambria Math" w:hAnsi="Cambria Math"/>
          </w:rPr>
          <m:t>τ</m:t>
        </m:r>
      </m:oMath>
      <w:r w:rsidRPr="00D16E8F">
        <w:t>的网格数量，</w:t>
      </w:r>
      <m:oMath>
        <m:r>
          <w:rPr>
            <w:rFonts w:ascii="Cambria Math" w:hAnsi="Cambria Math"/>
          </w:rPr>
          <m:t>τ</m:t>
        </m:r>
      </m:oMath>
      <w:r w:rsidRPr="00D16E8F">
        <w:t xml:space="preserve"> </w:t>
      </w:r>
      <w:r w:rsidRPr="00D16E8F">
        <w:t>为统计阈值。该指标用于刻画方案区域内超过给定扰动水平的空间暴露程度。本文将</w:t>
      </w:r>
      <w:r w:rsidRPr="00D16E8F">
        <w:t xml:space="preserve"> </w:t>
      </w:r>
      <m:oMath>
        <m:r>
          <w:rPr>
            <w:rFonts w:ascii="Cambria Math" w:hAnsi="Cambria Math"/>
          </w:rPr>
          <m:t>τ</m:t>
        </m:r>
        <m:r>
          <m:rPr>
            <m:sty m:val="p"/>
          </m:rPr>
          <w:rPr>
            <w:rFonts w:ascii="Cambria Math" w:hAnsi="Cambria Math"/>
          </w:rPr>
          <m:t>=0.70</m:t>
        </m:r>
      </m:oMath>
      <w:r w:rsidRPr="00D16E8F">
        <w:t>和</w:t>
      </w:r>
      <w:r w:rsidRPr="00D16E8F">
        <w:t xml:space="preserve"> </w:t>
      </w:r>
      <m:oMath>
        <m:r>
          <w:rPr>
            <w:rFonts w:ascii="Cambria Math" w:hAnsi="Cambria Math"/>
          </w:rPr>
          <m:t>τ</m:t>
        </m:r>
        <m:r>
          <m:rPr>
            <m:sty m:val="p"/>
          </m:rPr>
          <w:rPr>
            <w:rFonts w:ascii="Cambria Math" w:hAnsi="Cambria Math"/>
          </w:rPr>
          <m:t>=0.80</m:t>
        </m:r>
      </m:oMath>
      <w:r w:rsidRPr="00D16E8F">
        <w:t>作为样例中的主要统计阈值，并进一步设置</w:t>
      </w:r>
      <w:r w:rsidRPr="00D16E8F">
        <w:t>0.65</w:t>
      </w:r>
      <w:r w:rsidRPr="00D16E8F">
        <w:t>、</w:t>
      </w:r>
      <w:r w:rsidRPr="00D16E8F">
        <w:t>0.70</w:t>
      </w:r>
      <w:r w:rsidRPr="00D16E8F">
        <w:t>、</w:t>
      </w:r>
      <w:r w:rsidRPr="00D16E8F">
        <w:t>0.75</w:t>
      </w:r>
      <w:r w:rsidRPr="00D16E8F">
        <w:t>和</w:t>
      </w:r>
      <w:r w:rsidRPr="00D16E8F">
        <w:t>0.80</w:t>
      </w:r>
      <w:proofErr w:type="gramStart"/>
      <w:r w:rsidRPr="00D16E8F">
        <w:t>四</w:t>
      </w:r>
      <w:proofErr w:type="gramEnd"/>
      <w:r w:rsidRPr="00D16E8F">
        <w:t>组阈值开展敏感性分析，以减弱单一阈值设定对结论的影响。这里的阈值用于样</w:t>
      </w:r>
      <w:proofErr w:type="gramStart"/>
      <w:r w:rsidRPr="00D16E8F">
        <w:t>例内部</w:t>
      </w:r>
      <w:proofErr w:type="gramEnd"/>
      <w:r w:rsidRPr="00D16E8F">
        <w:t>比较和统计分层，不直接等同于行业</w:t>
      </w:r>
      <w:proofErr w:type="gramStart"/>
      <w:r w:rsidRPr="00D16E8F">
        <w:t>安全红</w:t>
      </w:r>
      <w:proofErr w:type="gramEnd"/>
      <w:r w:rsidRPr="00D16E8F">
        <w:t>线。</w:t>
      </w:r>
      <w:r w:rsidRPr="00D16E8F">
        <w:t xml:space="preserve"> </w:t>
      </w:r>
    </w:p>
    <w:p w14:paraId="65880E49" w14:textId="34D4789D" w:rsidR="00D16E8F" w:rsidRPr="00D16E8F" w:rsidRDefault="00D16E8F" w:rsidP="00D16E8F">
      <w:pPr>
        <w:pStyle w:val="100"/>
        <w:ind w:firstLine="420"/>
      </w:pPr>
      <w:r w:rsidRPr="00D16E8F">
        <w:t>由此，本文以</w:t>
      </w:r>
      <w:r w:rsidRPr="00D16E8F">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ODI</m:t>
                </m:r>
              </m:e>
            </m:acc>
          </m:e>
          <m:sub>
            <m:r>
              <w:rPr>
                <w:rFonts w:ascii="Cambria Math" w:hAnsi="Cambria Math"/>
              </w:rPr>
              <m:t>π</m:t>
            </m:r>
          </m:sub>
        </m:sSub>
      </m:oMath>
      <w:r w:rsidRPr="00D16E8F">
        <w:t>、</w:t>
      </w:r>
      <m:oMath>
        <m:r>
          <w:rPr>
            <w:rFonts w:ascii="Cambria Math" w:hAnsi="Cambria Math"/>
          </w:rPr>
          <m:t>P</m:t>
        </m:r>
        <m:sSub>
          <m:sSubPr>
            <m:ctrlPr>
              <w:rPr>
                <w:rFonts w:ascii="Cambria Math" w:hAnsi="Cambria Math"/>
              </w:rPr>
            </m:ctrlPr>
          </m:sSubPr>
          <m:e>
            <m:r>
              <m:rPr>
                <m:sty m:val="p"/>
              </m:rPr>
              <w:rPr>
                <w:rFonts w:ascii="Cambria Math" w:hAnsi="Cambria Math"/>
              </w:rPr>
              <m:t>90</m:t>
            </m:r>
          </m:e>
          <m:sub>
            <m:r>
              <w:rPr>
                <w:rFonts w:ascii="Cambria Math" w:hAnsi="Cambria Math"/>
              </w:rPr>
              <m:t>π</m:t>
            </m:r>
          </m:sub>
        </m:sSub>
      </m:oMath>
      <w:r w:rsidRPr="00D16E8F">
        <w:t xml:space="preserve"> </w:t>
      </w:r>
      <w:r w:rsidRPr="00D16E8F">
        <w:t>和</w:t>
      </w:r>
      <w:r w:rsidRPr="00D16E8F">
        <w:t xml:space="preserve"> </w:t>
      </w:r>
      <m:oMath>
        <m:sSub>
          <m:sSubPr>
            <m:ctrlPr>
              <w:rPr>
                <w:rFonts w:ascii="Cambria Math" w:hAnsi="Cambria Math"/>
              </w:rPr>
            </m:ctrlPr>
          </m:sSubPr>
          <m:e>
            <m:r>
              <w:rPr>
                <w:rFonts w:ascii="Cambria Math" w:hAnsi="Cambria Math"/>
              </w:rPr>
              <m:t>R</m:t>
            </m:r>
          </m:e>
          <m:sub>
            <m:r>
              <w:rPr>
                <w:rFonts w:ascii="Cambria Math" w:hAnsi="Cambria Math"/>
              </w:rPr>
              <m:t>π</m:t>
            </m:r>
          </m:sub>
        </m:sSub>
        <m:r>
          <m:rPr>
            <m:sty m:val="p"/>
          </m:rPr>
          <w:rPr>
            <w:rFonts w:ascii="Cambria Math" w:hAnsi="Cambria Math"/>
          </w:rPr>
          <m:t>(</m:t>
        </m:r>
        <m:r>
          <w:rPr>
            <w:rFonts w:ascii="Cambria Math" w:hAnsi="Cambria Math"/>
          </w:rPr>
          <m:t>τ</m:t>
        </m:r>
        <m:r>
          <m:rPr>
            <m:sty m:val="p"/>
          </m:rPr>
          <w:rPr>
            <w:rFonts w:ascii="Cambria Math" w:hAnsi="Cambria Math"/>
          </w:rPr>
          <m:t>)</m:t>
        </m:r>
      </m:oMath>
      <w:r w:rsidRPr="00D16E8F">
        <w:t>共同构成</w:t>
      </w:r>
      <w:proofErr w:type="gramStart"/>
      <w:r w:rsidRPr="00D16E8F">
        <w:t>方案级风险</w:t>
      </w:r>
      <w:proofErr w:type="gramEnd"/>
      <w:r w:rsidRPr="00D16E8F">
        <w:t>统计指标体系。其中，均值反映总体扰动水平，</w:t>
      </w:r>
      <m:oMath>
        <m:r>
          <w:rPr>
            <w:rFonts w:ascii="Cambria Math" w:hAnsi="Cambria Math"/>
          </w:rPr>
          <m:t>P</m:t>
        </m:r>
        <m:r>
          <m:rPr>
            <m:sty m:val="p"/>
          </m:rPr>
          <w:rPr>
            <w:rFonts w:ascii="Cambria Math" w:hAnsi="Cambria Math"/>
          </w:rPr>
          <m:t>90</m:t>
        </m:r>
      </m:oMath>
      <w:r w:rsidRPr="00D16E8F">
        <w:t xml:space="preserve"> </w:t>
      </w:r>
      <w:r w:rsidRPr="00D16E8F">
        <w:t>反映高值尾部风险，超阈值暴露比例</w:t>
      </w:r>
      <w:proofErr w:type="gramStart"/>
      <w:r w:rsidRPr="00D16E8F">
        <w:t>反映高</w:t>
      </w:r>
      <w:proofErr w:type="gramEnd"/>
      <w:r w:rsidRPr="00D16E8F">
        <w:t>扰动区在空间上的暴露程度。三者从不同角度描述方案的扰动特征，彼此互补，能够避免以单一统计量解释复杂风险分布时带来的</w:t>
      </w:r>
      <w:r w:rsidRPr="00D16E8F">
        <w:t>偏差。</w:t>
      </w:r>
    </w:p>
    <w:p w14:paraId="41078661" w14:textId="77777777" w:rsidR="00D16E8F" w:rsidRPr="00D16E8F" w:rsidRDefault="00D16E8F" w:rsidP="00D16E8F">
      <w:pPr>
        <w:pStyle w:val="100"/>
        <w:ind w:firstLine="422"/>
        <w:rPr>
          <w:b/>
          <w:bCs/>
        </w:rPr>
      </w:pPr>
      <w:r w:rsidRPr="00D16E8F">
        <w:rPr>
          <w:b/>
          <w:bCs/>
        </w:rPr>
        <w:t xml:space="preserve">1.4.2 </w:t>
      </w:r>
      <w:r w:rsidRPr="00D16E8F">
        <w:rPr>
          <w:b/>
          <w:bCs/>
        </w:rPr>
        <w:t>扰动控制综合判据</w:t>
      </w:r>
    </w:p>
    <w:p w14:paraId="58BB1652" w14:textId="77777777" w:rsidR="00D16E8F" w:rsidRDefault="00D16E8F" w:rsidP="00D16E8F">
      <w:pPr>
        <w:pStyle w:val="100"/>
        <w:ind w:firstLine="420"/>
      </w:pPr>
      <w:r w:rsidRPr="00D16E8F">
        <w:t>为进一步支持候选方案排序，本文在上述</w:t>
      </w:r>
      <w:r w:rsidRPr="00D16E8F">
        <w:t>3</w:t>
      </w:r>
      <w:r w:rsidRPr="00D16E8F">
        <w:t>类统计指标基础上构建扰动控制综合判据。考虑到方案优选并非仅依赖某一单独指标，本文将均值、</w:t>
      </w:r>
      <w:r w:rsidRPr="00D16E8F">
        <w:t>90%</w:t>
      </w:r>
      <w:r w:rsidRPr="00D16E8F">
        <w:t>分位数和超阈值暴露信息组合为统一的扰动风险综合量，并将其作为扰动控制目标排序的依据。其一般形式可表示为</w:t>
      </w:r>
    </w:p>
    <w:p w14:paraId="584F0E6C" w14:textId="61DE175B" w:rsidR="00D16E8F" w:rsidRPr="00D16E8F" w:rsidRDefault="00D16E8F" w:rsidP="00D16E8F">
      <w:pPr>
        <w:pStyle w:val="100"/>
        <w:ind w:firstLineChars="0" w:firstLine="0"/>
        <w:jc w:val="center"/>
      </w:pPr>
      <w:r w:rsidRPr="00D16E8F">
        <w:rPr>
          <w:position w:val="-12"/>
        </w:rPr>
        <w:object w:dxaOrig="3240" w:dyaOrig="400" w14:anchorId="581FEFBF">
          <v:shape id="_x0000_i1033" type="#_x0000_t75" style="width:162pt;height:19.8pt" o:ole="">
            <v:imagedata r:id="rId32" o:title=""/>
          </v:shape>
          <o:OLEObject Type="Embed" ProgID="Equation.DSMT4" ShapeID="_x0000_i1033" DrawAspect="Content" ObjectID="_1838381604" r:id="rId33"/>
        </w:object>
      </w:r>
    </w:p>
    <w:p w14:paraId="657DADEC" w14:textId="192BDC8E" w:rsidR="00D16E8F" w:rsidRDefault="00D16E8F" w:rsidP="00D16E8F">
      <w:pPr>
        <w:pStyle w:val="100"/>
        <w:ind w:firstLine="420"/>
      </w:pPr>
      <w:r w:rsidRPr="00D16E8F">
        <w:t>式中，</w:t>
      </w:r>
      <m:oMath>
        <m:sSub>
          <m:sSubPr>
            <m:ctrlPr>
              <w:rPr>
                <w:rFonts w:ascii="Cambria Math" w:hAnsi="Cambria Math"/>
              </w:rPr>
            </m:ctrlPr>
          </m:sSubPr>
          <m:e>
            <m:r>
              <w:rPr>
                <w:rFonts w:ascii="Cambria Math" w:hAnsi="Cambria Math"/>
              </w:rPr>
              <m:t>a</m:t>
            </m:r>
          </m:e>
          <m:sub>
            <m:r>
              <w:rPr>
                <w:rFonts w:ascii="Cambria Math" w:hAnsi="Cambria Math"/>
              </w:rPr>
              <m:t>1</m:t>
            </m:r>
          </m:sub>
        </m:sSub>
      </m:oMath>
      <w:r w:rsidRPr="00D16E8F">
        <w:t>、</w:t>
      </w:r>
      <m:oMath>
        <m:sSub>
          <m:sSubPr>
            <m:ctrlPr>
              <w:rPr>
                <w:rFonts w:ascii="Cambria Math" w:hAnsi="Cambria Math"/>
              </w:rPr>
            </m:ctrlPr>
          </m:sSubPr>
          <m:e>
            <m:r>
              <w:rPr>
                <w:rFonts w:ascii="Cambria Math" w:hAnsi="Cambria Math"/>
              </w:rPr>
              <m:t>a</m:t>
            </m:r>
          </m:e>
          <m:sub>
            <m:r>
              <w:rPr>
                <w:rFonts w:ascii="Cambria Math" w:hAnsi="Cambria Math"/>
              </w:rPr>
              <m:t>2</m:t>
            </m:r>
          </m:sub>
        </m:sSub>
      </m:oMath>
      <w:r w:rsidRPr="00D16E8F">
        <w:t xml:space="preserve"> </w:t>
      </w:r>
      <w:r w:rsidRPr="00D16E8F">
        <w:t>和</w:t>
      </w:r>
      <w:r w:rsidRPr="00D16E8F">
        <w:t xml:space="preserve"> </w:t>
      </w:r>
      <m:oMath>
        <m:sSub>
          <m:sSubPr>
            <m:ctrlPr>
              <w:rPr>
                <w:rFonts w:ascii="Cambria Math" w:hAnsi="Cambria Math"/>
              </w:rPr>
            </m:ctrlPr>
          </m:sSubPr>
          <m:e>
            <m:r>
              <w:rPr>
                <w:rFonts w:ascii="Cambria Math" w:hAnsi="Cambria Math"/>
              </w:rPr>
              <m:t>a</m:t>
            </m:r>
          </m:e>
          <m:sub>
            <m:r>
              <w:rPr>
                <w:rFonts w:ascii="Cambria Math" w:hAnsi="Cambria Math"/>
              </w:rPr>
              <m:t>3</m:t>
            </m:r>
          </m:sub>
        </m:sSub>
      </m:oMath>
      <w:r w:rsidRPr="00D16E8F">
        <w:t>为综合判据中各统计量的权重，满足</w:t>
      </w:r>
    </w:p>
    <w:p w14:paraId="5768BF66" w14:textId="0CBA03E1" w:rsidR="00D16E8F" w:rsidRPr="00D16E8F" w:rsidRDefault="00D16E8F" w:rsidP="00D16E8F">
      <w:pPr>
        <w:pStyle w:val="100"/>
        <w:ind w:firstLineChars="0" w:firstLine="0"/>
        <w:jc w:val="center"/>
      </w:pPr>
      <w:r w:rsidRPr="00D16E8F">
        <w:rPr>
          <w:position w:val="-12"/>
        </w:rPr>
        <w:object w:dxaOrig="3080" w:dyaOrig="360" w14:anchorId="54E3E92F">
          <v:shape id="_x0000_i1034" type="#_x0000_t75" style="width:154.2pt;height:18pt" o:ole="">
            <v:imagedata r:id="rId34" o:title=""/>
          </v:shape>
          <o:OLEObject Type="Embed" ProgID="Equation.DSMT4" ShapeID="_x0000_i1034" DrawAspect="Content" ObjectID="_1838381605" r:id="rId35"/>
        </w:object>
      </w:r>
    </w:p>
    <w:p w14:paraId="31672FDB" w14:textId="069EC4CF" w:rsidR="00D16E8F" w:rsidRPr="00D16E8F" w:rsidRDefault="00D16E8F" w:rsidP="00D16E8F">
      <w:pPr>
        <w:pStyle w:val="100"/>
        <w:ind w:firstLine="420"/>
      </w:pPr>
      <w:r w:rsidRPr="00D16E8F">
        <w:t>该综合量的目的，在于把总体风险、高值尾部风险和空间暴露程度纳入同一排序框架，而不是将方案优选简化为</w:t>
      </w:r>
      <w:r w:rsidRPr="00D16E8F">
        <w:t>“</w:t>
      </w:r>
      <w:r w:rsidRPr="00D16E8F">
        <w:t>谁的超阈值比例最低，谁就一定最优</w:t>
      </w:r>
      <w:r w:rsidRPr="00D16E8F">
        <w:t>”</w:t>
      </w:r>
      <w:r w:rsidRPr="00D16E8F">
        <w:t>。</w:t>
      </w:r>
    </w:p>
    <w:p w14:paraId="5EA3BFF8" w14:textId="77777777" w:rsidR="00D16E8F" w:rsidRPr="00D16E8F" w:rsidRDefault="00D16E8F" w:rsidP="00D16E8F">
      <w:pPr>
        <w:pStyle w:val="100"/>
        <w:ind w:firstLine="420"/>
      </w:pPr>
      <w:r w:rsidRPr="00D16E8F">
        <w:t>这种联合判据尤其适用于多目标采区规划场景。因为在实际候选方案中，某一方案可能具有较低的均值但局部高值尾部偏高，也可能具有较低的超阈值比例但整体扰动水平并不占优。若仅依据单一指标进行决策，容易忽略不同风险维度之间的结构差异。联合判据的作用，正是在于把这些差异显式组织起来，使方案优选建立在统一且可解释的统计基础之上。</w:t>
      </w:r>
    </w:p>
    <w:p w14:paraId="4B087E03" w14:textId="77777777" w:rsidR="00D16E8F" w:rsidRPr="00D16E8F" w:rsidRDefault="00D16E8F" w:rsidP="00D16E8F">
      <w:pPr>
        <w:pStyle w:val="130"/>
      </w:pPr>
      <w:r w:rsidRPr="00D16E8F">
        <w:t xml:space="preserve">1.4.3 </w:t>
      </w:r>
      <w:r w:rsidRPr="00D16E8F">
        <w:t>非支配排序与偏好模式输出</w:t>
      </w:r>
    </w:p>
    <w:p w14:paraId="1FD708AA" w14:textId="77777777" w:rsidR="00D16E8F" w:rsidRPr="00D16E8F" w:rsidRDefault="00D16E8F" w:rsidP="00D16E8F">
      <w:pPr>
        <w:pStyle w:val="100"/>
        <w:ind w:firstLine="420"/>
      </w:pPr>
      <w:r w:rsidRPr="00D16E8F">
        <w:t>在</w:t>
      </w:r>
      <w:proofErr w:type="gramStart"/>
      <w:r w:rsidRPr="00D16E8F">
        <w:t>方案级风险</w:t>
      </w:r>
      <w:proofErr w:type="gramEnd"/>
      <w:r w:rsidRPr="00D16E8F">
        <w:t>统计完成后，本文不直接采用单一加权总分对全部候选方案进行线性排序，而是先引入非支配排序和拥挤距离机制，形成有限推荐候选集，再根据不同决策偏好输出代表性方案。具体而言，以工程效率、资源回收和扰动控制</w:t>
      </w:r>
      <w:r w:rsidRPr="00D16E8F">
        <w:t>3</w:t>
      </w:r>
      <w:r w:rsidRPr="00D16E8F">
        <w:t>类目标构成目标向量，优先保留不存在其他方案在</w:t>
      </w:r>
      <w:r w:rsidRPr="00D16E8F">
        <w:t>3</w:t>
      </w:r>
      <w:r w:rsidRPr="00D16E8F">
        <w:t>个目标上同时优于它的候选方案；当同一非支配层中的候选数量超过输出规模时，再采用拥挤距离保持候选解集在目标空间中的分散性，避免输出方案过度集中于某一单一偏好附近。</w:t>
      </w:r>
    </w:p>
    <w:p w14:paraId="177437DA" w14:textId="08C1B3B4" w:rsidR="00D16E8F" w:rsidRPr="00D16E8F" w:rsidRDefault="00D16E8F" w:rsidP="00D16E8F">
      <w:pPr>
        <w:pStyle w:val="100"/>
        <w:ind w:firstLine="420"/>
      </w:pPr>
      <w:r w:rsidRPr="00D16E8F">
        <w:t>在此基础上，本文设置</w:t>
      </w:r>
      <w:r w:rsidRPr="00D16E8F">
        <w:t>3</w:t>
      </w:r>
      <w:r w:rsidRPr="00D16E8F">
        <w:t>类典型偏好模式。工程效率优先模式强调实施便利性和组织效率，对应输出方案</w:t>
      </w:r>
      <w:r w:rsidRPr="00D16E8F">
        <w:t>A</w:t>
      </w:r>
      <w:r w:rsidRPr="00D16E8F">
        <w:t>；资源回收优先模式强调覆盖率和资源利用潜力，对应输出方案</w:t>
      </w:r>
      <w:r w:rsidRPr="00D16E8F">
        <w:t>B</w:t>
      </w:r>
      <w:r w:rsidRPr="00D16E8F">
        <w:t>；扰动控制优先模式则在统一候选池内筛选低扰动候选，并结合联合判据输出方案</w:t>
      </w:r>
      <w:r w:rsidRPr="00D16E8F">
        <w:t>C</w:t>
      </w:r>
      <w:r w:rsidRPr="00D16E8F">
        <w:t>。需要强调的是，</w:t>
      </w:r>
      <w:r w:rsidRPr="00D16E8F">
        <w:t>A</w:t>
      </w:r>
      <w:r w:rsidRPr="00D16E8F">
        <w:t>、</w:t>
      </w:r>
      <w:r w:rsidRPr="00D16E8F">
        <w:t>B</w:t>
      </w:r>
      <w:r w:rsidRPr="00D16E8F">
        <w:t>、</w:t>
      </w:r>
      <w:r w:rsidRPr="00D16E8F">
        <w:t>C</w:t>
      </w:r>
      <w:r w:rsidRPr="00D16E8F">
        <w:t>并不是在不同输入条件下分别独立求解得到的方案，而是在同一研究区边界、同</w:t>
      </w:r>
      <w:proofErr w:type="gramStart"/>
      <w:r w:rsidRPr="00D16E8F">
        <w:t>一连续</w:t>
      </w:r>
      <w:proofErr w:type="gramEnd"/>
      <w:r w:rsidRPr="00D16E8F">
        <w:t>参数场、同</w:t>
      </w:r>
      <w:proofErr w:type="gramStart"/>
      <w:r w:rsidRPr="00D16E8F">
        <w:t>一覆岩扰动场</w:t>
      </w:r>
      <w:proofErr w:type="gramEnd"/>
      <w:r w:rsidRPr="00D16E8F">
        <w:t>和同一几何底线约束下，由不同偏好模式筛选得到的代表性候选。因此，三者之</w:t>
      </w:r>
      <w:r w:rsidRPr="00D16E8F">
        <w:lastRenderedPageBreak/>
        <w:t>间具有严格的一致比较基础。</w:t>
      </w:r>
    </w:p>
    <w:p w14:paraId="608F74B8" w14:textId="77777777" w:rsidR="00D16E8F" w:rsidRPr="00D16E8F" w:rsidRDefault="00D16E8F" w:rsidP="00D16E8F">
      <w:pPr>
        <w:pStyle w:val="130"/>
      </w:pPr>
      <w:r w:rsidRPr="00D16E8F">
        <w:t xml:space="preserve">1.4.4 </w:t>
      </w:r>
      <w:r w:rsidRPr="00D16E8F">
        <w:t>方案优选解释口径</w:t>
      </w:r>
    </w:p>
    <w:p w14:paraId="7A7D9E77" w14:textId="77777777" w:rsidR="00D16E8F" w:rsidRPr="00D16E8F" w:rsidRDefault="00D16E8F" w:rsidP="00D16E8F">
      <w:pPr>
        <w:pStyle w:val="100"/>
        <w:ind w:firstLine="420"/>
      </w:pPr>
      <w:r w:rsidRPr="00D16E8F">
        <w:t>基于上述规则，本文对低扰动候选的判定采用联合判据，而不以单一阈值下的最小超限比例作为唯一依据。换言之，某一方案即使在给定阈值下的超限比例不是最小，只要其总体扰动水平和高值尾部风险控制更优，仍可能在联合判据下表现为更合理的低扰动候选。这一设置能够更准确地揭示采区规划中资源覆盖与风险控制之间的权衡关系，也使后文</w:t>
      </w:r>
      <w:r w:rsidRPr="00D16E8F">
        <w:t>A</w:t>
      </w:r>
      <w:r w:rsidRPr="00D16E8F">
        <w:t>、</w:t>
      </w:r>
      <w:r w:rsidRPr="00D16E8F">
        <w:t>B</w:t>
      </w:r>
      <w:r w:rsidRPr="00D16E8F">
        <w:t>、</w:t>
      </w:r>
      <w:r w:rsidRPr="00D16E8F">
        <w:t>C</w:t>
      </w:r>
      <w:r w:rsidRPr="00D16E8F">
        <w:t>方案的比较建立在更加稳健的解释框架上。</w:t>
      </w:r>
      <w:r w:rsidRPr="00D16E8F">
        <w:t xml:space="preserve"> </w:t>
      </w:r>
    </w:p>
    <w:p w14:paraId="40354373" w14:textId="77777777" w:rsidR="00D16E8F" w:rsidRPr="00D16E8F" w:rsidRDefault="00D16E8F" w:rsidP="00D16E8F">
      <w:pPr>
        <w:pStyle w:val="100"/>
        <w:ind w:firstLine="420"/>
      </w:pPr>
      <w:r w:rsidRPr="00D16E8F">
        <w:t>由此，本文形成了从统一</w:t>
      </w:r>
      <w:proofErr w:type="gramStart"/>
      <w:r w:rsidRPr="00D16E8F">
        <w:t>覆岩扰动场到方案级统计</w:t>
      </w:r>
      <w:proofErr w:type="gramEnd"/>
      <w:r w:rsidRPr="00D16E8F">
        <w:t>指标，再到非支配排序与偏好模式输出的完整优选规则。其核心并不在于追求某个绝对最优解，而在于在统一约束和统一统计口径下，为不同工程偏好提供可比较、可复核、可解释的候选方案。后文将基于该规则，对研究区样例中的</w:t>
      </w:r>
      <w:r w:rsidRPr="00D16E8F">
        <w:t>A</w:t>
      </w:r>
      <w:r w:rsidRPr="00D16E8F">
        <w:t>、</w:t>
      </w:r>
      <w:r w:rsidRPr="00D16E8F">
        <w:t>B</w:t>
      </w:r>
      <w:r w:rsidRPr="00D16E8F">
        <w:t>、</w:t>
      </w:r>
      <w:r w:rsidRPr="00D16E8F">
        <w:t>C</w:t>
      </w:r>
      <w:r w:rsidRPr="00D16E8F">
        <w:t>方案开展对比分析，并进一步检验阈值设定和权重变化对方案排序的影响。</w:t>
      </w:r>
      <w:r w:rsidRPr="00D16E8F">
        <w:t xml:space="preserve"> </w:t>
      </w:r>
    </w:p>
    <w:p w14:paraId="7567059D" w14:textId="77777777" w:rsidR="00351EC4" w:rsidRPr="00351EC4" w:rsidRDefault="00351EC4" w:rsidP="00351EC4">
      <w:pPr>
        <w:pStyle w:val="11"/>
      </w:pPr>
      <w:r w:rsidRPr="00351EC4">
        <w:t xml:space="preserve">2 </w:t>
      </w:r>
      <w:r w:rsidRPr="00351EC4">
        <w:t>工程案例与结果分析</w:t>
      </w:r>
    </w:p>
    <w:p w14:paraId="0C4F4B47" w14:textId="6435C301" w:rsidR="00351EC4" w:rsidRPr="00351EC4" w:rsidRDefault="00351EC4" w:rsidP="00351EC4">
      <w:pPr>
        <w:pStyle w:val="12"/>
      </w:pPr>
      <w:r w:rsidRPr="00351EC4">
        <w:t xml:space="preserve">2.1 </w:t>
      </w:r>
      <w:r w:rsidR="00D16E8F" w:rsidRPr="00D16E8F">
        <w:rPr>
          <w:rFonts w:hint="eastAsia"/>
        </w:rPr>
        <w:t>研究区概况与基础输入</w:t>
      </w:r>
    </w:p>
    <w:p w14:paraId="362A49DF" w14:textId="77777777" w:rsidR="00D16E8F" w:rsidRPr="00D16E8F" w:rsidRDefault="00D16E8F" w:rsidP="00D16E8F">
      <w:pPr>
        <w:pStyle w:val="100"/>
        <w:ind w:firstLine="420"/>
      </w:pPr>
      <w:r w:rsidRPr="00D16E8F">
        <w:t>为验证所提方法在采区规划场景中的适用性，选取敏东研究区样</w:t>
      </w:r>
      <w:proofErr w:type="gramStart"/>
      <w:r w:rsidRPr="00D16E8F">
        <w:t>例开展</w:t>
      </w:r>
      <w:proofErr w:type="gramEnd"/>
      <w:r w:rsidRPr="00D16E8F">
        <w:t>分析。研究区以内蒙古呼伦贝尔敏东一矿相关工程背景资料为参照，顶底板岩性主要包括泥岩、砂质泥岩、炭质泥岩、煤和细粒砂岩，代表性埋深约</w:t>
      </w:r>
      <w:r w:rsidRPr="00D16E8F">
        <w:t>300 m</w:t>
      </w:r>
      <w:r w:rsidRPr="00D16E8F">
        <w:t>，具有厚煤层、软弱围岩与多源扰动约束并存的工程特征。当前计算采用样</w:t>
      </w:r>
      <w:proofErr w:type="gramStart"/>
      <w:r w:rsidRPr="00D16E8F">
        <w:t>例化规划</w:t>
      </w:r>
      <w:proofErr w:type="gramEnd"/>
      <w:r w:rsidRPr="00D16E8F">
        <w:t>域，以</w:t>
      </w:r>
      <w:r w:rsidRPr="00D16E8F">
        <w:t>6</w:t>
      </w:r>
      <w:r w:rsidRPr="00D16E8F">
        <w:t>个边界点、</w:t>
      </w:r>
      <w:r w:rsidRPr="00D16E8F">
        <w:t>15</w:t>
      </w:r>
      <w:r w:rsidRPr="00D16E8F">
        <w:t>个钻孔样点和规划控制参数为基础输入，原始边界面积为</w:t>
      </w:r>
      <w:r w:rsidRPr="00D16E8F">
        <w:t>255250.00 m²</w:t>
      </w:r>
      <w:r w:rsidRPr="00D16E8F">
        <w:t>。本文以该研究区为例，重点验证多</w:t>
      </w:r>
      <w:proofErr w:type="gramStart"/>
      <w:r w:rsidRPr="00D16E8F">
        <w:t>场景覆岩扰动</w:t>
      </w:r>
      <w:proofErr w:type="gramEnd"/>
      <w:r w:rsidRPr="00D16E8F">
        <w:t>约束进入采区规划后的计算流程、方案比较口径及结果可复核性。</w:t>
      </w:r>
    </w:p>
    <w:p w14:paraId="0F60D192" w14:textId="77777777" w:rsidR="00D16E8F" w:rsidRDefault="00D16E8F" w:rsidP="00D16E8F">
      <w:pPr>
        <w:pStyle w:val="100"/>
        <w:ind w:firstLine="420"/>
      </w:pPr>
      <w:r w:rsidRPr="00D16E8F">
        <w:t>从规划需求看，研究区的输入对象可归纳为</w:t>
      </w:r>
      <w:r w:rsidRPr="00D16E8F">
        <w:t>4</w:t>
      </w:r>
      <w:r w:rsidRPr="00D16E8F">
        <w:t>类：采区边界、钻孔样点、岩性力学背景资料和规划控制参数。其中，采区边界用于确定原始空间范围并进一步构建有效布置域；钻孔样点用于形</w:t>
      </w:r>
      <w:r w:rsidRPr="00D16E8F">
        <w:t>成煤层厚度等连续参数场；岩性与埋深资料用于</w:t>
      </w:r>
      <w:proofErr w:type="gramStart"/>
      <w:r w:rsidRPr="00D16E8F">
        <w:t>限定覆岩扰动</w:t>
      </w:r>
      <w:proofErr w:type="gramEnd"/>
      <w:r w:rsidRPr="00D16E8F">
        <w:t>评价的工程语境；边界煤柱、区段煤柱、工作面宽度、推进长度校核阈值和扰动统计阈值等参数，则共同构成后续候选方案生成与评价的约束条件。这样处理后，原始地质与设计信息不再作为彼此分离的资料来源存在，而是被统一组织为可直接进入规划模型的输入体系。</w:t>
      </w:r>
    </w:p>
    <w:p w14:paraId="01DC04DA" w14:textId="77777777" w:rsidR="006B4B0A" w:rsidRDefault="006B4B0A" w:rsidP="006B4B0A">
      <w:pPr>
        <w:pStyle w:val="14"/>
      </w:pPr>
      <w:r>
        <w:rPr>
          <w:rFonts w:ascii="宋体" w:hAnsi="宋体"/>
          <w:noProof/>
        </w:rPr>
        <w:drawing>
          <wp:inline distT="0" distB="0" distL="0" distR="0" wp14:anchorId="524656E1" wp14:editId="4CE98509">
            <wp:extent cx="2864246" cy="1777365"/>
            <wp:effectExtent l="0" t="0" r="0" b="0"/>
            <wp:docPr id="157111193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529"/>
                    <a:stretch>
                      <a:fillRect/>
                    </a:stretch>
                  </pic:blipFill>
                  <pic:spPr bwMode="auto">
                    <a:xfrm>
                      <a:off x="0" y="0"/>
                      <a:ext cx="2864757" cy="1777682"/>
                    </a:xfrm>
                    <a:prstGeom prst="rect">
                      <a:avLst/>
                    </a:prstGeom>
                    <a:noFill/>
                    <a:ln>
                      <a:noFill/>
                    </a:ln>
                    <a:extLst>
                      <a:ext uri="{53640926-AAD7-44D8-BBD7-CCE9431645EC}">
                        <a14:shadowObscured xmlns:a14="http://schemas.microsoft.com/office/drawing/2010/main"/>
                      </a:ext>
                    </a:extLst>
                  </pic:spPr>
                </pic:pic>
              </a:graphicData>
            </a:graphic>
          </wp:inline>
        </w:drawing>
      </w:r>
    </w:p>
    <w:p w14:paraId="70B2D571" w14:textId="78531295" w:rsidR="006B4B0A" w:rsidRDefault="006B4B0A" w:rsidP="006B4B0A">
      <w:pPr>
        <w:pStyle w:val="14"/>
      </w:pPr>
      <w:bookmarkStart w:id="7" w:name="_Ref227763177"/>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717C8">
        <w:rPr>
          <w:noProof/>
        </w:rPr>
        <w:t>6</w:t>
      </w:r>
      <w:r>
        <w:fldChar w:fldCharType="end"/>
      </w:r>
      <w:bookmarkEnd w:id="7"/>
      <w:r>
        <w:rPr>
          <w:rFonts w:hint="eastAsia"/>
        </w:rPr>
        <w:t xml:space="preserve"> </w:t>
      </w:r>
      <w:r w:rsidR="00CB5879" w:rsidRPr="00CB5879">
        <w:rPr>
          <w:rFonts w:hint="eastAsia"/>
        </w:rPr>
        <w:t>研究区基础输入与钻孔样点空间分布图</w:t>
      </w:r>
    </w:p>
    <w:p w14:paraId="17B33D60" w14:textId="599B3CF1" w:rsidR="006B4B0A" w:rsidRDefault="006B4B0A" w:rsidP="006B4B0A">
      <w:pPr>
        <w:pStyle w:val="14"/>
      </w:pPr>
      <w:r w:rsidRPr="00351EC4">
        <w:t>Fig.</w:t>
      </w:r>
      <w:r>
        <w:fldChar w:fldCharType="begin"/>
      </w:r>
      <w:r>
        <w:instrText xml:space="preserve"> REF _Ref227763177 \h </w:instrText>
      </w:r>
      <w:r>
        <w:fldChar w:fldCharType="separate"/>
      </w:r>
      <w:r>
        <w:rPr>
          <w:noProof/>
        </w:rPr>
        <w:t>6</w:t>
      </w:r>
      <w:r>
        <w:fldChar w:fldCharType="end"/>
      </w:r>
      <w:r w:rsidRPr="00351EC4">
        <w:t xml:space="preserve"> </w:t>
      </w:r>
      <w:r w:rsidR="00FB3E3F" w:rsidRPr="00FB3E3F">
        <w:t>Spatial distribution of boreholes in the study area</w:t>
      </w:r>
    </w:p>
    <w:p w14:paraId="1054948D" w14:textId="40D76CC2" w:rsidR="00D16E8F" w:rsidRPr="00D16E8F" w:rsidRDefault="006B4B0A" w:rsidP="00D16E8F">
      <w:pPr>
        <w:pStyle w:val="100"/>
        <w:ind w:firstLine="420"/>
      </w:pPr>
      <w:r>
        <w:fldChar w:fldCharType="begin"/>
      </w:r>
      <w:r>
        <w:instrText xml:space="preserve"> REF _Ref227763177 \h </w:instrText>
      </w:r>
      <w:r>
        <w:fldChar w:fldCharType="separate"/>
      </w:r>
      <w:r>
        <w:rPr>
          <w:rFonts w:hint="eastAsia"/>
        </w:rPr>
        <w:t>图</w:t>
      </w:r>
      <w:r>
        <w:rPr>
          <w:noProof/>
        </w:rPr>
        <w:t>6</w:t>
      </w:r>
      <w:r>
        <w:fldChar w:fldCharType="end"/>
      </w:r>
      <w:r w:rsidR="00D16E8F" w:rsidRPr="00D16E8F">
        <w:t>给出了研究区钻孔样点的空间分布。</w:t>
      </w:r>
      <w:r w:rsidR="00D16E8F" w:rsidRPr="00D16E8F">
        <w:t>15</w:t>
      </w:r>
      <w:r w:rsidR="00D16E8F" w:rsidRPr="00D16E8F">
        <w:t>个钻孔样点在研究区范围内形成了基本可用的空间采样网络，可为后续煤层厚度插值、资源覆盖分析和</w:t>
      </w:r>
      <w:proofErr w:type="gramStart"/>
      <w:r w:rsidR="00D16E8F" w:rsidRPr="00D16E8F">
        <w:t>覆岩扰动场</w:t>
      </w:r>
      <w:proofErr w:type="gramEnd"/>
      <w:r w:rsidR="00D16E8F" w:rsidRPr="00D16E8F">
        <w:t>叠加提供统一样本基础。样点煤层厚度最小值为</w:t>
      </w:r>
      <w:r w:rsidR="00D16E8F" w:rsidRPr="00D16E8F">
        <w:t>2.8 m</w:t>
      </w:r>
      <w:r w:rsidR="00D16E8F" w:rsidRPr="00D16E8F">
        <w:t>，最大值为</w:t>
      </w:r>
      <w:r w:rsidR="00D16E8F" w:rsidRPr="00D16E8F">
        <w:t>4.8 m</w:t>
      </w:r>
      <w:r w:rsidR="00D16E8F" w:rsidRPr="00D16E8F">
        <w:t>，平均值为</w:t>
      </w:r>
      <w:r w:rsidR="00D16E8F" w:rsidRPr="00D16E8F">
        <w:t>3.7933 m</w:t>
      </w:r>
      <w:r w:rsidR="00D16E8F" w:rsidRPr="00D16E8F">
        <w:t>，表明研究</w:t>
      </w:r>
      <w:proofErr w:type="gramStart"/>
      <w:r w:rsidR="00D16E8F" w:rsidRPr="00D16E8F">
        <w:t>区煤厚</w:t>
      </w:r>
      <w:proofErr w:type="gramEnd"/>
      <w:r w:rsidR="00D16E8F" w:rsidRPr="00D16E8F">
        <w:t>在空间上存在一定差异。对于采区规划而言，这种差异意味着不同位置在资源利用潜力和布置优先级上并不相同，因而有必要通过连续</w:t>
      </w:r>
      <w:proofErr w:type="gramStart"/>
      <w:r w:rsidR="00D16E8F" w:rsidRPr="00D16E8F">
        <w:t>参数场</w:t>
      </w:r>
      <w:proofErr w:type="gramEnd"/>
      <w:r w:rsidR="00D16E8F" w:rsidRPr="00D16E8F">
        <w:t>将离散钻孔信息转化为空间变量，而不能仅依据几何边界直接进行布置。</w:t>
      </w:r>
    </w:p>
    <w:p w14:paraId="3011D9EC" w14:textId="6716CA5D" w:rsidR="006B4B0A" w:rsidRDefault="00D16E8F" w:rsidP="00D16E8F">
      <w:pPr>
        <w:pStyle w:val="100"/>
        <w:ind w:firstLine="420"/>
      </w:pPr>
      <w:r w:rsidRPr="00D16E8F">
        <w:t>在进入候选方案求解之前，原始边界并不直接作为工作面布置边界使用，而需结合工程规则进行约束处理。</w:t>
      </w:r>
      <w:r w:rsidR="006B4B0A" w:rsidRPr="006B4B0A">
        <w:rPr>
          <w:rFonts w:hint="eastAsia"/>
        </w:rPr>
        <w:t>原始采区边界经煤柱约束和几何处理形成有效布置域的过程如</w:t>
      </w:r>
      <w:r w:rsidR="006B4B0A">
        <w:fldChar w:fldCharType="begin"/>
      </w:r>
      <w:r w:rsidR="006B4B0A">
        <w:instrText xml:space="preserve"> </w:instrText>
      </w:r>
      <w:r w:rsidR="006B4B0A">
        <w:rPr>
          <w:rFonts w:hint="eastAsia"/>
        </w:rPr>
        <w:instrText>REF _Ref227763549 \h</w:instrText>
      </w:r>
      <w:r w:rsidR="006B4B0A">
        <w:instrText xml:space="preserve"> </w:instrText>
      </w:r>
      <w:r w:rsidR="006B4B0A">
        <w:fldChar w:fldCharType="separate"/>
      </w:r>
      <w:r w:rsidR="006B4B0A" w:rsidRPr="00F41E99">
        <w:rPr>
          <w:rFonts w:hint="eastAsia"/>
        </w:rPr>
        <w:t>图</w:t>
      </w:r>
      <w:r w:rsidR="006B4B0A">
        <w:rPr>
          <w:noProof/>
        </w:rPr>
        <w:t>7</w:t>
      </w:r>
      <w:r w:rsidR="006B4B0A">
        <w:fldChar w:fldCharType="end"/>
      </w:r>
      <w:r w:rsidR="006B4B0A" w:rsidRPr="006B4B0A">
        <w:rPr>
          <w:rFonts w:hint="eastAsia"/>
        </w:rPr>
        <w:t>所示</w:t>
      </w:r>
      <w:r w:rsidR="006B4B0A">
        <w:rPr>
          <w:rFonts w:hint="eastAsia"/>
        </w:rPr>
        <w:t>，</w:t>
      </w:r>
      <w:r w:rsidR="006B4B0A" w:rsidRPr="006B4B0A">
        <w:rPr>
          <w:rFonts w:hint="eastAsia"/>
        </w:rPr>
        <w:t>原始采区边界在叠加边界煤柱、区段煤柱及局部保护距离等约束后，可逐步压缩为满足工程底线要求的有效布置域；该过程为后续工作面切分、推进方向组合和候选方案生成提供了合法空间范围。</w:t>
      </w:r>
    </w:p>
    <w:p w14:paraId="6EF6A038" w14:textId="77777777" w:rsidR="006B4B0A" w:rsidRDefault="006B4B0A" w:rsidP="006B4B0A">
      <w:pPr>
        <w:pStyle w:val="100"/>
        <w:keepNext/>
        <w:ind w:firstLineChars="0" w:firstLine="0"/>
        <w:jc w:val="center"/>
        <w:sectPr w:rsidR="006B4B0A" w:rsidSect="00A07DBF">
          <w:type w:val="continuous"/>
          <w:pgSz w:w="11906" w:h="16838"/>
          <w:pgMar w:top="1418" w:right="1134" w:bottom="1134" w:left="1134" w:header="720" w:footer="720" w:gutter="0"/>
          <w:cols w:num="2" w:space="720"/>
          <w:docGrid w:linePitch="598"/>
        </w:sectPr>
      </w:pPr>
    </w:p>
    <w:p w14:paraId="2135E7B0" w14:textId="77777777" w:rsidR="006B4B0A" w:rsidRDefault="006B4B0A" w:rsidP="006B4B0A">
      <w:pPr>
        <w:pStyle w:val="100"/>
        <w:keepNext/>
        <w:ind w:firstLineChars="0" w:firstLine="0"/>
        <w:jc w:val="center"/>
      </w:pPr>
      <w:r>
        <w:rPr>
          <w:noProof/>
        </w:rPr>
        <w:drawing>
          <wp:inline distT="0" distB="0" distL="0" distR="0" wp14:anchorId="37530080" wp14:editId="06470E27">
            <wp:extent cx="6111240" cy="1264920"/>
            <wp:effectExtent l="0" t="0" r="3810" b="0"/>
            <wp:docPr id="9671357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6111240" cy="1264920"/>
                    </a:xfrm>
                    <a:prstGeom prst="rect">
                      <a:avLst/>
                    </a:prstGeom>
                    <a:noFill/>
                    <a:ln>
                      <a:noFill/>
                    </a:ln>
                  </pic:spPr>
                </pic:pic>
              </a:graphicData>
            </a:graphic>
          </wp:inline>
        </w:drawing>
      </w:r>
    </w:p>
    <w:p w14:paraId="2C062082" w14:textId="75F8DE4A" w:rsidR="006B4B0A" w:rsidRPr="00F41E99" w:rsidRDefault="006B4B0A" w:rsidP="006B4B0A">
      <w:pPr>
        <w:pStyle w:val="14"/>
      </w:pPr>
      <w:bookmarkStart w:id="8" w:name="_Ref227763549"/>
      <w:r w:rsidRPr="00F41E99">
        <w:rPr>
          <w:rFonts w:hint="eastAsia"/>
        </w:rPr>
        <w:t>图</w:t>
      </w:r>
      <w:r w:rsidRPr="00F41E99">
        <w:fldChar w:fldCharType="begin"/>
      </w:r>
      <w:r w:rsidRPr="00F41E99">
        <w:instrText xml:space="preserve"> </w:instrText>
      </w:r>
      <w:r w:rsidRPr="00F41E99">
        <w:rPr>
          <w:rFonts w:hint="eastAsia"/>
        </w:rPr>
        <w:instrText xml:space="preserve">SEQ </w:instrText>
      </w:r>
      <w:r w:rsidRPr="00F41E99">
        <w:rPr>
          <w:rFonts w:hint="eastAsia"/>
        </w:rPr>
        <w:instrText>图</w:instrText>
      </w:r>
      <w:r w:rsidRPr="00F41E99">
        <w:rPr>
          <w:rFonts w:hint="eastAsia"/>
        </w:rPr>
        <w:instrText xml:space="preserve"> \* ARABIC</w:instrText>
      </w:r>
      <w:r w:rsidRPr="00F41E99">
        <w:instrText xml:space="preserve"> </w:instrText>
      </w:r>
      <w:r w:rsidRPr="00F41E99">
        <w:fldChar w:fldCharType="separate"/>
      </w:r>
      <w:r w:rsidR="009717C8">
        <w:rPr>
          <w:noProof/>
        </w:rPr>
        <w:t>7</w:t>
      </w:r>
      <w:r w:rsidRPr="00F41E99">
        <w:fldChar w:fldCharType="end"/>
      </w:r>
      <w:bookmarkEnd w:id="8"/>
      <w:r w:rsidRPr="00F41E99">
        <w:rPr>
          <w:rFonts w:hint="eastAsia"/>
        </w:rPr>
        <w:t xml:space="preserve"> </w:t>
      </w:r>
      <w:r w:rsidRPr="006B4B0A">
        <w:rPr>
          <w:rFonts w:hint="eastAsia"/>
        </w:rPr>
        <w:t>原始采区边界到有效布置域的构建过程图</w:t>
      </w:r>
    </w:p>
    <w:p w14:paraId="0219EAD8" w14:textId="2195AEB5" w:rsidR="006B4B0A" w:rsidRPr="00F41E99" w:rsidRDefault="006B4B0A" w:rsidP="006B4B0A">
      <w:pPr>
        <w:pStyle w:val="14"/>
      </w:pPr>
      <w:bookmarkStart w:id="9" w:name="_Toc227616731"/>
      <w:r w:rsidRPr="00F41E99">
        <w:t>Fig.</w:t>
      </w:r>
      <w:r>
        <w:fldChar w:fldCharType="begin"/>
      </w:r>
      <w:r>
        <w:instrText xml:space="preserve"> REF _Ref227763549 \h </w:instrText>
      </w:r>
      <w:r>
        <w:fldChar w:fldCharType="separate"/>
      </w:r>
      <w:r>
        <w:rPr>
          <w:noProof/>
        </w:rPr>
        <w:t>7</w:t>
      </w:r>
      <w:r>
        <w:fldChar w:fldCharType="end"/>
      </w:r>
      <w:r w:rsidRPr="00F41E99">
        <w:t xml:space="preserve"> </w:t>
      </w:r>
      <w:bookmarkEnd w:id="9"/>
      <w:r w:rsidRPr="006B4B0A">
        <w:t>Construction process from the original mining district boundary to the effective layout domain</w:t>
      </w:r>
    </w:p>
    <w:p w14:paraId="066D6B13" w14:textId="77777777" w:rsidR="006B4B0A" w:rsidRDefault="006B4B0A" w:rsidP="00D16E8F">
      <w:pPr>
        <w:pStyle w:val="100"/>
        <w:ind w:firstLine="420"/>
        <w:sectPr w:rsidR="006B4B0A" w:rsidSect="006B4B0A">
          <w:type w:val="continuous"/>
          <w:pgSz w:w="11906" w:h="16838"/>
          <w:pgMar w:top="1418" w:right="1134" w:bottom="1134" w:left="1134" w:header="1418" w:footer="0" w:gutter="0"/>
          <w:cols w:space="720"/>
          <w:docGrid w:linePitch="312"/>
        </w:sectPr>
      </w:pPr>
    </w:p>
    <w:p w14:paraId="17D395C7" w14:textId="5038DA0C" w:rsidR="00D16E8F" w:rsidRDefault="00D16E8F" w:rsidP="00D16E8F">
      <w:pPr>
        <w:pStyle w:val="100"/>
        <w:ind w:firstLine="420"/>
      </w:pPr>
      <w:proofErr w:type="gramStart"/>
      <w:r w:rsidRPr="00D16E8F">
        <w:lastRenderedPageBreak/>
        <w:t>当前样例采用</w:t>
      </w:r>
      <w:proofErr w:type="gramEnd"/>
      <w:r w:rsidRPr="00D16E8F">
        <w:t>30.0 m</w:t>
      </w:r>
      <w:r w:rsidRPr="00D16E8F">
        <w:t>边界煤柱、</w:t>
      </w:r>
      <w:r w:rsidRPr="00D16E8F">
        <w:t>20.0 m</w:t>
      </w:r>
      <w:r w:rsidRPr="00D16E8F">
        <w:t>区段煤柱和</w:t>
      </w:r>
      <w:r w:rsidRPr="00D16E8F">
        <w:t>120.0 m</w:t>
      </w:r>
      <w:r w:rsidRPr="00D16E8F">
        <w:t>工作面宽度，并以</w:t>
      </w:r>
      <w:proofErr w:type="gramStart"/>
      <w:r w:rsidRPr="00D16E8F">
        <w:t>走向长壁后退式开采</w:t>
      </w:r>
      <w:proofErr w:type="gramEnd"/>
      <w:r w:rsidRPr="00D16E8F">
        <w:t>作为基本布置方式；单工作面几何长度规则为</w:t>
      </w:r>
      <w:r w:rsidRPr="00D16E8F">
        <w:t>120</w:t>
      </w:r>
      <w:r w:rsidRPr="00D16E8F">
        <w:t>～</w:t>
      </w:r>
      <w:r w:rsidRPr="00D16E8F">
        <w:t>260 m</w:t>
      </w:r>
      <w:r w:rsidRPr="00D16E8F">
        <w:t>，推荐值为</w:t>
      </w:r>
      <w:r w:rsidRPr="00D16E8F">
        <w:t>200 m</w:t>
      </w:r>
      <w:r w:rsidRPr="00D16E8F">
        <w:t>，推进长度校核阈值取</w:t>
      </w:r>
      <w:r w:rsidRPr="00D16E8F">
        <w:t>800.0 m</w:t>
      </w:r>
      <w:r w:rsidRPr="00D16E8F">
        <w:t>。与此同时，</w:t>
      </w:r>
      <w:proofErr w:type="gramStart"/>
      <w:r w:rsidRPr="00D16E8F">
        <w:t>覆岩扰动</w:t>
      </w:r>
      <w:proofErr w:type="gramEnd"/>
      <w:r w:rsidRPr="00D16E8F">
        <w:t>统计阈值设置为</w:t>
      </w:r>
      <w:r w:rsidRPr="00D16E8F">
        <w:t>0.70</w:t>
      </w:r>
      <w:r w:rsidRPr="00D16E8F">
        <w:t>和</w:t>
      </w:r>
      <w:r w:rsidRPr="00D16E8F">
        <w:t>0.80</w:t>
      </w:r>
      <w:r w:rsidRPr="00D16E8F">
        <w:t>，用于后续</w:t>
      </w:r>
      <w:proofErr w:type="gramStart"/>
      <w:r w:rsidRPr="00D16E8F">
        <w:t>方案级</w:t>
      </w:r>
      <w:proofErr w:type="gramEnd"/>
      <w:r w:rsidRPr="00D16E8F">
        <w:t>超阈值暴露比例统计和风险分层比较。上述参数共同构成研究区样例的基础约束条件，也是后续有效布置域构建、候选方案生成和多目标比选的统一输入。</w:t>
      </w:r>
    </w:p>
    <w:p w14:paraId="2B25C1BF" w14:textId="46EB8C5B" w:rsidR="00D16E8F" w:rsidRDefault="00DC3694" w:rsidP="00D16E8F">
      <w:pPr>
        <w:pStyle w:val="100"/>
        <w:ind w:firstLine="420"/>
      </w:pPr>
      <w:r>
        <w:fldChar w:fldCharType="begin"/>
      </w:r>
      <w:r>
        <w:instrText xml:space="preserve"> REF _Ref227766472 \h </w:instrText>
      </w:r>
      <w:r>
        <w:fldChar w:fldCharType="separate"/>
      </w:r>
      <w:r w:rsidR="006C6CB7">
        <w:rPr>
          <w:rFonts w:hint="eastAsia"/>
        </w:rPr>
        <w:t>表</w:t>
      </w:r>
      <w:r w:rsidR="006C6CB7">
        <w:rPr>
          <w:noProof/>
        </w:rPr>
        <w:t>2</w:t>
      </w:r>
      <w:r>
        <w:fldChar w:fldCharType="end"/>
      </w:r>
      <w:r w:rsidR="00D16E8F" w:rsidRPr="00D16E8F">
        <w:t>汇总了研究区样例的主要输入参数与约</w:t>
      </w:r>
      <w:r w:rsidR="00D16E8F" w:rsidRPr="00D16E8F">
        <w:t>束条件。总体上，该研究区样</w:t>
      </w:r>
      <w:proofErr w:type="gramStart"/>
      <w:r w:rsidR="00D16E8F" w:rsidRPr="00D16E8F">
        <w:t>例具备</w:t>
      </w:r>
      <w:proofErr w:type="gramEnd"/>
      <w:r w:rsidR="00D16E8F" w:rsidRPr="00D16E8F">
        <w:t>本文方法验证所需的</w:t>
      </w:r>
      <w:r w:rsidR="00D16E8F" w:rsidRPr="00D16E8F">
        <w:t>3</w:t>
      </w:r>
      <w:r w:rsidR="00D16E8F" w:rsidRPr="00D16E8F">
        <w:t>项基础条件：其一，存在可用于构建连续</w:t>
      </w:r>
      <w:proofErr w:type="gramStart"/>
      <w:r w:rsidR="00D16E8F" w:rsidRPr="00D16E8F">
        <w:t>参数场</w:t>
      </w:r>
      <w:proofErr w:type="gramEnd"/>
      <w:r w:rsidR="00D16E8F" w:rsidRPr="00D16E8F">
        <w:t>的边界和钻孔样点；其二，存在可进入统一评价框架的规划控制参数；其三，能够在同</w:t>
      </w:r>
      <w:proofErr w:type="gramStart"/>
      <w:r w:rsidR="00D16E8F" w:rsidRPr="00D16E8F">
        <w:t>一基础</w:t>
      </w:r>
      <w:proofErr w:type="gramEnd"/>
      <w:r w:rsidR="00D16E8F" w:rsidRPr="00D16E8F">
        <w:t>输入、同一几何底线约束和同</w:t>
      </w:r>
      <w:proofErr w:type="gramStart"/>
      <w:r w:rsidR="00D16E8F" w:rsidRPr="00D16E8F">
        <w:t>一覆岩扰动场</w:t>
      </w:r>
      <w:proofErr w:type="gramEnd"/>
      <w:r w:rsidR="00D16E8F" w:rsidRPr="00D16E8F">
        <w:t>条件下，对不同偏好模式下的候选方案开展统一比较。后文的连续</w:t>
      </w:r>
      <w:proofErr w:type="gramStart"/>
      <w:r w:rsidR="00D16E8F" w:rsidRPr="00D16E8F">
        <w:t>参数场</w:t>
      </w:r>
      <w:proofErr w:type="gramEnd"/>
      <w:r w:rsidR="00D16E8F" w:rsidRPr="00D16E8F">
        <w:t>构建、多场景</w:t>
      </w:r>
      <w:proofErr w:type="gramStart"/>
      <w:r w:rsidR="00D16E8F" w:rsidRPr="00D16E8F">
        <w:t>覆岩扰动场</w:t>
      </w:r>
      <w:proofErr w:type="gramEnd"/>
      <w:r w:rsidR="00D16E8F" w:rsidRPr="00D16E8F">
        <w:t>生成、</w:t>
      </w:r>
      <w:r w:rsidR="00D16E8F" w:rsidRPr="00D16E8F">
        <w:t>A/B/C</w:t>
      </w:r>
      <w:r w:rsidR="00D16E8F" w:rsidRPr="00D16E8F">
        <w:t>方案比较以及敏感性分析，均建立在这一基础输入体系之上。</w:t>
      </w:r>
    </w:p>
    <w:p w14:paraId="2890E6B9" w14:textId="77777777" w:rsidR="00DC3694" w:rsidRDefault="00DC3694" w:rsidP="00DC3694">
      <w:pPr>
        <w:pStyle w:val="15"/>
        <w:sectPr w:rsidR="00DC3694" w:rsidSect="00A07DBF">
          <w:type w:val="continuous"/>
          <w:pgSz w:w="11906" w:h="16838"/>
          <w:pgMar w:top="1418" w:right="1134" w:bottom="1134" w:left="1134" w:header="720" w:footer="720" w:gutter="0"/>
          <w:cols w:num="2" w:space="720"/>
          <w:docGrid w:linePitch="598"/>
        </w:sectPr>
      </w:pPr>
    </w:p>
    <w:p w14:paraId="1B36151A" w14:textId="33A40F98" w:rsidR="00DC3694" w:rsidRDefault="00DC3694" w:rsidP="00DC3694">
      <w:pPr>
        <w:pStyle w:val="15"/>
      </w:pPr>
      <w:bookmarkStart w:id="10" w:name="_Ref227766472"/>
      <w:r>
        <w:rPr>
          <w:rFonts w:hint="eastAsia"/>
        </w:rPr>
        <w:t>表</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6C6CB7">
        <w:rPr>
          <w:noProof/>
        </w:rPr>
        <w:t>2</w:t>
      </w:r>
      <w:r>
        <w:fldChar w:fldCharType="end"/>
      </w:r>
      <w:bookmarkEnd w:id="10"/>
      <w:r>
        <w:rPr>
          <w:rFonts w:hint="eastAsia"/>
        </w:rPr>
        <w:t xml:space="preserve"> </w:t>
      </w:r>
      <w:r w:rsidRPr="0004445C">
        <w:t>研究区输入参数与约束条件</w:t>
      </w:r>
    </w:p>
    <w:p w14:paraId="1828FE1B" w14:textId="59E8BB86" w:rsidR="00DC3694" w:rsidRPr="00DC3694" w:rsidRDefault="00DC3694" w:rsidP="00DC3694">
      <w:pPr>
        <w:pStyle w:val="15"/>
      </w:pPr>
      <w:r w:rsidRPr="0004445C">
        <w:t>Table</w:t>
      </w:r>
      <w:r w:rsidR="006C6CB7">
        <w:rPr>
          <w:rFonts w:hint="eastAsia"/>
        </w:rPr>
        <w:t xml:space="preserve"> 2</w:t>
      </w:r>
      <w:r w:rsidRPr="0004445C">
        <w:t xml:space="preserve"> Input parameters and constraints of the study area</w:t>
      </w:r>
    </w:p>
    <w:tbl>
      <w:tblPr>
        <w:tblW w:w="4481" w:type="pct"/>
        <w:jc w:val="center"/>
        <w:tblCellMar>
          <w:left w:w="10" w:type="dxa"/>
          <w:right w:w="10" w:type="dxa"/>
        </w:tblCellMar>
        <w:tblLook w:val="04A0" w:firstRow="1" w:lastRow="0" w:firstColumn="1" w:lastColumn="0" w:noHBand="0" w:noVBand="1"/>
      </w:tblPr>
      <w:tblGrid>
        <w:gridCol w:w="1133"/>
        <w:gridCol w:w="1987"/>
        <w:gridCol w:w="1133"/>
        <w:gridCol w:w="1702"/>
        <w:gridCol w:w="479"/>
        <w:gridCol w:w="2204"/>
      </w:tblGrid>
      <w:tr w:rsidR="002711E2" w:rsidRPr="00351EC4" w14:paraId="45E5FA33" w14:textId="77777777" w:rsidTr="002711E2">
        <w:trPr>
          <w:jc w:val="center"/>
        </w:trPr>
        <w:tc>
          <w:tcPr>
            <w:tcW w:w="656" w:type="pct"/>
            <w:tcBorders>
              <w:top w:val="single" w:sz="8" w:space="0" w:color="000000"/>
              <w:bottom w:val="single" w:sz="6" w:space="0" w:color="000000"/>
            </w:tcBorders>
            <w:vAlign w:val="center"/>
          </w:tcPr>
          <w:p w14:paraId="4DA87536" w14:textId="77777777" w:rsidR="00DC3694" w:rsidRPr="00251574" w:rsidRDefault="00DC3694" w:rsidP="00547F94">
            <w:pPr>
              <w:spacing w:beforeLines="0" w:before="0" w:afterLines="0" w:after="0"/>
              <w:jc w:val="center"/>
              <w:rPr>
                <w:rFonts w:eastAsia="宋体"/>
                <w:sz w:val="18"/>
                <w:szCs w:val="18"/>
              </w:rPr>
            </w:pPr>
            <w:r w:rsidRPr="00251574">
              <w:rPr>
                <w:rFonts w:eastAsia="宋体"/>
                <w:sz w:val="18"/>
                <w:szCs w:val="18"/>
              </w:rPr>
              <w:t>类别</w:t>
            </w:r>
          </w:p>
        </w:tc>
        <w:tc>
          <w:tcPr>
            <w:tcW w:w="1150" w:type="pct"/>
            <w:tcBorders>
              <w:top w:val="single" w:sz="8" w:space="0" w:color="000000"/>
              <w:bottom w:val="single" w:sz="6" w:space="0" w:color="000000"/>
            </w:tcBorders>
            <w:vAlign w:val="center"/>
          </w:tcPr>
          <w:p w14:paraId="52A5735B" w14:textId="77777777" w:rsidR="00DC3694" w:rsidRPr="00251574" w:rsidRDefault="00DC3694" w:rsidP="00547F94">
            <w:pPr>
              <w:spacing w:beforeLines="0" w:before="0" w:afterLines="0" w:after="0"/>
              <w:jc w:val="center"/>
              <w:rPr>
                <w:rFonts w:eastAsia="宋体"/>
                <w:sz w:val="18"/>
                <w:szCs w:val="18"/>
              </w:rPr>
            </w:pPr>
            <w:r w:rsidRPr="00251574">
              <w:rPr>
                <w:rFonts w:eastAsia="宋体"/>
                <w:sz w:val="18"/>
                <w:szCs w:val="18"/>
              </w:rPr>
              <w:t>参数名称</w:t>
            </w:r>
          </w:p>
        </w:tc>
        <w:tc>
          <w:tcPr>
            <w:tcW w:w="656" w:type="pct"/>
            <w:tcBorders>
              <w:top w:val="single" w:sz="8" w:space="0" w:color="000000"/>
              <w:bottom w:val="single" w:sz="6" w:space="0" w:color="000000"/>
            </w:tcBorders>
            <w:vAlign w:val="center"/>
          </w:tcPr>
          <w:p w14:paraId="304742A0" w14:textId="77777777" w:rsidR="00DC3694" w:rsidRPr="00251574" w:rsidRDefault="00DC3694" w:rsidP="00547F94">
            <w:pPr>
              <w:spacing w:beforeLines="0" w:before="0" w:afterLines="0" w:after="0"/>
              <w:jc w:val="center"/>
              <w:rPr>
                <w:rFonts w:eastAsia="宋体"/>
                <w:sz w:val="18"/>
                <w:szCs w:val="18"/>
              </w:rPr>
            </w:pPr>
            <w:r w:rsidRPr="00251574">
              <w:rPr>
                <w:rFonts w:eastAsia="宋体"/>
                <w:sz w:val="18"/>
                <w:szCs w:val="18"/>
              </w:rPr>
              <w:t>符号</w:t>
            </w:r>
          </w:p>
        </w:tc>
        <w:tc>
          <w:tcPr>
            <w:tcW w:w="985" w:type="pct"/>
            <w:tcBorders>
              <w:top w:val="single" w:sz="8" w:space="0" w:color="000000"/>
              <w:bottom w:val="single" w:sz="6" w:space="0" w:color="000000"/>
            </w:tcBorders>
            <w:vAlign w:val="center"/>
          </w:tcPr>
          <w:p w14:paraId="38D3C26D" w14:textId="77777777" w:rsidR="00DC3694" w:rsidRPr="00251574" w:rsidRDefault="00DC3694" w:rsidP="00547F94">
            <w:pPr>
              <w:spacing w:beforeLines="0" w:before="0" w:afterLines="0" w:after="0"/>
              <w:jc w:val="center"/>
              <w:rPr>
                <w:rFonts w:eastAsia="宋体"/>
                <w:sz w:val="18"/>
                <w:szCs w:val="18"/>
              </w:rPr>
            </w:pPr>
            <w:r w:rsidRPr="00251574">
              <w:rPr>
                <w:rFonts w:eastAsia="宋体"/>
                <w:sz w:val="18"/>
                <w:szCs w:val="18"/>
              </w:rPr>
              <w:t>数值或范围</w:t>
            </w:r>
          </w:p>
        </w:tc>
        <w:tc>
          <w:tcPr>
            <w:tcW w:w="277" w:type="pct"/>
            <w:tcBorders>
              <w:top w:val="single" w:sz="8" w:space="0" w:color="000000"/>
              <w:bottom w:val="single" w:sz="6" w:space="0" w:color="000000"/>
            </w:tcBorders>
            <w:vAlign w:val="center"/>
          </w:tcPr>
          <w:p w14:paraId="2ED6A252" w14:textId="77777777" w:rsidR="00DC3694" w:rsidRPr="00251574" w:rsidRDefault="00DC3694" w:rsidP="00547F94">
            <w:pPr>
              <w:spacing w:beforeLines="0" w:before="0" w:afterLines="0" w:after="0"/>
              <w:jc w:val="center"/>
              <w:rPr>
                <w:rFonts w:eastAsia="宋体"/>
                <w:sz w:val="18"/>
                <w:szCs w:val="18"/>
              </w:rPr>
            </w:pPr>
            <w:r w:rsidRPr="00251574">
              <w:rPr>
                <w:rFonts w:eastAsia="宋体"/>
                <w:sz w:val="18"/>
                <w:szCs w:val="18"/>
              </w:rPr>
              <w:t>单位</w:t>
            </w:r>
          </w:p>
        </w:tc>
        <w:tc>
          <w:tcPr>
            <w:tcW w:w="1276" w:type="pct"/>
            <w:tcBorders>
              <w:top w:val="single" w:sz="8" w:space="0" w:color="000000"/>
              <w:bottom w:val="single" w:sz="6" w:space="0" w:color="000000"/>
            </w:tcBorders>
            <w:vAlign w:val="center"/>
          </w:tcPr>
          <w:p w14:paraId="7B1DEBA4" w14:textId="77777777" w:rsidR="00DC3694" w:rsidRPr="00251574" w:rsidRDefault="00DC3694" w:rsidP="00547F94">
            <w:pPr>
              <w:spacing w:beforeLines="0" w:before="0" w:afterLines="0" w:after="0"/>
              <w:jc w:val="center"/>
              <w:rPr>
                <w:rFonts w:eastAsia="宋体"/>
                <w:sz w:val="18"/>
                <w:szCs w:val="18"/>
              </w:rPr>
            </w:pPr>
            <w:r w:rsidRPr="00251574">
              <w:rPr>
                <w:rFonts w:eastAsia="宋体"/>
                <w:sz w:val="18"/>
                <w:szCs w:val="18"/>
              </w:rPr>
              <w:t>数据来源</w:t>
            </w:r>
          </w:p>
        </w:tc>
      </w:tr>
      <w:tr w:rsidR="002711E2" w:rsidRPr="00351EC4" w14:paraId="74F22F81" w14:textId="77777777" w:rsidTr="002711E2">
        <w:trPr>
          <w:jc w:val="center"/>
        </w:trPr>
        <w:tc>
          <w:tcPr>
            <w:tcW w:w="656" w:type="pct"/>
            <w:vAlign w:val="center"/>
          </w:tcPr>
          <w:p w14:paraId="22BC47AD" w14:textId="77777777" w:rsidR="00DC3694" w:rsidRPr="00251574" w:rsidRDefault="00DC3694" w:rsidP="00547F94">
            <w:pPr>
              <w:spacing w:beforeLines="0" w:before="0" w:afterLines="0" w:after="0"/>
              <w:jc w:val="center"/>
              <w:rPr>
                <w:rFonts w:eastAsia="宋体"/>
                <w:sz w:val="18"/>
                <w:szCs w:val="18"/>
              </w:rPr>
            </w:pPr>
            <w:r w:rsidRPr="00251574">
              <w:rPr>
                <w:rFonts w:eastAsia="宋体"/>
                <w:sz w:val="18"/>
                <w:szCs w:val="18"/>
              </w:rPr>
              <w:t>研究区基础</w:t>
            </w:r>
          </w:p>
        </w:tc>
        <w:tc>
          <w:tcPr>
            <w:tcW w:w="1150" w:type="pct"/>
            <w:vAlign w:val="center"/>
          </w:tcPr>
          <w:p w14:paraId="2C1686D3" w14:textId="77777777" w:rsidR="00DC3694" w:rsidRPr="00251574" w:rsidRDefault="00DC3694" w:rsidP="00547F94">
            <w:pPr>
              <w:spacing w:beforeLines="0" w:before="0" w:afterLines="0" w:after="0"/>
              <w:jc w:val="center"/>
              <w:rPr>
                <w:rFonts w:eastAsia="宋体"/>
                <w:sz w:val="18"/>
                <w:szCs w:val="18"/>
              </w:rPr>
            </w:pPr>
            <w:r w:rsidRPr="00251574">
              <w:rPr>
                <w:rFonts w:eastAsia="宋体"/>
                <w:sz w:val="18"/>
                <w:szCs w:val="18"/>
              </w:rPr>
              <w:t>钻孔数量</w:t>
            </w:r>
          </w:p>
        </w:tc>
        <w:tc>
          <w:tcPr>
            <w:tcW w:w="656" w:type="pct"/>
            <w:vAlign w:val="center"/>
          </w:tcPr>
          <w:p w14:paraId="773F115C" w14:textId="77777777" w:rsidR="00DC3694" w:rsidRPr="00251574" w:rsidRDefault="00DC3694" w:rsidP="00547F94">
            <w:pPr>
              <w:spacing w:beforeLines="0" w:before="0" w:afterLines="0" w:after="0"/>
              <w:jc w:val="center"/>
              <w:rPr>
                <w:rFonts w:eastAsia="宋体"/>
                <w:sz w:val="18"/>
                <w:szCs w:val="18"/>
              </w:rPr>
            </w:pPr>
            <w:r w:rsidRPr="00251574">
              <w:rPr>
                <w:rFonts w:eastAsia="宋体"/>
                <w:sz w:val="18"/>
                <w:szCs w:val="18"/>
              </w:rPr>
              <w:t>n</w:t>
            </w:r>
          </w:p>
        </w:tc>
        <w:tc>
          <w:tcPr>
            <w:tcW w:w="985" w:type="pct"/>
            <w:vAlign w:val="center"/>
          </w:tcPr>
          <w:p w14:paraId="4989E5EA" w14:textId="77777777" w:rsidR="00DC3694" w:rsidRPr="00251574" w:rsidRDefault="00DC3694" w:rsidP="00547F94">
            <w:pPr>
              <w:spacing w:beforeLines="0" w:before="0" w:afterLines="0" w:after="0"/>
              <w:jc w:val="center"/>
              <w:rPr>
                <w:rFonts w:eastAsia="宋体"/>
                <w:sz w:val="18"/>
                <w:szCs w:val="18"/>
              </w:rPr>
            </w:pPr>
            <w:r w:rsidRPr="00251574">
              <w:rPr>
                <w:rFonts w:eastAsia="宋体"/>
                <w:sz w:val="18"/>
                <w:szCs w:val="18"/>
              </w:rPr>
              <w:t>15</w:t>
            </w:r>
          </w:p>
        </w:tc>
        <w:tc>
          <w:tcPr>
            <w:tcW w:w="277" w:type="pct"/>
            <w:vAlign w:val="center"/>
          </w:tcPr>
          <w:p w14:paraId="4A4626A3" w14:textId="77777777" w:rsidR="00DC3694" w:rsidRPr="00251574" w:rsidRDefault="00DC3694" w:rsidP="00547F94">
            <w:pPr>
              <w:spacing w:beforeLines="0" w:before="0" w:afterLines="0" w:after="0"/>
              <w:jc w:val="center"/>
              <w:rPr>
                <w:rFonts w:eastAsia="宋体"/>
                <w:sz w:val="18"/>
                <w:szCs w:val="18"/>
              </w:rPr>
            </w:pPr>
            <w:proofErr w:type="gramStart"/>
            <w:r w:rsidRPr="00251574">
              <w:rPr>
                <w:rFonts w:eastAsia="宋体"/>
                <w:sz w:val="18"/>
                <w:szCs w:val="18"/>
              </w:rPr>
              <w:t>个</w:t>
            </w:r>
            <w:proofErr w:type="gramEnd"/>
          </w:p>
        </w:tc>
        <w:tc>
          <w:tcPr>
            <w:tcW w:w="1276" w:type="pct"/>
            <w:vAlign w:val="center"/>
          </w:tcPr>
          <w:p w14:paraId="004512E3" w14:textId="77777777" w:rsidR="00DC3694" w:rsidRPr="00251574" w:rsidRDefault="00DC3694" w:rsidP="00547F94">
            <w:pPr>
              <w:spacing w:beforeLines="0" w:before="0" w:afterLines="0" w:after="0"/>
              <w:jc w:val="center"/>
              <w:rPr>
                <w:rFonts w:eastAsia="宋体"/>
                <w:sz w:val="18"/>
                <w:szCs w:val="18"/>
              </w:rPr>
            </w:pPr>
            <w:r w:rsidRPr="00251574">
              <w:rPr>
                <w:rFonts w:eastAsia="宋体"/>
                <w:sz w:val="18"/>
                <w:szCs w:val="18"/>
              </w:rPr>
              <w:t>钻孔</w:t>
            </w:r>
            <w:r w:rsidRPr="00251574">
              <w:rPr>
                <w:rFonts w:eastAsia="宋体"/>
                <w:sz w:val="18"/>
                <w:szCs w:val="18"/>
              </w:rPr>
              <w:t>/</w:t>
            </w:r>
            <w:r w:rsidRPr="00251574">
              <w:rPr>
                <w:rFonts w:eastAsia="宋体"/>
                <w:sz w:val="18"/>
                <w:szCs w:val="18"/>
              </w:rPr>
              <w:t>设计结果</w:t>
            </w:r>
          </w:p>
        </w:tc>
      </w:tr>
      <w:tr w:rsidR="002711E2" w:rsidRPr="00351EC4" w14:paraId="77E3989B" w14:textId="77777777" w:rsidTr="002711E2">
        <w:trPr>
          <w:jc w:val="center"/>
        </w:trPr>
        <w:tc>
          <w:tcPr>
            <w:tcW w:w="656" w:type="pct"/>
            <w:vAlign w:val="center"/>
          </w:tcPr>
          <w:p w14:paraId="0A156C0B" w14:textId="77777777" w:rsidR="00DC3694" w:rsidRPr="00251574" w:rsidRDefault="00DC3694" w:rsidP="00547F94">
            <w:pPr>
              <w:spacing w:beforeLines="0" w:before="0" w:afterLines="0" w:after="0"/>
              <w:jc w:val="center"/>
              <w:rPr>
                <w:rFonts w:eastAsia="宋体"/>
                <w:sz w:val="18"/>
                <w:szCs w:val="18"/>
              </w:rPr>
            </w:pPr>
            <w:r w:rsidRPr="00251574">
              <w:rPr>
                <w:rFonts w:eastAsia="宋体"/>
                <w:sz w:val="18"/>
                <w:szCs w:val="18"/>
              </w:rPr>
              <w:t>研究区基础</w:t>
            </w:r>
          </w:p>
        </w:tc>
        <w:tc>
          <w:tcPr>
            <w:tcW w:w="1150" w:type="pct"/>
            <w:vAlign w:val="center"/>
          </w:tcPr>
          <w:p w14:paraId="72DE8D60" w14:textId="77777777" w:rsidR="00DC3694" w:rsidRPr="00251574" w:rsidRDefault="00DC3694" w:rsidP="00547F94">
            <w:pPr>
              <w:spacing w:beforeLines="0" w:before="0" w:afterLines="0" w:after="0"/>
              <w:jc w:val="center"/>
              <w:rPr>
                <w:rFonts w:eastAsia="宋体"/>
                <w:sz w:val="18"/>
                <w:szCs w:val="18"/>
              </w:rPr>
            </w:pPr>
            <w:r w:rsidRPr="00251574">
              <w:rPr>
                <w:rFonts w:eastAsia="宋体"/>
                <w:sz w:val="18"/>
                <w:szCs w:val="18"/>
              </w:rPr>
              <w:t>煤层厚度最小值</w:t>
            </w:r>
          </w:p>
        </w:tc>
        <w:tc>
          <w:tcPr>
            <w:tcW w:w="656" w:type="pct"/>
            <w:vAlign w:val="center"/>
          </w:tcPr>
          <w:p w14:paraId="5EE2A298" w14:textId="77777777" w:rsidR="00DC3694" w:rsidRPr="00251574" w:rsidRDefault="00DC3694" w:rsidP="00547F94">
            <w:pPr>
              <w:tabs>
                <w:tab w:val="center" w:pos="870"/>
                <w:tab w:val="right" w:pos="1740"/>
              </w:tabs>
              <w:spacing w:beforeLines="0" w:before="0" w:afterLines="0" w:after="0"/>
              <w:jc w:val="center"/>
              <w:rPr>
                <w:rFonts w:eastAsia="宋体"/>
                <w:sz w:val="18"/>
                <w:szCs w:val="18"/>
              </w:rPr>
            </w:pPr>
            <w:r w:rsidRPr="00251574">
              <w:rPr>
                <w:rFonts w:eastAsia="宋体"/>
                <w:sz w:val="18"/>
                <w:szCs w:val="18"/>
              </w:rPr>
              <w:object w:dxaOrig="400" w:dyaOrig="360" w14:anchorId="2BEAF81C">
                <v:shape id="_x0000_i1035" type="#_x0000_t75" style="width:19.8pt;height:18pt" o:ole="">
                  <v:imagedata r:id="rId38" o:title=""/>
                </v:shape>
                <o:OLEObject Type="Embed" ProgID="Equation.DSMT4" ShapeID="_x0000_i1035" DrawAspect="Content" ObjectID="_1838381606" r:id="rId39"/>
              </w:object>
            </w:r>
          </w:p>
        </w:tc>
        <w:tc>
          <w:tcPr>
            <w:tcW w:w="985" w:type="pct"/>
            <w:vAlign w:val="center"/>
          </w:tcPr>
          <w:p w14:paraId="378491D6" w14:textId="77777777" w:rsidR="00DC3694" w:rsidRPr="00251574" w:rsidRDefault="00DC3694" w:rsidP="00547F94">
            <w:pPr>
              <w:spacing w:beforeLines="0" w:before="0" w:afterLines="0" w:after="0"/>
              <w:jc w:val="center"/>
              <w:rPr>
                <w:rFonts w:eastAsia="宋体"/>
                <w:sz w:val="18"/>
                <w:szCs w:val="18"/>
              </w:rPr>
            </w:pPr>
            <w:r w:rsidRPr="00251574">
              <w:rPr>
                <w:rFonts w:eastAsia="宋体"/>
                <w:sz w:val="18"/>
                <w:szCs w:val="18"/>
              </w:rPr>
              <w:t>2.8</w:t>
            </w:r>
          </w:p>
        </w:tc>
        <w:tc>
          <w:tcPr>
            <w:tcW w:w="277" w:type="pct"/>
            <w:vAlign w:val="center"/>
          </w:tcPr>
          <w:p w14:paraId="73DB98CE" w14:textId="77777777" w:rsidR="00DC3694" w:rsidRPr="00251574" w:rsidRDefault="00DC3694" w:rsidP="00547F94">
            <w:pPr>
              <w:spacing w:beforeLines="0" w:before="0" w:afterLines="0" w:after="0"/>
              <w:jc w:val="center"/>
              <w:rPr>
                <w:rFonts w:eastAsia="宋体"/>
                <w:sz w:val="18"/>
                <w:szCs w:val="18"/>
              </w:rPr>
            </w:pPr>
            <w:r w:rsidRPr="00251574">
              <w:rPr>
                <w:rFonts w:eastAsia="宋体"/>
                <w:sz w:val="18"/>
                <w:szCs w:val="18"/>
              </w:rPr>
              <w:t>m</w:t>
            </w:r>
          </w:p>
        </w:tc>
        <w:tc>
          <w:tcPr>
            <w:tcW w:w="1276" w:type="pct"/>
            <w:vAlign w:val="center"/>
          </w:tcPr>
          <w:p w14:paraId="4A81FD6A" w14:textId="77777777" w:rsidR="00DC3694" w:rsidRPr="00251574" w:rsidRDefault="00DC3694" w:rsidP="00547F94">
            <w:pPr>
              <w:spacing w:beforeLines="0" w:before="0" w:afterLines="0" w:after="0"/>
              <w:jc w:val="center"/>
              <w:rPr>
                <w:rFonts w:eastAsia="宋体"/>
                <w:sz w:val="18"/>
                <w:szCs w:val="18"/>
              </w:rPr>
            </w:pPr>
            <w:r w:rsidRPr="00251574">
              <w:rPr>
                <w:rFonts w:eastAsia="宋体"/>
                <w:sz w:val="18"/>
                <w:szCs w:val="18"/>
              </w:rPr>
              <w:t>钻孔数据</w:t>
            </w:r>
          </w:p>
        </w:tc>
      </w:tr>
      <w:tr w:rsidR="002711E2" w:rsidRPr="00351EC4" w14:paraId="0B5B3727" w14:textId="77777777" w:rsidTr="002711E2">
        <w:trPr>
          <w:jc w:val="center"/>
        </w:trPr>
        <w:tc>
          <w:tcPr>
            <w:tcW w:w="656" w:type="pct"/>
            <w:vAlign w:val="center"/>
          </w:tcPr>
          <w:p w14:paraId="71626EFD" w14:textId="77777777" w:rsidR="00DC3694" w:rsidRPr="00251574" w:rsidRDefault="00DC3694" w:rsidP="00547F94">
            <w:pPr>
              <w:spacing w:beforeLines="0" w:before="0" w:afterLines="0" w:after="0"/>
              <w:jc w:val="center"/>
              <w:rPr>
                <w:rFonts w:eastAsia="宋体"/>
                <w:sz w:val="18"/>
                <w:szCs w:val="18"/>
              </w:rPr>
            </w:pPr>
            <w:r w:rsidRPr="00251574">
              <w:rPr>
                <w:rFonts w:eastAsia="宋体"/>
                <w:sz w:val="18"/>
                <w:szCs w:val="18"/>
              </w:rPr>
              <w:t>研究区基础</w:t>
            </w:r>
          </w:p>
        </w:tc>
        <w:tc>
          <w:tcPr>
            <w:tcW w:w="1150" w:type="pct"/>
            <w:vAlign w:val="center"/>
          </w:tcPr>
          <w:p w14:paraId="6848C356" w14:textId="77777777" w:rsidR="00DC3694" w:rsidRPr="00251574" w:rsidRDefault="00DC3694" w:rsidP="00547F94">
            <w:pPr>
              <w:spacing w:beforeLines="0" w:before="0" w:afterLines="0" w:after="0"/>
              <w:jc w:val="center"/>
              <w:rPr>
                <w:rFonts w:eastAsia="宋体"/>
                <w:sz w:val="18"/>
                <w:szCs w:val="18"/>
              </w:rPr>
            </w:pPr>
            <w:r w:rsidRPr="00251574">
              <w:rPr>
                <w:rFonts w:eastAsia="宋体"/>
                <w:sz w:val="18"/>
                <w:szCs w:val="18"/>
              </w:rPr>
              <w:t>煤层厚度最大值</w:t>
            </w:r>
          </w:p>
        </w:tc>
        <w:tc>
          <w:tcPr>
            <w:tcW w:w="656" w:type="pct"/>
            <w:vAlign w:val="center"/>
          </w:tcPr>
          <w:p w14:paraId="4A7ABBF1" w14:textId="77777777" w:rsidR="00DC3694" w:rsidRPr="00251574" w:rsidRDefault="00DC3694" w:rsidP="00547F94">
            <w:pPr>
              <w:tabs>
                <w:tab w:val="center" w:pos="870"/>
                <w:tab w:val="right" w:pos="1740"/>
              </w:tabs>
              <w:spacing w:beforeLines="0" w:before="0" w:afterLines="0" w:after="0"/>
              <w:jc w:val="center"/>
              <w:rPr>
                <w:rFonts w:eastAsia="宋体"/>
                <w:sz w:val="18"/>
                <w:szCs w:val="18"/>
              </w:rPr>
            </w:pPr>
            <w:r w:rsidRPr="00251574">
              <w:rPr>
                <w:rFonts w:eastAsia="宋体"/>
                <w:sz w:val="18"/>
                <w:szCs w:val="18"/>
              </w:rPr>
              <w:object w:dxaOrig="420" w:dyaOrig="360" w14:anchorId="703D0703">
                <v:shape id="_x0000_i1036" type="#_x0000_t75" style="width:21pt;height:18pt" o:ole="">
                  <v:imagedata r:id="rId40" o:title=""/>
                </v:shape>
                <o:OLEObject Type="Embed" ProgID="Equation.DSMT4" ShapeID="_x0000_i1036" DrawAspect="Content" ObjectID="_1838381607" r:id="rId41"/>
              </w:object>
            </w:r>
          </w:p>
        </w:tc>
        <w:tc>
          <w:tcPr>
            <w:tcW w:w="985" w:type="pct"/>
            <w:vAlign w:val="center"/>
          </w:tcPr>
          <w:p w14:paraId="6188F67F" w14:textId="77777777" w:rsidR="00DC3694" w:rsidRPr="00251574" w:rsidRDefault="00DC3694" w:rsidP="00547F94">
            <w:pPr>
              <w:spacing w:beforeLines="0" w:before="0" w:afterLines="0" w:after="0"/>
              <w:jc w:val="center"/>
              <w:rPr>
                <w:rFonts w:eastAsia="宋体"/>
                <w:sz w:val="18"/>
                <w:szCs w:val="18"/>
              </w:rPr>
            </w:pPr>
            <w:r w:rsidRPr="00251574">
              <w:rPr>
                <w:rFonts w:eastAsia="宋体"/>
                <w:sz w:val="18"/>
                <w:szCs w:val="18"/>
              </w:rPr>
              <w:t>4.8</w:t>
            </w:r>
          </w:p>
        </w:tc>
        <w:tc>
          <w:tcPr>
            <w:tcW w:w="277" w:type="pct"/>
            <w:vAlign w:val="center"/>
          </w:tcPr>
          <w:p w14:paraId="5E656032" w14:textId="77777777" w:rsidR="00DC3694" w:rsidRPr="00251574" w:rsidRDefault="00DC3694" w:rsidP="00547F94">
            <w:pPr>
              <w:spacing w:beforeLines="0" w:before="0" w:afterLines="0" w:after="0"/>
              <w:jc w:val="center"/>
              <w:rPr>
                <w:rFonts w:eastAsia="宋体"/>
                <w:sz w:val="18"/>
                <w:szCs w:val="18"/>
              </w:rPr>
            </w:pPr>
            <w:r w:rsidRPr="00251574">
              <w:rPr>
                <w:rFonts w:eastAsia="宋体"/>
                <w:sz w:val="18"/>
                <w:szCs w:val="18"/>
              </w:rPr>
              <w:t>m</w:t>
            </w:r>
          </w:p>
        </w:tc>
        <w:tc>
          <w:tcPr>
            <w:tcW w:w="1276" w:type="pct"/>
            <w:vAlign w:val="center"/>
          </w:tcPr>
          <w:p w14:paraId="722833E1" w14:textId="77777777" w:rsidR="00DC3694" w:rsidRPr="00251574" w:rsidRDefault="00DC3694" w:rsidP="00547F94">
            <w:pPr>
              <w:spacing w:beforeLines="0" w:before="0" w:afterLines="0" w:after="0"/>
              <w:jc w:val="center"/>
              <w:rPr>
                <w:rFonts w:eastAsia="宋体"/>
                <w:sz w:val="18"/>
                <w:szCs w:val="18"/>
              </w:rPr>
            </w:pPr>
            <w:r w:rsidRPr="00251574">
              <w:rPr>
                <w:rFonts w:eastAsia="宋体"/>
                <w:sz w:val="18"/>
                <w:szCs w:val="18"/>
              </w:rPr>
              <w:t>钻孔数据</w:t>
            </w:r>
          </w:p>
        </w:tc>
      </w:tr>
      <w:tr w:rsidR="002711E2" w:rsidRPr="00351EC4" w14:paraId="025B869C" w14:textId="77777777" w:rsidTr="002711E2">
        <w:trPr>
          <w:jc w:val="center"/>
        </w:trPr>
        <w:tc>
          <w:tcPr>
            <w:tcW w:w="656" w:type="pct"/>
            <w:vAlign w:val="center"/>
          </w:tcPr>
          <w:p w14:paraId="455F82BF" w14:textId="77777777" w:rsidR="00DC3694" w:rsidRPr="00251574" w:rsidRDefault="00DC3694" w:rsidP="00547F94">
            <w:pPr>
              <w:spacing w:beforeLines="0" w:before="0" w:afterLines="0" w:after="0"/>
              <w:jc w:val="center"/>
              <w:rPr>
                <w:rFonts w:eastAsia="宋体"/>
                <w:sz w:val="18"/>
                <w:szCs w:val="18"/>
              </w:rPr>
            </w:pPr>
            <w:r w:rsidRPr="00251574">
              <w:rPr>
                <w:rFonts w:eastAsia="宋体"/>
                <w:sz w:val="18"/>
                <w:szCs w:val="18"/>
              </w:rPr>
              <w:t>研究区基础</w:t>
            </w:r>
          </w:p>
        </w:tc>
        <w:tc>
          <w:tcPr>
            <w:tcW w:w="1150" w:type="pct"/>
            <w:vAlign w:val="center"/>
          </w:tcPr>
          <w:p w14:paraId="7C27C056" w14:textId="77777777" w:rsidR="00DC3694" w:rsidRPr="00251574" w:rsidRDefault="00DC3694" w:rsidP="00547F94">
            <w:pPr>
              <w:spacing w:beforeLines="0" w:before="0" w:afterLines="0" w:after="0"/>
              <w:jc w:val="center"/>
              <w:rPr>
                <w:rFonts w:eastAsia="宋体"/>
                <w:sz w:val="18"/>
                <w:szCs w:val="18"/>
              </w:rPr>
            </w:pPr>
            <w:r w:rsidRPr="00251574">
              <w:rPr>
                <w:rFonts w:eastAsia="宋体"/>
                <w:sz w:val="18"/>
                <w:szCs w:val="18"/>
              </w:rPr>
              <w:t>煤层厚度平均值</w:t>
            </w:r>
          </w:p>
        </w:tc>
        <w:tc>
          <w:tcPr>
            <w:tcW w:w="656" w:type="pct"/>
            <w:vAlign w:val="center"/>
          </w:tcPr>
          <w:p w14:paraId="1C0A931D" w14:textId="77777777" w:rsidR="00DC3694" w:rsidRPr="00251574" w:rsidRDefault="00DC3694" w:rsidP="00547F94">
            <w:pPr>
              <w:tabs>
                <w:tab w:val="center" w:pos="870"/>
                <w:tab w:val="right" w:pos="1740"/>
              </w:tabs>
              <w:spacing w:beforeLines="0" w:before="0" w:afterLines="0" w:after="0"/>
              <w:jc w:val="center"/>
              <w:rPr>
                <w:rFonts w:eastAsia="宋体"/>
                <w:sz w:val="18"/>
                <w:szCs w:val="18"/>
              </w:rPr>
            </w:pPr>
            <w:r w:rsidRPr="00251574">
              <w:rPr>
                <w:rFonts w:eastAsia="宋体"/>
                <w:sz w:val="18"/>
                <w:szCs w:val="18"/>
              </w:rPr>
              <w:object w:dxaOrig="400" w:dyaOrig="380" w14:anchorId="7042EACF">
                <v:shape id="_x0000_i1037" type="#_x0000_t75" style="width:19.8pt;height:19.2pt" o:ole="">
                  <v:imagedata r:id="rId42" o:title=""/>
                </v:shape>
                <o:OLEObject Type="Embed" ProgID="Equation.DSMT4" ShapeID="_x0000_i1037" DrawAspect="Content" ObjectID="_1838381608" r:id="rId43"/>
              </w:object>
            </w:r>
          </w:p>
        </w:tc>
        <w:tc>
          <w:tcPr>
            <w:tcW w:w="985" w:type="pct"/>
            <w:vAlign w:val="center"/>
          </w:tcPr>
          <w:p w14:paraId="5CBA7A5A" w14:textId="77777777" w:rsidR="00DC3694" w:rsidRPr="00251574" w:rsidRDefault="00DC3694" w:rsidP="00547F94">
            <w:pPr>
              <w:spacing w:beforeLines="0" w:before="0" w:afterLines="0" w:after="0"/>
              <w:jc w:val="center"/>
              <w:rPr>
                <w:rFonts w:eastAsia="宋体"/>
                <w:sz w:val="18"/>
                <w:szCs w:val="18"/>
              </w:rPr>
            </w:pPr>
            <w:r w:rsidRPr="00251574">
              <w:rPr>
                <w:rFonts w:eastAsia="宋体"/>
                <w:sz w:val="18"/>
                <w:szCs w:val="18"/>
              </w:rPr>
              <w:t>3.7933</w:t>
            </w:r>
          </w:p>
        </w:tc>
        <w:tc>
          <w:tcPr>
            <w:tcW w:w="277" w:type="pct"/>
            <w:vAlign w:val="center"/>
          </w:tcPr>
          <w:p w14:paraId="78F4BF16" w14:textId="77777777" w:rsidR="00DC3694" w:rsidRPr="00251574" w:rsidRDefault="00DC3694" w:rsidP="00547F94">
            <w:pPr>
              <w:spacing w:beforeLines="0" w:before="0" w:afterLines="0" w:after="0"/>
              <w:jc w:val="center"/>
              <w:rPr>
                <w:rFonts w:eastAsia="宋体"/>
                <w:sz w:val="18"/>
                <w:szCs w:val="18"/>
              </w:rPr>
            </w:pPr>
            <w:r w:rsidRPr="00251574">
              <w:rPr>
                <w:rFonts w:eastAsia="宋体"/>
                <w:sz w:val="18"/>
                <w:szCs w:val="18"/>
              </w:rPr>
              <w:t>m</w:t>
            </w:r>
          </w:p>
        </w:tc>
        <w:tc>
          <w:tcPr>
            <w:tcW w:w="1276" w:type="pct"/>
            <w:vAlign w:val="center"/>
          </w:tcPr>
          <w:p w14:paraId="60539A83" w14:textId="77777777" w:rsidR="00DC3694" w:rsidRPr="00251574" w:rsidRDefault="00DC3694" w:rsidP="00547F94">
            <w:pPr>
              <w:spacing w:beforeLines="0" w:before="0" w:afterLines="0" w:after="0"/>
              <w:jc w:val="center"/>
              <w:rPr>
                <w:rFonts w:eastAsia="宋体"/>
                <w:sz w:val="18"/>
                <w:szCs w:val="18"/>
              </w:rPr>
            </w:pPr>
            <w:r w:rsidRPr="00251574">
              <w:rPr>
                <w:rFonts w:eastAsia="宋体"/>
                <w:sz w:val="18"/>
                <w:szCs w:val="18"/>
              </w:rPr>
              <w:t>钻孔数据</w:t>
            </w:r>
          </w:p>
        </w:tc>
      </w:tr>
      <w:tr w:rsidR="002711E2" w:rsidRPr="00351EC4" w14:paraId="192670A9" w14:textId="77777777" w:rsidTr="002711E2">
        <w:trPr>
          <w:jc w:val="center"/>
        </w:trPr>
        <w:tc>
          <w:tcPr>
            <w:tcW w:w="656" w:type="pct"/>
            <w:vAlign w:val="center"/>
          </w:tcPr>
          <w:p w14:paraId="0C47BB2F" w14:textId="77777777" w:rsidR="00DC3694" w:rsidRPr="00251574" w:rsidRDefault="00DC3694" w:rsidP="00547F94">
            <w:pPr>
              <w:spacing w:beforeLines="0" w:before="0" w:afterLines="0" w:after="0"/>
              <w:jc w:val="center"/>
              <w:rPr>
                <w:rFonts w:eastAsia="宋体"/>
                <w:sz w:val="18"/>
                <w:szCs w:val="18"/>
              </w:rPr>
            </w:pPr>
            <w:r w:rsidRPr="00251574">
              <w:rPr>
                <w:rFonts w:eastAsia="宋体"/>
                <w:sz w:val="18"/>
                <w:szCs w:val="18"/>
              </w:rPr>
              <w:t>几何约束</w:t>
            </w:r>
          </w:p>
        </w:tc>
        <w:tc>
          <w:tcPr>
            <w:tcW w:w="1150" w:type="pct"/>
            <w:vAlign w:val="center"/>
          </w:tcPr>
          <w:p w14:paraId="36E4A982" w14:textId="77777777" w:rsidR="00DC3694" w:rsidRPr="00251574" w:rsidRDefault="00DC3694" w:rsidP="00547F94">
            <w:pPr>
              <w:spacing w:beforeLines="0" w:before="0" w:afterLines="0" w:after="0"/>
              <w:jc w:val="center"/>
              <w:rPr>
                <w:rFonts w:eastAsia="宋体"/>
                <w:sz w:val="18"/>
                <w:szCs w:val="18"/>
              </w:rPr>
            </w:pPr>
            <w:r w:rsidRPr="00251574">
              <w:rPr>
                <w:rFonts w:eastAsia="宋体"/>
                <w:sz w:val="18"/>
                <w:szCs w:val="18"/>
              </w:rPr>
              <w:t>边界煤柱宽度</w:t>
            </w:r>
          </w:p>
        </w:tc>
        <w:tc>
          <w:tcPr>
            <w:tcW w:w="656" w:type="pct"/>
            <w:vAlign w:val="center"/>
          </w:tcPr>
          <w:p w14:paraId="7D47A9DE" w14:textId="77777777" w:rsidR="00DC3694" w:rsidRPr="00251574" w:rsidRDefault="00DC3694" w:rsidP="00547F94">
            <w:pPr>
              <w:tabs>
                <w:tab w:val="center" w:pos="870"/>
                <w:tab w:val="right" w:pos="1740"/>
              </w:tabs>
              <w:spacing w:beforeLines="0" w:before="0" w:afterLines="0" w:after="0"/>
              <w:jc w:val="center"/>
              <w:rPr>
                <w:rFonts w:eastAsia="宋体"/>
                <w:sz w:val="18"/>
                <w:szCs w:val="18"/>
              </w:rPr>
            </w:pPr>
            <w:r w:rsidRPr="00251574">
              <w:rPr>
                <w:rFonts w:eastAsia="宋体"/>
                <w:sz w:val="18"/>
                <w:szCs w:val="18"/>
              </w:rPr>
              <w:object w:dxaOrig="300" w:dyaOrig="360" w14:anchorId="5236F69E">
                <v:shape id="_x0000_i1038" type="#_x0000_t75" style="width:15pt;height:18pt" o:ole="">
                  <v:imagedata r:id="rId44" o:title=""/>
                </v:shape>
                <o:OLEObject Type="Embed" ProgID="Equation.DSMT4" ShapeID="_x0000_i1038" DrawAspect="Content" ObjectID="_1838381609" r:id="rId45"/>
              </w:object>
            </w:r>
          </w:p>
        </w:tc>
        <w:tc>
          <w:tcPr>
            <w:tcW w:w="985" w:type="pct"/>
            <w:vAlign w:val="center"/>
          </w:tcPr>
          <w:p w14:paraId="414CAFC5" w14:textId="77777777" w:rsidR="00DC3694" w:rsidRPr="00251574" w:rsidRDefault="00DC3694" w:rsidP="00547F94">
            <w:pPr>
              <w:spacing w:beforeLines="0" w:before="0" w:afterLines="0" w:after="0"/>
              <w:jc w:val="center"/>
              <w:rPr>
                <w:rFonts w:eastAsia="宋体"/>
                <w:sz w:val="18"/>
                <w:szCs w:val="18"/>
              </w:rPr>
            </w:pPr>
            <w:r w:rsidRPr="00251574">
              <w:rPr>
                <w:rFonts w:eastAsia="宋体"/>
                <w:sz w:val="18"/>
                <w:szCs w:val="18"/>
              </w:rPr>
              <w:t>30.0</w:t>
            </w:r>
          </w:p>
        </w:tc>
        <w:tc>
          <w:tcPr>
            <w:tcW w:w="277" w:type="pct"/>
            <w:vAlign w:val="center"/>
          </w:tcPr>
          <w:p w14:paraId="35FFF7CD" w14:textId="77777777" w:rsidR="00DC3694" w:rsidRPr="00251574" w:rsidRDefault="00DC3694" w:rsidP="00547F94">
            <w:pPr>
              <w:spacing w:beforeLines="0" w:before="0" w:afterLines="0" w:after="0"/>
              <w:jc w:val="center"/>
              <w:rPr>
                <w:rFonts w:eastAsia="宋体"/>
                <w:sz w:val="18"/>
                <w:szCs w:val="18"/>
              </w:rPr>
            </w:pPr>
            <w:r w:rsidRPr="00251574">
              <w:rPr>
                <w:rFonts w:eastAsia="宋体"/>
                <w:sz w:val="18"/>
                <w:szCs w:val="18"/>
              </w:rPr>
              <w:t>m</w:t>
            </w:r>
          </w:p>
        </w:tc>
        <w:tc>
          <w:tcPr>
            <w:tcW w:w="1276" w:type="pct"/>
            <w:vAlign w:val="center"/>
          </w:tcPr>
          <w:p w14:paraId="37D24824" w14:textId="77777777" w:rsidR="00DC3694" w:rsidRPr="00251574" w:rsidRDefault="00DC3694" w:rsidP="00547F94">
            <w:pPr>
              <w:spacing w:beforeLines="0" w:before="0" w:afterLines="0" w:after="0"/>
              <w:jc w:val="center"/>
              <w:rPr>
                <w:rFonts w:eastAsia="宋体"/>
                <w:sz w:val="18"/>
                <w:szCs w:val="18"/>
              </w:rPr>
            </w:pPr>
            <w:r w:rsidRPr="00251574">
              <w:rPr>
                <w:rFonts w:eastAsia="宋体"/>
                <w:sz w:val="18"/>
                <w:szCs w:val="18"/>
              </w:rPr>
              <w:t>设计参数</w:t>
            </w:r>
            <w:r w:rsidRPr="00251574">
              <w:rPr>
                <w:rFonts w:eastAsia="宋体"/>
                <w:sz w:val="18"/>
                <w:szCs w:val="18"/>
              </w:rPr>
              <w:t>/</w:t>
            </w:r>
            <w:r w:rsidRPr="00251574">
              <w:rPr>
                <w:rFonts w:eastAsia="宋体"/>
                <w:sz w:val="18"/>
                <w:szCs w:val="18"/>
              </w:rPr>
              <w:t>规划规则</w:t>
            </w:r>
          </w:p>
        </w:tc>
      </w:tr>
      <w:tr w:rsidR="002711E2" w:rsidRPr="00351EC4" w14:paraId="00EFCB0F" w14:textId="77777777" w:rsidTr="002711E2">
        <w:trPr>
          <w:jc w:val="center"/>
        </w:trPr>
        <w:tc>
          <w:tcPr>
            <w:tcW w:w="656" w:type="pct"/>
            <w:vAlign w:val="center"/>
          </w:tcPr>
          <w:p w14:paraId="72BCC63A" w14:textId="77777777" w:rsidR="00DC3694" w:rsidRPr="00251574" w:rsidRDefault="00DC3694" w:rsidP="00547F94">
            <w:pPr>
              <w:spacing w:beforeLines="0" w:before="0" w:afterLines="0" w:after="0"/>
              <w:jc w:val="center"/>
              <w:rPr>
                <w:rFonts w:eastAsia="宋体"/>
                <w:sz w:val="18"/>
                <w:szCs w:val="18"/>
              </w:rPr>
            </w:pPr>
            <w:r w:rsidRPr="00251574">
              <w:rPr>
                <w:rFonts w:eastAsia="宋体"/>
                <w:sz w:val="18"/>
                <w:szCs w:val="18"/>
              </w:rPr>
              <w:t>几何约束</w:t>
            </w:r>
          </w:p>
        </w:tc>
        <w:tc>
          <w:tcPr>
            <w:tcW w:w="1150" w:type="pct"/>
            <w:vAlign w:val="center"/>
          </w:tcPr>
          <w:p w14:paraId="4F0DA02C" w14:textId="77777777" w:rsidR="00DC3694" w:rsidRPr="00251574" w:rsidRDefault="00DC3694" w:rsidP="00547F94">
            <w:pPr>
              <w:spacing w:beforeLines="0" w:before="0" w:afterLines="0" w:after="0"/>
              <w:jc w:val="center"/>
              <w:rPr>
                <w:rFonts w:eastAsia="宋体"/>
                <w:sz w:val="18"/>
                <w:szCs w:val="18"/>
              </w:rPr>
            </w:pPr>
            <w:r w:rsidRPr="00251574">
              <w:rPr>
                <w:rFonts w:eastAsia="宋体"/>
                <w:sz w:val="18"/>
                <w:szCs w:val="18"/>
              </w:rPr>
              <w:t>区段煤柱宽度</w:t>
            </w:r>
          </w:p>
        </w:tc>
        <w:tc>
          <w:tcPr>
            <w:tcW w:w="656" w:type="pct"/>
            <w:vAlign w:val="center"/>
          </w:tcPr>
          <w:p w14:paraId="58C690A0" w14:textId="77777777" w:rsidR="00DC3694" w:rsidRPr="00251574" w:rsidRDefault="00DC3694" w:rsidP="00547F94">
            <w:pPr>
              <w:tabs>
                <w:tab w:val="center" w:pos="870"/>
                <w:tab w:val="right" w:pos="1740"/>
              </w:tabs>
              <w:spacing w:beforeLines="0" w:before="0" w:afterLines="0" w:after="0"/>
              <w:jc w:val="center"/>
              <w:rPr>
                <w:rFonts w:eastAsia="宋体"/>
                <w:sz w:val="18"/>
                <w:szCs w:val="18"/>
              </w:rPr>
            </w:pPr>
            <w:r w:rsidRPr="00251574">
              <w:rPr>
                <w:rFonts w:eastAsia="宋体"/>
                <w:sz w:val="18"/>
                <w:szCs w:val="18"/>
              </w:rPr>
              <w:object w:dxaOrig="279" w:dyaOrig="360" w14:anchorId="219FE923">
                <v:shape id="_x0000_i1039" type="#_x0000_t75" style="width:13.8pt;height:18pt" o:ole="">
                  <v:imagedata r:id="rId46" o:title=""/>
                </v:shape>
                <o:OLEObject Type="Embed" ProgID="Equation.DSMT4" ShapeID="_x0000_i1039" DrawAspect="Content" ObjectID="_1838381610" r:id="rId47"/>
              </w:object>
            </w:r>
          </w:p>
        </w:tc>
        <w:tc>
          <w:tcPr>
            <w:tcW w:w="985" w:type="pct"/>
            <w:vAlign w:val="center"/>
          </w:tcPr>
          <w:p w14:paraId="54A71F64" w14:textId="77777777" w:rsidR="00DC3694" w:rsidRPr="00251574" w:rsidRDefault="00DC3694" w:rsidP="00547F94">
            <w:pPr>
              <w:spacing w:beforeLines="0" w:before="0" w:afterLines="0" w:after="0"/>
              <w:jc w:val="center"/>
              <w:rPr>
                <w:rFonts w:eastAsia="宋体"/>
                <w:sz w:val="18"/>
                <w:szCs w:val="18"/>
              </w:rPr>
            </w:pPr>
            <w:r w:rsidRPr="00251574">
              <w:rPr>
                <w:rFonts w:eastAsia="宋体"/>
                <w:sz w:val="18"/>
                <w:szCs w:val="18"/>
              </w:rPr>
              <w:t>20.0</w:t>
            </w:r>
          </w:p>
        </w:tc>
        <w:tc>
          <w:tcPr>
            <w:tcW w:w="277" w:type="pct"/>
            <w:vAlign w:val="center"/>
          </w:tcPr>
          <w:p w14:paraId="2A6C344B" w14:textId="77777777" w:rsidR="00DC3694" w:rsidRPr="00251574" w:rsidRDefault="00DC3694" w:rsidP="00547F94">
            <w:pPr>
              <w:spacing w:beforeLines="0" w:before="0" w:afterLines="0" w:after="0"/>
              <w:jc w:val="center"/>
              <w:rPr>
                <w:rFonts w:eastAsia="宋体"/>
                <w:sz w:val="18"/>
                <w:szCs w:val="18"/>
              </w:rPr>
            </w:pPr>
            <w:r w:rsidRPr="00251574">
              <w:rPr>
                <w:rFonts w:eastAsia="宋体"/>
                <w:sz w:val="18"/>
                <w:szCs w:val="18"/>
              </w:rPr>
              <w:t>m</w:t>
            </w:r>
          </w:p>
        </w:tc>
        <w:tc>
          <w:tcPr>
            <w:tcW w:w="1276" w:type="pct"/>
            <w:vAlign w:val="center"/>
          </w:tcPr>
          <w:p w14:paraId="141EE97B" w14:textId="77777777" w:rsidR="00DC3694" w:rsidRPr="00251574" w:rsidRDefault="00DC3694" w:rsidP="00547F94">
            <w:pPr>
              <w:spacing w:beforeLines="0" w:before="0" w:afterLines="0" w:after="0"/>
              <w:jc w:val="center"/>
              <w:rPr>
                <w:rFonts w:eastAsia="宋体"/>
                <w:sz w:val="18"/>
                <w:szCs w:val="18"/>
              </w:rPr>
            </w:pPr>
            <w:r w:rsidRPr="00251574">
              <w:rPr>
                <w:rFonts w:eastAsia="宋体"/>
                <w:sz w:val="18"/>
                <w:szCs w:val="18"/>
              </w:rPr>
              <w:t>设计参数</w:t>
            </w:r>
            <w:r w:rsidRPr="00251574">
              <w:rPr>
                <w:rFonts w:eastAsia="宋体"/>
                <w:sz w:val="18"/>
                <w:szCs w:val="18"/>
              </w:rPr>
              <w:t>/</w:t>
            </w:r>
            <w:r w:rsidRPr="00251574">
              <w:rPr>
                <w:rFonts w:eastAsia="宋体"/>
                <w:sz w:val="18"/>
                <w:szCs w:val="18"/>
              </w:rPr>
              <w:t>规划规则</w:t>
            </w:r>
          </w:p>
        </w:tc>
      </w:tr>
      <w:tr w:rsidR="002711E2" w:rsidRPr="00351EC4" w14:paraId="651819BD" w14:textId="77777777" w:rsidTr="002711E2">
        <w:trPr>
          <w:jc w:val="center"/>
        </w:trPr>
        <w:tc>
          <w:tcPr>
            <w:tcW w:w="656" w:type="pct"/>
            <w:vAlign w:val="center"/>
          </w:tcPr>
          <w:p w14:paraId="0A4DBAD8" w14:textId="77777777" w:rsidR="00DC3694" w:rsidRPr="00251574" w:rsidRDefault="00DC3694" w:rsidP="00547F94">
            <w:pPr>
              <w:spacing w:beforeLines="0" w:before="0" w:afterLines="0" w:after="0"/>
              <w:jc w:val="center"/>
              <w:rPr>
                <w:rFonts w:eastAsia="宋体"/>
                <w:sz w:val="18"/>
                <w:szCs w:val="18"/>
              </w:rPr>
            </w:pPr>
            <w:r w:rsidRPr="00251574">
              <w:rPr>
                <w:rFonts w:eastAsia="宋体"/>
                <w:sz w:val="18"/>
                <w:szCs w:val="18"/>
              </w:rPr>
              <w:t>几何约束</w:t>
            </w:r>
          </w:p>
        </w:tc>
        <w:tc>
          <w:tcPr>
            <w:tcW w:w="1150" w:type="pct"/>
            <w:vAlign w:val="center"/>
          </w:tcPr>
          <w:p w14:paraId="6305B361" w14:textId="77777777" w:rsidR="00DC3694" w:rsidRPr="00251574" w:rsidRDefault="00DC3694" w:rsidP="00547F94">
            <w:pPr>
              <w:spacing w:beforeLines="0" w:before="0" w:afterLines="0" w:after="0"/>
              <w:jc w:val="center"/>
              <w:rPr>
                <w:rFonts w:eastAsia="宋体"/>
                <w:sz w:val="18"/>
                <w:szCs w:val="18"/>
              </w:rPr>
            </w:pPr>
            <w:r w:rsidRPr="00251574">
              <w:rPr>
                <w:rFonts w:eastAsia="宋体"/>
                <w:sz w:val="18"/>
                <w:szCs w:val="18"/>
              </w:rPr>
              <w:t>原始边界面积</w:t>
            </w:r>
          </w:p>
        </w:tc>
        <w:tc>
          <w:tcPr>
            <w:tcW w:w="656" w:type="pct"/>
            <w:vAlign w:val="center"/>
          </w:tcPr>
          <w:p w14:paraId="6CBF7D72" w14:textId="77777777" w:rsidR="00DC3694" w:rsidRPr="00251574" w:rsidRDefault="00DC3694" w:rsidP="00547F94">
            <w:pPr>
              <w:tabs>
                <w:tab w:val="center" w:pos="870"/>
                <w:tab w:val="right" w:pos="1740"/>
              </w:tabs>
              <w:spacing w:beforeLines="0" w:before="0" w:afterLines="0" w:after="0"/>
              <w:jc w:val="center"/>
              <w:rPr>
                <w:rFonts w:eastAsia="宋体"/>
                <w:sz w:val="18"/>
                <w:szCs w:val="18"/>
              </w:rPr>
            </w:pPr>
            <w:r w:rsidRPr="00251574">
              <w:rPr>
                <w:rFonts w:eastAsia="宋体"/>
                <w:sz w:val="18"/>
                <w:szCs w:val="18"/>
              </w:rPr>
              <w:object w:dxaOrig="300" w:dyaOrig="360" w14:anchorId="0EBFA01C">
                <v:shape id="_x0000_i1040" type="#_x0000_t75" style="width:15pt;height:18pt" o:ole="">
                  <v:imagedata r:id="rId48" o:title=""/>
                </v:shape>
                <o:OLEObject Type="Embed" ProgID="Equation.DSMT4" ShapeID="_x0000_i1040" DrawAspect="Content" ObjectID="_1838381611" r:id="rId49"/>
              </w:object>
            </w:r>
          </w:p>
        </w:tc>
        <w:tc>
          <w:tcPr>
            <w:tcW w:w="985" w:type="pct"/>
            <w:vAlign w:val="center"/>
          </w:tcPr>
          <w:p w14:paraId="093C6179" w14:textId="77777777" w:rsidR="00DC3694" w:rsidRPr="00251574" w:rsidRDefault="00DC3694" w:rsidP="00547F94">
            <w:pPr>
              <w:spacing w:beforeLines="0" w:before="0" w:afterLines="0" w:after="0"/>
              <w:jc w:val="center"/>
              <w:rPr>
                <w:rFonts w:eastAsia="宋体"/>
                <w:sz w:val="18"/>
                <w:szCs w:val="18"/>
              </w:rPr>
            </w:pPr>
            <w:r w:rsidRPr="00251574">
              <w:rPr>
                <w:rFonts w:eastAsia="宋体"/>
                <w:sz w:val="18"/>
                <w:szCs w:val="18"/>
              </w:rPr>
              <w:t>255250.00</w:t>
            </w:r>
          </w:p>
        </w:tc>
        <w:tc>
          <w:tcPr>
            <w:tcW w:w="277" w:type="pct"/>
            <w:vAlign w:val="center"/>
          </w:tcPr>
          <w:p w14:paraId="6C741787" w14:textId="77777777" w:rsidR="00DC3694" w:rsidRPr="00251574" w:rsidRDefault="00DC3694" w:rsidP="00547F94">
            <w:pPr>
              <w:spacing w:beforeLines="0" w:before="0" w:afterLines="0" w:after="0"/>
              <w:jc w:val="center"/>
              <w:rPr>
                <w:rFonts w:eastAsia="宋体"/>
                <w:sz w:val="18"/>
                <w:szCs w:val="18"/>
              </w:rPr>
            </w:pPr>
            <w:r w:rsidRPr="00251574">
              <w:rPr>
                <w:rFonts w:eastAsia="宋体"/>
                <w:sz w:val="18"/>
                <w:szCs w:val="18"/>
              </w:rPr>
              <w:t>m²</w:t>
            </w:r>
          </w:p>
        </w:tc>
        <w:tc>
          <w:tcPr>
            <w:tcW w:w="1276" w:type="pct"/>
            <w:vAlign w:val="center"/>
          </w:tcPr>
          <w:p w14:paraId="3CB77534" w14:textId="77777777" w:rsidR="00DC3694" w:rsidRPr="00251574" w:rsidRDefault="00DC3694" w:rsidP="00547F94">
            <w:pPr>
              <w:spacing w:beforeLines="0" w:before="0" w:afterLines="0" w:after="0"/>
              <w:jc w:val="center"/>
              <w:rPr>
                <w:rFonts w:eastAsia="宋体"/>
                <w:sz w:val="18"/>
                <w:szCs w:val="18"/>
              </w:rPr>
            </w:pPr>
            <w:r w:rsidRPr="00251574">
              <w:rPr>
                <w:rFonts w:eastAsia="宋体"/>
                <w:sz w:val="18"/>
                <w:szCs w:val="18"/>
              </w:rPr>
              <w:t>边界数据</w:t>
            </w:r>
          </w:p>
        </w:tc>
      </w:tr>
      <w:tr w:rsidR="002711E2" w:rsidRPr="00351EC4" w14:paraId="6D8A50F0" w14:textId="77777777" w:rsidTr="002711E2">
        <w:trPr>
          <w:jc w:val="center"/>
        </w:trPr>
        <w:tc>
          <w:tcPr>
            <w:tcW w:w="656" w:type="pct"/>
            <w:vAlign w:val="center"/>
          </w:tcPr>
          <w:p w14:paraId="68A05D4C" w14:textId="77777777" w:rsidR="00DC3694" w:rsidRPr="00251574" w:rsidRDefault="00DC3694" w:rsidP="00547F94">
            <w:pPr>
              <w:spacing w:beforeLines="0" w:before="0" w:afterLines="0" w:after="0"/>
              <w:jc w:val="center"/>
              <w:rPr>
                <w:rFonts w:eastAsia="宋体"/>
                <w:sz w:val="18"/>
                <w:szCs w:val="18"/>
              </w:rPr>
            </w:pPr>
            <w:r w:rsidRPr="00251574">
              <w:rPr>
                <w:rFonts w:eastAsia="宋体"/>
                <w:sz w:val="18"/>
                <w:szCs w:val="18"/>
              </w:rPr>
              <w:t>布置参数</w:t>
            </w:r>
          </w:p>
        </w:tc>
        <w:tc>
          <w:tcPr>
            <w:tcW w:w="1150" w:type="pct"/>
            <w:vAlign w:val="center"/>
          </w:tcPr>
          <w:p w14:paraId="6B280D31" w14:textId="77777777" w:rsidR="00DC3694" w:rsidRPr="00251574" w:rsidRDefault="00DC3694" w:rsidP="00547F94">
            <w:pPr>
              <w:spacing w:beforeLines="0" w:before="0" w:afterLines="0" w:after="0"/>
              <w:jc w:val="center"/>
              <w:rPr>
                <w:rFonts w:eastAsia="宋体"/>
                <w:sz w:val="18"/>
                <w:szCs w:val="18"/>
              </w:rPr>
            </w:pPr>
            <w:r w:rsidRPr="00251574">
              <w:rPr>
                <w:rFonts w:eastAsia="宋体"/>
                <w:sz w:val="18"/>
                <w:szCs w:val="18"/>
              </w:rPr>
              <w:t>工作面倾向宽度</w:t>
            </w:r>
          </w:p>
        </w:tc>
        <w:tc>
          <w:tcPr>
            <w:tcW w:w="656" w:type="pct"/>
            <w:vAlign w:val="center"/>
          </w:tcPr>
          <w:p w14:paraId="7A8EEFCE" w14:textId="77777777" w:rsidR="00DC3694" w:rsidRPr="00251574" w:rsidRDefault="00DC3694" w:rsidP="00547F94">
            <w:pPr>
              <w:tabs>
                <w:tab w:val="center" w:pos="870"/>
                <w:tab w:val="right" w:pos="1740"/>
              </w:tabs>
              <w:spacing w:beforeLines="0" w:before="0" w:afterLines="0" w:after="0"/>
              <w:jc w:val="center"/>
              <w:rPr>
                <w:rFonts w:eastAsia="宋体"/>
                <w:sz w:val="18"/>
                <w:szCs w:val="18"/>
              </w:rPr>
            </w:pPr>
            <w:r w:rsidRPr="00251574">
              <w:rPr>
                <w:rFonts w:eastAsia="宋体"/>
                <w:sz w:val="18"/>
                <w:szCs w:val="18"/>
              </w:rPr>
              <w:object w:dxaOrig="340" w:dyaOrig="380" w14:anchorId="686E1515">
                <v:shape id="_x0000_i1041" type="#_x0000_t75" style="width:16.8pt;height:19.2pt" o:ole="">
                  <v:imagedata r:id="rId50" o:title=""/>
                </v:shape>
                <o:OLEObject Type="Embed" ProgID="Equation.DSMT4" ShapeID="_x0000_i1041" DrawAspect="Content" ObjectID="_1838381612" r:id="rId51"/>
              </w:object>
            </w:r>
          </w:p>
        </w:tc>
        <w:tc>
          <w:tcPr>
            <w:tcW w:w="985" w:type="pct"/>
            <w:vAlign w:val="center"/>
          </w:tcPr>
          <w:p w14:paraId="5892BE53" w14:textId="77777777" w:rsidR="00DC3694" w:rsidRPr="00251574" w:rsidRDefault="00DC3694" w:rsidP="00547F94">
            <w:pPr>
              <w:spacing w:beforeLines="0" w:before="0" w:afterLines="0" w:after="0"/>
              <w:jc w:val="center"/>
              <w:rPr>
                <w:rFonts w:eastAsia="宋体"/>
                <w:sz w:val="18"/>
                <w:szCs w:val="18"/>
              </w:rPr>
            </w:pPr>
            <w:r w:rsidRPr="00251574">
              <w:rPr>
                <w:rFonts w:eastAsia="宋体"/>
                <w:sz w:val="18"/>
                <w:szCs w:val="18"/>
              </w:rPr>
              <w:t>120.0</w:t>
            </w:r>
          </w:p>
        </w:tc>
        <w:tc>
          <w:tcPr>
            <w:tcW w:w="277" w:type="pct"/>
            <w:vAlign w:val="center"/>
          </w:tcPr>
          <w:p w14:paraId="109C662C" w14:textId="77777777" w:rsidR="00DC3694" w:rsidRPr="00251574" w:rsidRDefault="00DC3694" w:rsidP="00547F94">
            <w:pPr>
              <w:spacing w:beforeLines="0" w:before="0" w:afterLines="0" w:after="0"/>
              <w:jc w:val="center"/>
              <w:rPr>
                <w:rFonts w:eastAsia="宋体"/>
                <w:sz w:val="18"/>
                <w:szCs w:val="18"/>
              </w:rPr>
            </w:pPr>
            <w:r w:rsidRPr="00251574">
              <w:rPr>
                <w:rFonts w:eastAsia="宋体"/>
                <w:sz w:val="18"/>
                <w:szCs w:val="18"/>
              </w:rPr>
              <w:t>m</w:t>
            </w:r>
          </w:p>
        </w:tc>
        <w:tc>
          <w:tcPr>
            <w:tcW w:w="1276" w:type="pct"/>
            <w:vAlign w:val="center"/>
          </w:tcPr>
          <w:p w14:paraId="5B086EAA" w14:textId="77777777" w:rsidR="00DC3694" w:rsidRPr="00251574" w:rsidRDefault="00DC3694" w:rsidP="00547F94">
            <w:pPr>
              <w:spacing w:beforeLines="0" w:before="0" w:afterLines="0" w:after="0"/>
              <w:jc w:val="center"/>
              <w:rPr>
                <w:rFonts w:eastAsia="宋体"/>
                <w:sz w:val="18"/>
                <w:szCs w:val="18"/>
              </w:rPr>
            </w:pPr>
            <w:r w:rsidRPr="00251574">
              <w:rPr>
                <w:rFonts w:eastAsia="宋体"/>
                <w:sz w:val="18"/>
                <w:szCs w:val="18"/>
              </w:rPr>
              <w:t>设计参数</w:t>
            </w:r>
          </w:p>
        </w:tc>
      </w:tr>
      <w:tr w:rsidR="002711E2" w:rsidRPr="00351EC4" w14:paraId="131F77CB" w14:textId="77777777" w:rsidTr="002711E2">
        <w:trPr>
          <w:jc w:val="center"/>
        </w:trPr>
        <w:tc>
          <w:tcPr>
            <w:tcW w:w="656" w:type="pct"/>
            <w:vAlign w:val="center"/>
          </w:tcPr>
          <w:p w14:paraId="6E4FF794" w14:textId="77777777" w:rsidR="00DC3694" w:rsidRPr="00251574" w:rsidRDefault="00DC3694" w:rsidP="00547F94">
            <w:pPr>
              <w:spacing w:beforeLines="0" w:before="0" w:afterLines="0" w:after="0"/>
              <w:jc w:val="center"/>
              <w:rPr>
                <w:rFonts w:eastAsia="宋体"/>
                <w:sz w:val="18"/>
                <w:szCs w:val="18"/>
              </w:rPr>
            </w:pPr>
            <w:r w:rsidRPr="00251574">
              <w:rPr>
                <w:rFonts w:eastAsia="宋体"/>
                <w:sz w:val="18"/>
                <w:szCs w:val="18"/>
              </w:rPr>
              <w:t>布置参数</w:t>
            </w:r>
          </w:p>
        </w:tc>
        <w:tc>
          <w:tcPr>
            <w:tcW w:w="1150" w:type="pct"/>
            <w:vAlign w:val="center"/>
          </w:tcPr>
          <w:p w14:paraId="0CD9D44B" w14:textId="77777777" w:rsidR="00DC3694" w:rsidRPr="00251574" w:rsidRDefault="00DC3694" w:rsidP="00547F94">
            <w:pPr>
              <w:spacing w:beforeLines="0" w:before="0" w:afterLines="0" w:after="0"/>
              <w:jc w:val="center"/>
              <w:rPr>
                <w:rFonts w:eastAsia="宋体"/>
                <w:sz w:val="18"/>
                <w:szCs w:val="18"/>
              </w:rPr>
            </w:pPr>
            <w:r w:rsidRPr="00251574">
              <w:rPr>
                <w:rFonts w:eastAsia="宋体"/>
                <w:sz w:val="18"/>
                <w:szCs w:val="18"/>
              </w:rPr>
              <w:t>单工作面几何长度规则</w:t>
            </w:r>
          </w:p>
        </w:tc>
        <w:tc>
          <w:tcPr>
            <w:tcW w:w="656" w:type="pct"/>
            <w:vAlign w:val="center"/>
          </w:tcPr>
          <w:p w14:paraId="1BB1E789" w14:textId="77777777" w:rsidR="00DC3694" w:rsidRPr="00251574" w:rsidRDefault="00DC3694" w:rsidP="00547F94">
            <w:pPr>
              <w:tabs>
                <w:tab w:val="center" w:pos="870"/>
                <w:tab w:val="right" w:pos="1740"/>
              </w:tabs>
              <w:spacing w:beforeLines="0" w:before="0" w:afterLines="0" w:after="0"/>
              <w:jc w:val="center"/>
              <w:rPr>
                <w:rFonts w:eastAsia="宋体"/>
                <w:sz w:val="18"/>
                <w:szCs w:val="18"/>
              </w:rPr>
            </w:pPr>
            <w:r w:rsidRPr="00251574">
              <w:rPr>
                <w:rFonts w:eastAsia="宋体"/>
                <w:sz w:val="18"/>
                <w:szCs w:val="18"/>
              </w:rPr>
              <w:object w:dxaOrig="300" w:dyaOrig="380" w14:anchorId="622BA855">
                <v:shape id="_x0000_i1042" type="#_x0000_t75" style="width:15pt;height:19.2pt" o:ole="">
                  <v:imagedata r:id="rId52" o:title=""/>
                </v:shape>
                <o:OLEObject Type="Embed" ProgID="Equation.DSMT4" ShapeID="_x0000_i1042" DrawAspect="Content" ObjectID="_1838381613" r:id="rId53"/>
              </w:object>
            </w:r>
          </w:p>
        </w:tc>
        <w:tc>
          <w:tcPr>
            <w:tcW w:w="985" w:type="pct"/>
            <w:vAlign w:val="center"/>
          </w:tcPr>
          <w:p w14:paraId="130C45A5" w14:textId="77777777" w:rsidR="00DC3694" w:rsidRPr="00251574" w:rsidRDefault="00DC3694" w:rsidP="00547F94">
            <w:pPr>
              <w:spacing w:beforeLines="0" w:before="0" w:afterLines="0" w:after="0"/>
              <w:jc w:val="center"/>
              <w:rPr>
                <w:rFonts w:eastAsia="宋体"/>
                <w:sz w:val="18"/>
                <w:szCs w:val="18"/>
              </w:rPr>
            </w:pPr>
            <w:r>
              <w:rPr>
                <w:rFonts w:eastAsia="宋体"/>
                <w:sz w:val="18"/>
                <w:szCs w:val="18"/>
              </w:rPr>
              <w:t>120</w:t>
            </w:r>
            <w:r>
              <w:rPr>
                <w:rFonts w:eastAsia="宋体"/>
                <w:sz w:val="18"/>
                <w:szCs w:val="18"/>
              </w:rPr>
              <w:t>～</w:t>
            </w:r>
            <w:r>
              <w:rPr>
                <w:rFonts w:eastAsia="宋体"/>
                <w:sz w:val="18"/>
                <w:szCs w:val="18"/>
              </w:rPr>
              <w:t>260 m</w:t>
            </w:r>
            <w:r>
              <w:rPr>
                <w:rFonts w:eastAsia="宋体"/>
                <w:sz w:val="18"/>
                <w:szCs w:val="18"/>
              </w:rPr>
              <w:t>，推荐值为</w:t>
            </w:r>
            <w:r>
              <w:rPr>
                <w:rFonts w:eastAsia="宋体"/>
                <w:sz w:val="18"/>
                <w:szCs w:val="18"/>
              </w:rPr>
              <w:t>200 m</w:t>
            </w:r>
          </w:p>
        </w:tc>
        <w:tc>
          <w:tcPr>
            <w:tcW w:w="277" w:type="pct"/>
            <w:vAlign w:val="center"/>
          </w:tcPr>
          <w:p w14:paraId="58D87A5F" w14:textId="77777777" w:rsidR="00DC3694" w:rsidRPr="00251574" w:rsidRDefault="00DC3694" w:rsidP="00547F94">
            <w:pPr>
              <w:spacing w:beforeLines="0" w:before="0" w:afterLines="0" w:after="0"/>
              <w:jc w:val="center"/>
              <w:rPr>
                <w:rFonts w:eastAsia="宋体"/>
                <w:sz w:val="18"/>
                <w:szCs w:val="18"/>
              </w:rPr>
            </w:pPr>
            <w:r w:rsidRPr="00251574">
              <w:rPr>
                <w:rFonts w:eastAsia="宋体"/>
                <w:sz w:val="18"/>
                <w:szCs w:val="18"/>
              </w:rPr>
              <w:t>m</w:t>
            </w:r>
          </w:p>
        </w:tc>
        <w:tc>
          <w:tcPr>
            <w:tcW w:w="1276" w:type="pct"/>
            <w:vAlign w:val="center"/>
          </w:tcPr>
          <w:p w14:paraId="03DB6788" w14:textId="77777777" w:rsidR="00DC3694" w:rsidRPr="00251574" w:rsidRDefault="00DC3694" w:rsidP="00547F94">
            <w:pPr>
              <w:spacing w:beforeLines="0" w:before="0" w:afterLines="0" w:after="0"/>
              <w:jc w:val="center"/>
              <w:rPr>
                <w:rFonts w:eastAsia="宋体"/>
                <w:sz w:val="18"/>
                <w:szCs w:val="18"/>
              </w:rPr>
            </w:pPr>
            <w:r w:rsidRPr="00251574">
              <w:rPr>
                <w:rFonts w:eastAsia="宋体"/>
                <w:sz w:val="18"/>
                <w:szCs w:val="18"/>
              </w:rPr>
              <w:t>规划规则</w:t>
            </w:r>
          </w:p>
        </w:tc>
      </w:tr>
      <w:tr w:rsidR="002711E2" w:rsidRPr="00351EC4" w14:paraId="0AA5DF4B" w14:textId="77777777" w:rsidTr="002711E2">
        <w:trPr>
          <w:jc w:val="center"/>
        </w:trPr>
        <w:tc>
          <w:tcPr>
            <w:tcW w:w="656" w:type="pct"/>
            <w:vAlign w:val="center"/>
          </w:tcPr>
          <w:p w14:paraId="394360BE" w14:textId="77777777" w:rsidR="00DC3694" w:rsidRPr="00251574" w:rsidRDefault="00DC3694" w:rsidP="00547F94">
            <w:pPr>
              <w:spacing w:beforeLines="0" w:before="0" w:afterLines="0" w:after="0"/>
              <w:jc w:val="center"/>
              <w:rPr>
                <w:rFonts w:eastAsia="宋体"/>
                <w:sz w:val="18"/>
                <w:szCs w:val="18"/>
              </w:rPr>
            </w:pPr>
            <w:r w:rsidRPr="00251574">
              <w:rPr>
                <w:rFonts w:eastAsia="宋体"/>
                <w:sz w:val="18"/>
                <w:szCs w:val="18"/>
              </w:rPr>
              <w:t>布置参数</w:t>
            </w:r>
          </w:p>
        </w:tc>
        <w:tc>
          <w:tcPr>
            <w:tcW w:w="1150" w:type="pct"/>
            <w:vAlign w:val="center"/>
          </w:tcPr>
          <w:p w14:paraId="68E32320" w14:textId="77777777" w:rsidR="00DC3694" w:rsidRPr="00251574" w:rsidRDefault="00DC3694" w:rsidP="00547F94">
            <w:pPr>
              <w:spacing w:beforeLines="0" w:before="0" w:afterLines="0" w:after="0"/>
              <w:jc w:val="center"/>
              <w:rPr>
                <w:rFonts w:eastAsia="宋体"/>
                <w:sz w:val="18"/>
                <w:szCs w:val="18"/>
              </w:rPr>
            </w:pPr>
            <w:r w:rsidRPr="00251574">
              <w:rPr>
                <w:rFonts w:eastAsia="宋体"/>
                <w:sz w:val="18"/>
                <w:szCs w:val="18"/>
              </w:rPr>
              <w:t>方案推进长度校核阈值</w:t>
            </w:r>
          </w:p>
        </w:tc>
        <w:tc>
          <w:tcPr>
            <w:tcW w:w="656" w:type="pct"/>
            <w:vAlign w:val="center"/>
          </w:tcPr>
          <w:p w14:paraId="6CC7751D" w14:textId="77777777" w:rsidR="00DC3694" w:rsidRPr="00251574" w:rsidRDefault="00DC3694" w:rsidP="00547F94">
            <w:pPr>
              <w:tabs>
                <w:tab w:val="center" w:pos="870"/>
                <w:tab w:val="right" w:pos="1740"/>
              </w:tabs>
              <w:spacing w:beforeLines="0" w:before="0" w:afterLines="0" w:after="0"/>
              <w:jc w:val="center"/>
              <w:rPr>
                <w:rFonts w:eastAsia="宋体"/>
                <w:sz w:val="18"/>
                <w:szCs w:val="18"/>
              </w:rPr>
            </w:pPr>
            <w:r w:rsidRPr="00251574">
              <w:rPr>
                <w:rFonts w:eastAsia="宋体"/>
                <w:sz w:val="18"/>
                <w:szCs w:val="18"/>
              </w:rPr>
              <w:object w:dxaOrig="960" w:dyaOrig="360" w14:anchorId="3FE5BFB0">
                <v:shape id="_x0000_i1043" type="#_x0000_t75" style="width:48pt;height:18pt" o:ole="">
                  <v:imagedata r:id="rId54" o:title=""/>
                </v:shape>
                <o:OLEObject Type="Embed" ProgID="Equation.DSMT4" ShapeID="_x0000_i1043" DrawAspect="Content" ObjectID="_1838381614" r:id="rId55"/>
              </w:object>
            </w:r>
          </w:p>
        </w:tc>
        <w:tc>
          <w:tcPr>
            <w:tcW w:w="985" w:type="pct"/>
            <w:vAlign w:val="center"/>
          </w:tcPr>
          <w:p w14:paraId="3AE4C85B" w14:textId="77777777" w:rsidR="00DC3694" w:rsidRPr="00251574" w:rsidRDefault="00DC3694" w:rsidP="00547F94">
            <w:pPr>
              <w:spacing w:beforeLines="0" w:before="0" w:afterLines="0" w:after="0"/>
              <w:jc w:val="center"/>
              <w:rPr>
                <w:rFonts w:eastAsia="宋体"/>
                <w:sz w:val="18"/>
                <w:szCs w:val="18"/>
              </w:rPr>
            </w:pPr>
            <w:r w:rsidRPr="00251574">
              <w:rPr>
                <w:rFonts w:eastAsia="宋体"/>
                <w:sz w:val="18"/>
                <w:szCs w:val="18"/>
              </w:rPr>
              <w:t>800.0</w:t>
            </w:r>
          </w:p>
        </w:tc>
        <w:tc>
          <w:tcPr>
            <w:tcW w:w="277" w:type="pct"/>
            <w:vAlign w:val="center"/>
          </w:tcPr>
          <w:p w14:paraId="75E71768" w14:textId="77777777" w:rsidR="00DC3694" w:rsidRPr="00251574" w:rsidRDefault="00DC3694" w:rsidP="00547F94">
            <w:pPr>
              <w:spacing w:beforeLines="0" w:before="0" w:afterLines="0" w:after="0"/>
              <w:jc w:val="center"/>
              <w:rPr>
                <w:rFonts w:eastAsia="宋体"/>
                <w:sz w:val="18"/>
                <w:szCs w:val="18"/>
              </w:rPr>
            </w:pPr>
            <w:r w:rsidRPr="00251574">
              <w:rPr>
                <w:rFonts w:eastAsia="宋体"/>
                <w:sz w:val="18"/>
                <w:szCs w:val="18"/>
              </w:rPr>
              <w:t>m</w:t>
            </w:r>
          </w:p>
        </w:tc>
        <w:tc>
          <w:tcPr>
            <w:tcW w:w="1276" w:type="pct"/>
            <w:vAlign w:val="center"/>
          </w:tcPr>
          <w:p w14:paraId="3D79F481" w14:textId="77777777" w:rsidR="00DC3694" w:rsidRPr="00251574" w:rsidRDefault="00DC3694" w:rsidP="00547F94">
            <w:pPr>
              <w:spacing w:beforeLines="0" w:before="0" w:afterLines="0" w:after="0"/>
              <w:jc w:val="center"/>
              <w:rPr>
                <w:rFonts w:eastAsia="宋体"/>
                <w:sz w:val="18"/>
                <w:szCs w:val="18"/>
              </w:rPr>
            </w:pPr>
            <w:r w:rsidRPr="00251574">
              <w:rPr>
                <w:rFonts w:eastAsia="宋体"/>
                <w:sz w:val="18"/>
                <w:szCs w:val="18"/>
              </w:rPr>
              <w:t>规划规则</w:t>
            </w:r>
          </w:p>
        </w:tc>
      </w:tr>
      <w:tr w:rsidR="002711E2" w:rsidRPr="00351EC4" w14:paraId="55DF3D11" w14:textId="77777777" w:rsidTr="002711E2">
        <w:trPr>
          <w:jc w:val="center"/>
        </w:trPr>
        <w:tc>
          <w:tcPr>
            <w:tcW w:w="656" w:type="pct"/>
            <w:vAlign w:val="center"/>
          </w:tcPr>
          <w:p w14:paraId="1873FF57" w14:textId="77777777" w:rsidR="00DC3694" w:rsidRPr="00251574" w:rsidRDefault="00DC3694" w:rsidP="00547F94">
            <w:pPr>
              <w:spacing w:beforeLines="0" w:before="0" w:afterLines="0" w:after="0"/>
              <w:jc w:val="center"/>
              <w:rPr>
                <w:rFonts w:eastAsia="宋体"/>
                <w:sz w:val="18"/>
                <w:szCs w:val="18"/>
              </w:rPr>
            </w:pPr>
            <w:r w:rsidRPr="00251574">
              <w:rPr>
                <w:rFonts w:eastAsia="宋体"/>
                <w:sz w:val="18"/>
                <w:szCs w:val="18"/>
              </w:rPr>
              <w:t>布置参数</w:t>
            </w:r>
          </w:p>
        </w:tc>
        <w:tc>
          <w:tcPr>
            <w:tcW w:w="1150" w:type="pct"/>
            <w:vAlign w:val="center"/>
          </w:tcPr>
          <w:p w14:paraId="35175DD6" w14:textId="77777777" w:rsidR="00DC3694" w:rsidRPr="00251574" w:rsidRDefault="00DC3694" w:rsidP="00547F94">
            <w:pPr>
              <w:spacing w:beforeLines="0" w:before="0" w:afterLines="0" w:after="0"/>
              <w:jc w:val="center"/>
              <w:rPr>
                <w:rFonts w:eastAsia="宋体"/>
                <w:sz w:val="18"/>
                <w:szCs w:val="18"/>
              </w:rPr>
            </w:pPr>
            <w:r w:rsidRPr="00251574">
              <w:rPr>
                <w:rFonts w:eastAsia="宋体"/>
                <w:sz w:val="18"/>
                <w:szCs w:val="18"/>
              </w:rPr>
              <w:t>推进方向</w:t>
            </w:r>
          </w:p>
        </w:tc>
        <w:tc>
          <w:tcPr>
            <w:tcW w:w="656" w:type="pct"/>
            <w:vAlign w:val="center"/>
          </w:tcPr>
          <w:p w14:paraId="5C779B2E" w14:textId="77777777" w:rsidR="00DC3694" w:rsidRPr="00251574" w:rsidRDefault="00DC3694" w:rsidP="00547F94">
            <w:pPr>
              <w:spacing w:beforeLines="0" w:before="0" w:afterLines="0" w:after="0"/>
              <w:jc w:val="center"/>
              <w:rPr>
                <w:rFonts w:eastAsia="宋体"/>
                <w:sz w:val="18"/>
                <w:szCs w:val="18"/>
              </w:rPr>
            </w:pPr>
            <w:r w:rsidRPr="00251574">
              <w:rPr>
                <w:rFonts w:eastAsia="宋体"/>
                <w:sz w:val="18"/>
                <w:szCs w:val="18"/>
              </w:rPr>
              <w:t>D</w:t>
            </w:r>
          </w:p>
        </w:tc>
        <w:tc>
          <w:tcPr>
            <w:tcW w:w="985" w:type="pct"/>
            <w:vAlign w:val="center"/>
          </w:tcPr>
          <w:p w14:paraId="738915A4" w14:textId="77777777" w:rsidR="00DC3694" w:rsidRPr="00251574" w:rsidRDefault="00DC3694" w:rsidP="00547F94">
            <w:pPr>
              <w:spacing w:beforeLines="0" w:before="0" w:afterLines="0" w:after="0"/>
              <w:jc w:val="center"/>
              <w:rPr>
                <w:rFonts w:eastAsia="宋体"/>
                <w:sz w:val="18"/>
                <w:szCs w:val="18"/>
              </w:rPr>
            </w:pPr>
            <w:proofErr w:type="gramStart"/>
            <w:r>
              <w:rPr>
                <w:rFonts w:eastAsia="宋体"/>
                <w:sz w:val="18"/>
                <w:szCs w:val="18"/>
              </w:rPr>
              <w:t>走向长壁布置</w:t>
            </w:r>
            <w:proofErr w:type="gramEnd"/>
            <w:r>
              <w:rPr>
                <w:rFonts w:eastAsia="宋体"/>
                <w:sz w:val="18"/>
                <w:szCs w:val="18"/>
              </w:rPr>
              <w:t>，走向：</w:t>
            </w:r>
            <w:r>
              <w:rPr>
                <w:rFonts w:eastAsia="宋体"/>
                <w:sz w:val="18"/>
                <w:szCs w:val="18"/>
              </w:rPr>
              <w:t>180.0°</w:t>
            </w:r>
          </w:p>
        </w:tc>
        <w:tc>
          <w:tcPr>
            <w:tcW w:w="277" w:type="pct"/>
            <w:vAlign w:val="center"/>
          </w:tcPr>
          <w:p w14:paraId="6D101DED" w14:textId="6F3CE070" w:rsidR="00DC3694" w:rsidRPr="00251574" w:rsidRDefault="00DC3694" w:rsidP="00547F94">
            <w:pPr>
              <w:spacing w:beforeLines="0" w:before="0" w:afterLines="0" w:after="0"/>
              <w:jc w:val="center"/>
              <w:rPr>
                <w:rFonts w:eastAsia="宋体"/>
                <w:sz w:val="18"/>
                <w:szCs w:val="18"/>
              </w:rPr>
            </w:pPr>
          </w:p>
        </w:tc>
        <w:tc>
          <w:tcPr>
            <w:tcW w:w="1276" w:type="pct"/>
            <w:vAlign w:val="center"/>
          </w:tcPr>
          <w:p w14:paraId="1E58F5ED" w14:textId="77777777" w:rsidR="00DC3694" w:rsidRPr="00251574" w:rsidRDefault="00DC3694" w:rsidP="00547F94">
            <w:pPr>
              <w:spacing w:beforeLines="0" w:before="0" w:afterLines="0" w:after="0"/>
              <w:jc w:val="center"/>
              <w:rPr>
                <w:rFonts w:eastAsia="宋体"/>
                <w:sz w:val="18"/>
                <w:szCs w:val="18"/>
              </w:rPr>
            </w:pPr>
            <w:r w:rsidRPr="00251574">
              <w:rPr>
                <w:rFonts w:eastAsia="宋体"/>
                <w:sz w:val="18"/>
                <w:szCs w:val="18"/>
              </w:rPr>
              <w:t>设计结果</w:t>
            </w:r>
          </w:p>
        </w:tc>
      </w:tr>
      <w:tr w:rsidR="002711E2" w:rsidRPr="00351EC4" w14:paraId="3DCEDD7F" w14:textId="77777777" w:rsidTr="002711E2">
        <w:trPr>
          <w:jc w:val="center"/>
        </w:trPr>
        <w:tc>
          <w:tcPr>
            <w:tcW w:w="656" w:type="pct"/>
            <w:vAlign w:val="center"/>
          </w:tcPr>
          <w:p w14:paraId="7036A950" w14:textId="77777777" w:rsidR="00DC3694" w:rsidRPr="00251574" w:rsidRDefault="00DC3694" w:rsidP="00547F94">
            <w:pPr>
              <w:spacing w:beforeLines="0" w:before="0" w:afterLines="0" w:after="0"/>
              <w:jc w:val="center"/>
              <w:rPr>
                <w:rFonts w:eastAsia="宋体"/>
                <w:sz w:val="18"/>
                <w:szCs w:val="18"/>
              </w:rPr>
            </w:pPr>
            <w:r w:rsidRPr="00251574">
              <w:rPr>
                <w:rFonts w:eastAsia="宋体"/>
                <w:sz w:val="18"/>
                <w:szCs w:val="18"/>
              </w:rPr>
              <w:t>风险参数</w:t>
            </w:r>
          </w:p>
        </w:tc>
        <w:tc>
          <w:tcPr>
            <w:tcW w:w="1150" w:type="pct"/>
            <w:vAlign w:val="center"/>
          </w:tcPr>
          <w:p w14:paraId="7C0A50BA" w14:textId="77777777" w:rsidR="00DC3694" w:rsidRPr="00251574" w:rsidRDefault="00DC3694" w:rsidP="00547F94">
            <w:pPr>
              <w:spacing w:beforeLines="0" w:before="0" w:afterLines="0" w:after="0"/>
              <w:jc w:val="center"/>
              <w:rPr>
                <w:rFonts w:eastAsia="宋体"/>
                <w:sz w:val="18"/>
                <w:szCs w:val="18"/>
              </w:rPr>
            </w:pPr>
            <w:r w:rsidRPr="00251574">
              <w:rPr>
                <w:rFonts w:eastAsia="宋体"/>
                <w:sz w:val="18"/>
                <w:szCs w:val="18"/>
              </w:rPr>
              <w:t>ODI</w:t>
            </w:r>
            <w:r w:rsidRPr="00251574">
              <w:rPr>
                <w:rFonts w:eastAsia="宋体"/>
                <w:sz w:val="18"/>
                <w:szCs w:val="18"/>
              </w:rPr>
              <w:t>权重</w:t>
            </w:r>
          </w:p>
        </w:tc>
        <w:tc>
          <w:tcPr>
            <w:tcW w:w="656" w:type="pct"/>
            <w:vAlign w:val="center"/>
          </w:tcPr>
          <w:p w14:paraId="32C7FAB7" w14:textId="551297BB" w:rsidR="00DC3694" w:rsidRPr="00251574" w:rsidRDefault="00DC3694" w:rsidP="00547F94">
            <w:pPr>
              <w:spacing w:beforeLines="0" w:before="0" w:afterLines="0" w:after="0"/>
              <w:jc w:val="center"/>
              <w:rPr>
                <w:rFonts w:eastAsia="宋体"/>
                <w:sz w:val="18"/>
                <w:szCs w:val="18"/>
              </w:rPr>
            </w:pPr>
            <w:r w:rsidRPr="00251574">
              <w:rPr>
                <w:rFonts w:eastAsia="宋体"/>
                <w:sz w:val="18"/>
                <w:szCs w:val="18"/>
              </w:rPr>
              <w:object w:dxaOrig="300" w:dyaOrig="360" w14:anchorId="6BF7919C">
                <v:shape id="_x0000_i1044" type="#_x0000_t75" style="width:15pt;height:18pt" o:ole="">
                  <v:imagedata r:id="rId56" o:title=""/>
                </v:shape>
                <o:OLEObject Type="Embed" ProgID="Equation.DSMT4" ShapeID="_x0000_i1044" DrawAspect="Content" ObjectID="_1838381615" r:id="rId57"/>
              </w:object>
            </w:r>
            <w:r w:rsidRPr="00251574">
              <w:rPr>
                <w:rFonts w:eastAsia="宋体"/>
                <w:sz w:val="18"/>
                <w:szCs w:val="18"/>
              </w:rPr>
              <w:object w:dxaOrig="300" w:dyaOrig="360" w14:anchorId="139A033D">
                <v:shape id="_x0000_i1045" type="#_x0000_t75" style="width:15pt;height:18pt" o:ole="">
                  <v:imagedata r:id="rId58" o:title=""/>
                </v:shape>
                <o:OLEObject Type="Embed" ProgID="Equation.DSMT4" ShapeID="_x0000_i1045" DrawAspect="Content" ObjectID="_1838381616" r:id="rId59"/>
              </w:object>
            </w:r>
            <w:r w:rsidRPr="00251574">
              <w:rPr>
                <w:rFonts w:eastAsia="宋体"/>
                <w:sz w:val="18"/>
                <w:szCs w:val="18"/>
              </w:rPr>
              <w:object w:dxaOrig="300" w:dyaOrig="360" w14:anchorId="167AEE7D">
                <v:shape id="_x0000_i1046" type="#_x0000_t75" style="width:15pt;height:18pt" o:ole="">
                  <v:imagedata r:id="rId60" o:title=""/>
                </v:shape>
                <o:OLEObject Type="Embed" ProgID="Equation.DSMT4" ShapeID="_x0000_i1046" DrawAspect="Content" ObjectID="_1838381617" r:id="rId61"/>
              </w:object>
            </w:r>
          </w:p>
        </w:tc>
        <w:tc>
          <w:tcPr>
            <w:tcW w:w="985" w:type="pct"/>
            <w:vAlign w:val="center"/>
          </w:tcPr>
          <w:p w14:paraId="3CE9FDCC" w14:textId="77777777" w:rsidR="00DC3694" w:rsidRPr="00251574" w:rsidRDefault="00DC3694" w:rsidP="00547F94">
            <w:pPr>
              <w:spacing w:beforeLines="0" w:before="0" w:afterLines="0" w:after="0"/>
              <w:jc w:val="center"/>
              <w:rPr>
                <w:rFonts w:eastAsia="宋体"/>
                <w:sz w:val="18"/>
                <w:szCs w:val="18"/>
              </w:rPr>
            </w:pPr>
            <w:r w:rsidRPr="00251574">
              <w:rPr>
                <w:rFonts w:eastAsia="宋体"/>
                <w:sz w:val="18"/>
                <w:szCs w:val="18"/>
              </w:rPr>
              <w:t>0.45/0.30/0.25</w:t>
            </w:r>
          </w:p>
        </w:tc>
        <w:tc>
          <w:tcPr>
            <w:tcW w:w="277" w:type="pct"/>
            <w:vAlign w:val="center"/>
          </w:tcPr>
          <w:p w14:paraId="77BA413D" w14:textId="0D7B297E" w:rsidR="00DC3694" w:rsidRPr="00251574" w:rsidRDefault="00DC3694" w:rsidP="00547F94">
            <w:pPr>
              <w:spacing w:beforeLines="0" w:before="0" w:afterLines="0" w:after="0"/>
              <w:jc w:val="center"/>
              <w:rPr>
                <w:rFonts w:eastAsia="宋体"/>
                <w:sz w:val="18"/>
                <w:szCs w:val="18"/>
              </w:rPr>
            </w:pPr>
          </w:p>
        </w:tc>
        <w:tc>
          <w:tcPr>
            <w:tcW w:w="1276" w:type="pct"/>
            <w:vAlign w:val="center"/>
          </w:tcPr>
          <w:p w14:paraId="3F65C1F6" w14:textId="77777777" w:rsidR="00DC3694" w:rsidRPr="00251574" w:rsidRDefault="00DC3694" w:rsidP="00547F94">
            <w:pPr>
              <w:spacing w:beforeLines="0" w:before="0" w:afterLines="0" w:after="0"/>
              <w:jc w:val="center"/>
              <w:rPr>
                <w:rFonts w:eastAsia="宋体"/>
                <w:sz w:val="18"/>
                <w:szCs w:val="18"/>
              </w:rPr>
            </w:pPr>
            <w:r w:rsidRPr="00251574">
              <w:rPr>
                <w:rFonts w:eastAsia="宋体"/>
                <w:sz w:val="18"/>
                <w:szCs w:val="18"/>
              </w:rPr>
              <w:t>ODI</w:t>
            </w:r>
            <w:proofErr w:type="gramStart"/>
            <w:r w:rsidRPr="00251574">
              <w:rPr>
                <w:rFonts w:eastAsia="宋体"/>
                <w:sz w:val="18"/>
                <w:szCs w:val="18"/>
              </w:rPr>
              <w:t>场结果</w:t>
            </w:r>
            <w:proofErr w:type="gramEnd"/>
          </w:p>
        </w:tc>
      </w:tr>
      <w:tr w:rsidR="002711E2" w:rsidRPr="00351EC4" w14:paraId="327BB338" w14:textId="77777777" w:rsidTr="002711E2">
        <w:trPr>
          <w:trHeight w:val="68"/>
          <w:jc w:val="center"/>
        </w:trPr>
        <w:tc>
          <w:tcPr>
            <w:tcW w:w="656" w:type="pct"/>
            <w:vAlign w:val="center"/>
          </w:tcPr>
          <w:p w14:paraId="441436E4" w14:textId="77777777" w:rsidR="00DC3694" w:rsidRPr="00251574" w:rsidRDefault="00DC3694" w:rsidP="00547F94">
            <w:pPr>
              <w:spacing w:beforeLines="0" w:before="0" w:afterLines="0" w:after="0"/>
              <w:jc w:val="center"/>
              <w:rPr>
                <w:rFonts w:eastAsia="宋体"/>
                <w:sz w:val="18"/>
                <w:szCs w:val="18"/>
              </w:rPr>
            </w:pPr>
            <w:r w:rsidRPr="00251574">
              <w:rPr>
                <w:rFonts w:eastAsia="宋体"/>
                <w:sz w:val="18"/>
                <w:szCs w:val="18"/>
              </w:rPr>
              <w:t>风险参数</w:t>
            </w:r>
          </w:p>
        </w:tc>
        <w:tc>
          <w:tcPr>
            <w:tcW w:w="1150" w:type="pct"/>
            <w:vAlign w:val="center"/>
          </w:tcPr>
          <w:p w14:paraId="568A95EE" w14:textId="77777777" w:rsidR="00DC3694" w:rsidRPr="00251574" w:rsidRDefault="00DC3694" w:rsidP="00547F94">
            <w:pPr>
              <w:spacing w:beforeLines="0" w:before="0" w:afterLines="0" w:after="0"/>
              <w:jc w:val="center"/>
              <w:rPr>
                <w:rFonts w:eastAsia="宋体"/>
                <w:sz w:val="18"/>
                <w:szCs w:val="18"/>
              </w:rPr>
            </w:pPr>
            <w:r w:rsidRPr="00251574">
              <w:rPr>
                <w:rFonts w:eastAsia="宋体"/>
                <w:sz w:val="18"/>
                <w:szCs w:val="18"/>
              </w:rPr>
              <w:t>ODI</w:t>
            </w:r>
            <w:r w:rsidRPr="00251574">
              <w:rPr>
                <w:rFonts w:eastAsia="宋体"/>
                <w:sz w:val="18"/>
                <w:szCs w:val="18"/>
              </w:rPr>
              <w:t>统计阈值</w:t>
            </w:r>
          </w:p>
        </w:tc>
        <w:tc>
          <w:tcPr>
            <w:tcW w:w="656" w:type="pct"/>
            <w:vAlign w:val="center"/>
          </w:tcPr>
          <w:p w14:paraId="1DA6A1C8" w14:textId="77777777" w:rsidR="00DC3694" w:rsidRPr="00251574" w:rsidRDefault="00DC3694" w:rsidP="00547F94">
            <w:pPr>
              <w:tabs>
                <w:tab w:val="center" w:pos="870"/>
                <w:tab w:val="right" w:pos="1740"/>
              </w:tabs>
              <w:spacing w:beforeLines="0" w:before="0" w:afterLines="0" w:after="0"/>
              <w:jc w:val="center"/>
              <w:rPr>
                <w:rFonts w:eastAsia="宋体"/>
                <w:sz w:val="18"/>
                <w:szCs w:val="18"/>
              </w:rPr>
            </w:pPr>
            <w:r w:rsidRPr="00251574">
              <w:rPr>
                <w:rFonts w:eastAsia="宋体"/>
                <w:sz w:val="18"/>
                <w:szCs w:val="18"/>
              </w:rPr>
              <w:object w:dxaOrig="420" w:dyaOrig="360" w14:anchorId="051BF526">
                <v:shape id="_x0000_i1047" type="#_x0000_t75" style="width:21pt;height:18pt" o:ole="">
                  <v:imagedata r:id="rId62" o:title=""/>
                </v:shape>
                <o:OLEObject Type="Embed" ProgID="Equation.DSMT4" ShapeID="_x0000_i1047" DrawAspect="Content" ObjectID="_1838381618" r:id="rId63"/>
              </w:object>
            </w:r>
          </w:p>
        </w:tc>
        <w:tc>
          <w:tcPr>
            <w:tcW w:w="985" w:type="pct"/>
            <w:vAlign w:val="center"/>
          </w:tcPr>
          <w:p w14:paraId="1C9932BA" w14:textId="77777777" w:rsidR="00DC3694" w:rsidRPr="00251574" w:rsidRDefault="00DC3694" w:rsidP="00547F94">
            <w:pPr>
              <w:spacing w:beforeLines="0" w:before="0" w:afterLines="0" w:after="0"/>
              <w:jc w:val="center"/>
              <w:rPr>
                <w:rFonts w:eastAsia="宋体"/>
                <w:sz w:val="18"/>
                <w:szCs w:val="18"/>
              </w:rPr>
            </w:pPr>
            <w:r>
              <w:rPr>
                <w:rFonts w:eastAsia="宋体"/>
                <w:sz w:val="18"/>
                <w:szCs w:val="18"/>
              </w:rPr>
              <w:t>0.70</w:t>
            </w:r>
            <w:r>
              <w:rPr>
                <w:rFonts w:eastAsia="宋体"/>
                <w:sz w:val="18"/>
                <w:szCs w:val="18"/>
              </w:rPr>
              <w:t>、</w:t>
            </w:r>
            <w:r>
              <w:rPr>
                <w:rFonts w:eastAsia="宋体"/>
                <w:sz w:val="18"/>
                <w:szCs w:val="18"/>
              </w:rPr>
              <w:t>0.80</w:t>
            </w:r>
          </w:p>
        </w:tc>
        <w:tc>
          <w:tcPr>
            <w:tcW w:w="277" w:type="pct"/>
            <w:vAlign w:val="center"/>
          </w:tcPr>
          <w:p w14:paraId="3C3BBE78" w14:textId="48F3838A" w:rsidR="00DC3694" w:rsidRPr="00251574" w:rsidRDefault="00DC3694" w:rsidP="00547F94">
            <w:pPr>
              <w:spacing w:beforeLines="0" w:before="0" w:afterLines="0" w:after="0"/>
              <w:jc w:val="center"/>
              <w:rPr>
                <w:rFonts w:eastAsia="宋体"/>
                <w:sz w:val="18"/>
                <w:szCs w:val="18"/>
              </w:rPr>
            </w:pPr>
          </w:p>
        </w:tc>
        <w:tc>
          <w:tcPr>
            <w:tcW w:w="1276" w:type="pct"/>
            <w:vAlign w:val="center"/>
          </w:tcPr>
          <w:p w14:paraId="5B06E493" w14:textId="77777777" w:rsidR="00DC3694" w:rsidRPr="00251574" w:rsidRDefault="00DC3694" w:rsidP="00547F94">
            <w:pPr>
              <w:spacing w:beforeLines="0" w:before="0" w:afterLines="0" w:after="0"/>
              <w:jc w:val="center"/>
              <w:rPr>
                <w:rFonts w:eastAsia="宋体"/>
                <w:sz w:val="18"/>
                <w:szCs w:val="18"/>
              </w:rPr>
            </w:pPr>
            <w:r w:rsidRPr="00251574">
              <w:rPr>
                <w:rFonts w:eastAsia="宋体"/>
                <w:sz w:val="18"/>
                <w:szCs w:val="18"/>
              </w:rPr>
              <w:t>本文统计口径</w:t>
            </w:r>
          </w:p>
        </w:tc>
      </w:tr>
      <w:tr w:rsidR="002711E2" w:rsidRPr="00351EC4" w14:paraId="4D5CFC08" w14:textId="77777777" w:rsidTr="002711E2">
        <w:trPr>
          <w:jc w:val="center"/>
        </w:trPr>
        <w:tc>
          <w:tcPr>
            <w:tcW w:w="656" w:type="pct"/>
            <w:vAlign w:val="center"/>
          </w:tcPr>
          <w:p w14:paraId="4E9740B0" w14:textId="77777777" w:rsidR="00DC3694" w:rsidRPr="00251574" w:rsidRDefault="00DC3694" w:rsidP="00547F94">
            <w:pPr>
              <w:spacing w:beforeLines="0" w:before="0" w:afterLines="0" w:after="0"/>
              <w:jc w:val="center"/>
              <w:rPr>
                <w:rFonts w:eastAsia="宋体"/>
                <w:sz w:val="18"/>
                <w:szCs w:val="18"/>
              </w:rPr>
            </w:pPr>
            <w:r w:rsidRPr="00251574">
              <w:rPr>
                <w:rFonts w:eastAsia="宋体"/>
                <w:sz w:val="18"/>
                <w:szCs w:val="18"/>
              </w:rPr>
              <w:t>评分口径</w:t>
            </w:r>
          </w:p>
        </w:tc>
        <w:tc>
          <w:tcPr>
            <w:tcW w:w="1150" w:type="pct"/>
            <w:vAlign w:val="center"/>
          </w:tcPr>
          <w:p w14:paraId="1B997582" w14:textId="77777777" w:rsidR="00DC3694" w:rsidRPr="00251574" w:rsidRDefault="00DC3694" w:rsidP="00547F94">
            <w:pPr>
              <w:spacing w:beforeLines="0" w:before="0" w:afterLines="0" w:after="0"/>
              <w:jc w:val="center"/>
              <w:rPr>
                <w:rFonts w:eastAsia="宋体"/>
                <w:sz w:val="18"/>
                <w:szCs w:val="18"/>
              </w:rPr>
            </w:pPr>
            <w:r w:rsidRPr="00251574">
              <w:rPr>
                <w:rFonts w:eastAsia="宋体"/>
                <w:sz w:val="18"/>
                <w:szCs w:val="18"/>
              </w:rPr>
              <w:t>资源回收分项评分权重</w:t>
            </w:r>
          </w:p>
        </w:tc>
        <w:tc>
          <w:tcPr>
            <w:tcW w:w="656" w:type="pct"/>
            <w:vAlign w:val="center"/>
          </w:tcPr>
          <w:p w14:paraId="693DC056" w14:textId="77777777" w:rsidR="00DC3694" w:rsidRPr="00251574" w:rsidRDefault="00DC3694" w:rsidP="00547F94">
            <w:pPr>
              <w:tabs>
                <w:tab w:val="center" w:pos="870"/>
                <w:tab w:val="right" w:pos="1740"/>
              </w:tabs>
              <w:spacing w:beforeLines="0" w:before="0" w:afterLines="0" w:after="0"/>
              <w:jc w:val="center"/>
              <w:rPr>
                <w:rFonts w:eastAsia="宋体"/>
                <w:sz w:val="18"/>
                <w:szCs w:val="18"/>
              </w:rPr>
            </w:pPr>
            <w:r w:rsidRPr="00251574">
              <w:rPr>
                <w:rFonts w:eastAsia="宋体"/>
                <w:sz w:val="18"/>
                <w:szCs w:val="18"/>
              </w:rPr>
              <w:object w:dxaOrig="400" w:dyaOrig="1020" w14:anchorId="1C986E13">
                <v:shape id="_x0000_i1048" type="#_x0000_t75" style="width:19.8pt;height:51pt" o:ole="">
                  <v:imagedata r:id="rId64" o:title=""/>
                </v:shape>
                <o:OLEObject Type="Embed" ProgID="Equation.DSMT4" ShapeID="_x0000_i1048" DrawAspect="Content" ObjectID="_1838381619" r:id="rId65"/>
              </w:object>
            </w:r>
          </w:p>
        </w:tc>
        <w:tc>
          <w:tcPr>
            <w:tcW w:w="985" w:type="pct"/>
            <w:vAlign w:val="center"/>
          </w:tcPr>
          <w:p w14:paraId="0108815B" w14:textId="77777777" w:rsidR="00DC3694" w:rsidRPr="00251574" w:rsidRDefault="00DC3694" w:rsidP="00547F94">
            <w:pPr>
              <w:spacing w:beforeLines="0" w:before="0" w:afterLines="0" w:after="0"/>
              <w:jc w:val="center"/>
              <w:rPr>
                <w:rFonts w:eastAsia="宋体"/>
                <w:sz w:val="18"/>
                <w:szCs w:val="18"/>
              </w:rPr>
            </w:pPr>
            <w:r w:rsidRPr="00251574">
              <w:rPr>
                <w:rFonts w:eastAsia="宋体"/>
                <w:sz w:val="18"/>
                <w:szCs w:val="18"/>
              </w:rPr>
              <w:t>0.55/0.30/0.15</w:t>
            </w:r>
          </w:p>
        </w:tc>
        <w:tc>
          <w:tcPr>
            <w:tcW w:w="277" w:type="pct"/>
            <w:vAlign w:val="center"/>
          </w:tcPr>
          <w:p w14:paraId="3E5738EE" w14:textId="410A2AE3" w:rsidR="00DC3694" w:rsidRPr="00251574" w:rsidRDefault="00DC3694" w:rsidP="00547F94">
            <w:pPr>
              <w:spacing w:beforeLines="0" w:before="0" w:afterLines="0" w:after="0"/>
              <w:jc w:val="center"/>
              <w:rPr>
                <w:rFonts w:eastAsia="宋体"/>
                <w:sz w:val="18"/>
                <w:szCs w:val="18"/>
              </w:rPr>
            </w:pPr>
          </w:p>
        </w:tc>
        <w:tc>
          <w:tcPr>
            <w:tcW w:w="1276" w:type="pct"/>
            <w:vAlign w:val="center"/>
          </w:tcPr>
          <w:p w14:paraId="332FD722" w14:textId="77777777" w:rsidR="00DC3694" w:rsidRPr="00251574" w:rsidRDefault="00DC3694" w:rsidP="00547F94">
            <w:pPr>
              <w:spacing w:beforeLines="0" w:before="0" w:afterLines="0" w:after="0"/>
              <w:jc w:val="center"/>
              <w:rPr>
                <w:rFonts w:eastAsia="宋体"/>
                <w:sz w:val="18"/>
                <w:szCs w:val="18"/>
              </w:rPr>
            </w:pPr>
            <w:r w:rsidRPr="00251574">
              <w:rPr>
                <w:rFonts w:eastAsia="宋体"/>
                <w:sz w:val="18"/>
                <w:szCs w:val="18"/>
              </w:rPr>
              <w:t>规划结果</w:t>
            </w:r>
          </w:p>
        </w:tc>
      </w:tr>
      <w:tr w:rsidR="002711E2" w:rsidRPr="00351EC4" w14:paraId="2AA2E05C" w14:textId="77777777" w:rsidTr="002711E2">
        <w:trPr>
          <w:jc w:val="center"/>
        </w:trPr>
        <w:tc>
          <w:tcPr>
            <w:tcW w:w="656" w:type="pct"/>
            <w:vAlign w:val="center"/>
          </w:tcPr>
          <w:p w14:paraId="033DA018" w14:textId="77777777" w:rsidR="00DC3694" w:rsidRPr="00251574" w:rsidRDefault="00DC3694" w:rsidP="00547F94">
            <w:pPr>
              <w:spacing w:beforeLines="0" w:before="0" w:afterLines="0" w:after="0"/>
              <w:jc w:val="center"/>
              <w:rPr>
                <w:rFonts w:eastAsia="宋体"/>
                <w:sz w:val="18"/>
                <w:szCs w:val="18"/>
              </w:rPr>
            </w:pPr>
            <w:r w:rsidRPr="00251574">
              <w:rPr>
                <w:rFonts w:eastAsia="宋体"/>
                <w:sz w:val="18"/>
                <w:szCs w:val="18"/>
              </w:rPr>
              <w:t>候选集合</w:t>
            </w:r>
          </w:p>
        </w:tc>
        <w:tc>
          <w:tcPr>
            <w:tcW w:w="1150" w:type="pct"/>
            <w:vAlign w:val="center"/>
          </w:tcPr>
          <w:p w14:paraId="6E335C62" w14:textId="0E04B543" w:rsidR="00DC3694" w:rsidRPr="00251574" w:rsidRDefault="00DC3694" w:rsidP="00547F94">
            <w:pPr>
              <w:spacing w:beforeLines="0" w:before="0" w:afterLines="0" w:after="0"/>
              <w:jc w:val="center"/>
              <w:rPr>
                <w:rFonts w:eastAsia="宋体"/>
                <w:sz w:val="18"/>
                <w:szCs w:val="18"/>
              </w:rPr>
            </w:pPr>
            <w:r w:rsidRPr="00251574">
              <w:rPr>
                <w:rFonts w:eastAsia="宋体"/>
                <w:sz w:val="18"/>
                <w:szCs w:val="18"/>
              </w:rPr>
              <w:t>工程效率</w:t>
            </w:r>
            <w:r w:rsidR="002711E2">
              <w:rPr>
                <w:rFonts w:eastAsia="宋体" w:hint="eastAsia"/>
                <w:sz w:val="18"/>
                <w:szCs w:val="18"/>
              </w:rPr>
              <w:t>、</w:t>
            </w:r>
            <w:r w:rsidRPr="00251574">
              <w:rPr>
                <w:rFonts w:eastAsia="宋体"/>
                <w:sz w:val="18"/>
                <w:szCs w:val="18"/>
              </w:rPr>
              <w:t>资源回收偏好有效候选数</w:t>
            </w:r>
          </w:p>
        </w:tc>
        <w:tc>
          <w:tcPr>
            <w:tcW w:w="656" w:type="pct"/>
            <w:vAlign w:val="center"/>
          </w:tcPr>
          <w:p w14:paraId="436C0720" w14:textId="4553C0FE" w:rsidR="00DC3694" w:rsidRPr="00251574" w:rsidRDefault="00DC3694" w:rsidP="00547F94">
            <w:pPr>
              <w:spacing w:beforeLines="0" w:before="0" w:afterLines="0" w:after="0"/>
              <w:jc w:val="center"/>
              <w:rPr>
                <w:rFonts w:eastAsia="宋体"/>
                <w:sz w:val="18"/>
                <w:szCs w:val="18"/>
              </w:rPr>
            </w:pPr>
            <w:r w:rsidRPr="00251574">
              <w:rPr>
                <w:rFonts w:eastAsia="宋体"/>
                <w:sz w:val="18"/>
                <w:szCs w:val="18"/>
              </w:rPr>
              <w:object w:dxaOrig="320" w:dyaOrig="360" w14:anchorId="1EC39C61">
                <v:shape id="_x0000_i1049" type="#_x0000_t75" style="width:16.2pt;height:18pt" o:ole="">
                  <v:imagedata r:id="rId66" o:title=""/>
                </v:shape>
                <o:OLEObject Type="Embed" ProgID="Equation.DSMT4" ShapeID="_x0000_i1049" DrawAspect="Content" ObjectID="_1838381620" r:id="rId67"/>
              </w:object>
            </w:r>
            <w:r w:rsidRPr="00251574">
              <w:rPr>
                <w:rFonts w:eastAsia="宋体"/>
                <w:sz w:val="18"/>
                <w:szCs w:val="18"/>
              </w:rPr>
              <w:object w:dxaOrig="320" w:dyaOrig="360" w14:anchorId="51530809">
                <v:shape id="_x0000_i1050" type="#_x0000_t75" style="width:16.2pt;height:18pt" o:ole="">
                  <v:imagedata r:id="rId68" o:title=""/>
                </v:shape>
                <o:OLEObject Type="Embed" ProgID="Equation.DSMT4" ShapeID="_x0000_i1050" DrawAspect="Content" ObjectID="_1838381621" r:id="rId69"/>
              </w:object>
            </w:r>
          </w:p>
        </w:tc>
        <w:tc>
          <w:tcPr>
            <w:tcW w:w="985" w:type="pct"/>
            <w:vAlign w:val="center"/>
          </w:tcPr>
          <w:p w14:paraId="225A3A35" w14:textId="77777777" w:rsidR="00DC3694" w:rsidRPr="00251574" w:rsidRDefault="00DC3694" w:rsidP="00547F94">
            <w:pPr>
              <w:spacing w:beforeLines="0" w:before="0" w:afterLines="0" w:after="0"/>
              <w:jc w:val="center"/>
              <w:rPr>
                <w:rFonts w:eastAsia="宋体"/>
                <w:sz w:val="18"/>
                <w:szCs w:val="18"/>
              </w:rPr>
            </w:pPr>
            <w:r>
              <w:rPr>
                <w:rFonts w:eastAsia="宋体"/>
                <w:sz w:val="18"/>
                <w:szCs w:val="18"/>
              </w:rPr>
              <w:t>2417</w:t>
            </w:r>
            <w:r>
              <w:rPr>
                <w:rFonts w:eastAsia="宋体"/>
                <w:sz w:val="18"/>
                <w:szCs w:val="18"/>
              </w:rPr>
              <w:t>、</w:t>
            </w:r>
            <w:r>
              <w:rPr>
                <w:rFonts w:eastAsia="宋体"/>
                <w:sz w:val="18"/>
                <w:szCs w:val="18"/>
              </w:rPr>
              <w:t>1149</w:t>
            </w:r>
          </w:p>
        </w:tc>
        <w:tc>
          <w:tcPr>
            <w:tcW w:w="277" w:type="pct"/>
            <w:vAlign w:val="center"/>
          </w:tcPr>
          <w:p w14:paraId="7A77C616" w14:textId="77777777" w:rsidR="00DC3694" w:rsidRPr="00251574" w:rsidRDefault="00DC3694" w:rsidP="00547F94">
            <w:pPr>
              <w:spacing w:beforeLines="0" w:before="0" w:afterLines="0" w:after="0"/>
              <w:jc w:val="center"/>
              <w:rPr>
                <w:rFonts w:eastAsia="宋体"/>
                <w:sz w:val="18"/>
                <w:szCs w:val="18"/>
              </w:rPr>
            </w:pPr>
            <w:proofErr w:type="gramStart"/>
            <w:r w:rsidRPr="00251574">
              <w:rPr>
                <w:rFonts w:eastAsia="宋体"/>
                <w:sz w:val="18"/>
                <w:szCs w:val="18"/>
              </w:rPr>
              <w:t>个</w:t>
            </w:r>
            <w:proofErr w:type="gramEnd"/>
          </w:p>
        </w:tc>
        <w:tc>
          <w:tcPr>
            <w:tcW w:w="1276" w:type="pct"/>
            <w:vAlign w:val="center"/>
          </w:tcPr>
          <w:p w14:paraId="5FF73B18" w14:textId="77777777" w:rsidR="00DC3694" w:rsidRPr="00251574" w:rsidRDefault="00DC3694" w:rsidP="00547F94">
            <w:pPr>
              <w:spacing w:beforeLines="0" w:before="0" w:afterLines="0" w:after="0"/>
              <w:jc w:val="center"/>
              <w:rPr>
                <w:rFonts w:eastAsia="宋体"/>
                <w:sz w:val="18"/>
                <w:szCs w:val="18"/>
              </w:rPr>
            </w:pPr>
            <w:r w:rsidRPr="00251574">
              <w:rPr>
                <w:rFonts w:eastAsia="宋体"/>
                <w:sz w:val="18"/>
                <w:szCs w:val="18"/>
              </w:rPr>
              <w:t>规划结果</w:t>
            </w:r>
          </w:p>
        </w:tc>
      </w:tr>
      <w:tr w:rsidR="002711E2" w:rsidRPr="00351EC4" w14:paraId="1A72C01C" w14:textId="77777777" w:rsidTr="002711E2">
        <w:trPr>
          <w:jc w:val="center"/>
        </w:trPr>
        <w:tc>
          <w:tcPr>
            <w:tcW w:w="656" w:type="pct"/>
            <w:vAlign w:val="center"/>
          </w:tcPr>
          <w:p w14:paraId="4585FEB1" w14:textId="77777777" w:rsidR="00DC3694" w:rsidRPr="00251574" w:rsidRDefault="00DC3694" w:rsidP="00547F94">
            <w:pPr>
              <w:spacing w:beforeLines="0" w:before="0" w:afterLines="0" w:after="0"/>
              <w:jc w:val="center"/>
              <w:rPr>
                <w:rFonts w:eastAsia="宋体"/>
                <w:sz w:val="18"/>
                <w:szCs w:val="18"/>
              </w:rPr>
            </w:pPr>
            <w:r w:rsidRPr="00251574">
              <w:rPr>
                <w:rFonts w:eastAsia="宋体"/>
                <w:sz w:val="18"/>
                <w:szCs w:val="18"/>
              </w:rPr>
              <w:t>候选集合</w:t>
            </w:r>
          </w:p>
        </w:tc>
        <w:tc>
          <w:tcPr>
            <w:tcW w:w="1150" w:type="pct"/>
            <w:vAlign w:val="center"/>
          </w:tcPr>
          <w:p w14:paraId="40889AE7" w14:textId="77777777" w:rsidR="00DC3694" w:rsidRPr="00251574" w:rsidRDefault="00DC3694" w:rsidP="00547F94">
            <w:pPr>
              <w:spacing w:beforeLines="0" w:before="0" w:afterLines="0" w:after="0"/>
              <w:jc w:val="center"/>
              <w:rPr>
                <w:rFonts w:eastAsia="宋体"/>
                <w:sz w:val="18"/>
                <w:szCs w:val="18"/>
              </w:rPr>
            </w:pPr>
            <w:r w:rsidRPr="00251574">
              <w:rPr>
                <w:rFonts w:eastAsia="宋体"/>
                <w:sz w:val="18"/>
                <w:szCs w:val="18"/>
              </w:rPr>
              <w:t>扰动控制偏好有效候选数</w:t>
            </w:r>
          </w:p>
        </w:tc>
        <w:tc>
          <w:tcPr>
            <w:tcW w:w="656" w:type="pct"/>
            <w:vAlign w:val="center"/>
          </w:tcPr>
          <w:p w14:paraId="53AB5826" w14:textId="77777777" w:rsidR="00DC3694" w:rsidRPr="00251574" w:rsidRDefault="00DC3694" w:rsidP="00547F94">
            <w:pPr>
              <w:tabs>
                <w:tab w:val="center" w:pos="870"/>
                <w:tab w:val="right" w:pos="1740"/>
              </w:tabs>
              <w:spacing w:beforeLines="0" w:before="0" w:afterLines="0" w:after="0"/>
              <w:jc w:val="center"/>
              <w:rPr>
                <w:rFonts w:eastAsia="宋体"/>
                <w:sz w:val="18"/>
                <w:szCs w:val="18"/>
              </w:rPr>
            </w:pPr>
            <w:r w:rsidRPr="00251574">
              <w:rPr>
                <w:rFonts w:eastAsia="宋体"/>
                <w:sz w:val="18"/>
                <w:szCs w:val="18"/>
              </w:rPr>
              <w:object w:dxaOrig="360" w:dyaOrig="360" w14:anchorId="79681017">
                <v:shape id="_x0000_i1051" type="#_x0000_t75" style="width:18pt;height:18pt" o:ole="">
                  <v:imagedata r:id="rId70" o:title=""/>
                </v:shape>
                <o:OLEObject Type="Embed" ProgID="Equation.DSMT4" ShapeID="_x0000_i1051" DrawAspect="Content" ObjectID="_1838381622" r:id="rId71"/>
              </w:object>
            </w:r>
          </w:p>
        </w:tc>
        <w:tc>
          <w:tcPr>
            <w:tcW w:w="985" w:type="pct"/>
            <w:vAlign w:val="center"/>
          </w:tcPr>
          <w:p w14:paraId="6F61878A" w14:textId="77777777" w:rsidR="00DC3694" w:rsidRPr="00251574" w:rsidRDefault="00DC3694" w:rsidP="00547F94">
            <w:pPr>
              <w:spacing w:beforeLines="0" w:before="0" w:afterLines="0" w:after="0"/>
              <w:jc w:val="center"/>
              <w:rPr>
                <w:rFonts w:eastAsia="宋体"/>
                <w:sz w:val="18"/>
                <w:szCs w:val="18"/>
              </w:rPr>
            </w:pPr>
            <w:r w:rsidRPr="00251574">
              <w:rPr>
                <w:rFonts w:eastAsia="宋体"/>
                <w:sz w:val="18"/>
                <w:szCs w:val="18"/>
              </w:rPr>
              <w:t>374</w:t>
            </w:r>
          </w:p>
        </w:tc>
        <w:tc>
          <w:tcPr>
            <w:tcW w:w="277" w:type="pct"/>
            <w:vAlign w:val="center"/>
          </w:tcPr>
          <w:p w14:paraId="0B999BE4" w14:textId="77777777" w:rsidR="00DC3694" w:rsidRPr="00251574" w:rsidRDefault="00DC3694" w:rsidP="00547F94">
            <w:pPr>
              <w:spacing w:beforeLines="0" w:before="0" w:afterLines="0" w:after="0"/>
              <w:jc w:val="center"/>
              <w:rPr>
                <w:rFonts w:eastAsia="宋体"/>
                <w:sz w:val="18"/>
                <w:szCs w:val="18"/>
              </w:rPr>
            </w:pPr>
            <w:proofErr w:type="gramStart"/>
            <w:r w:rsidRPr="00251574">
              <w:rPr>
                <w:rFonts w:eastAsia="宋体"/>
                <w:sz w:val="18"/>
                <w:szCs w:val="18"/>
              </w:rPr>
              <w:t>个</w:t>
            </w:r>
            <w:proofErr w:type="gramEnd"/>
          </w:p>
        </w:tc>
        <w:tc>
          <w:tcPr>
            <w:tcW w:w="1276" w:type="pct"/>
            <w:vAlign w:val="center"/>
          </w:tcPr>
          <w:p w14:paraId="1EFE3CE4" w14:textId="77777777" w:rsidR="00DC3694" w:rsidRPr="00251574" w:rsidRDefault="00DC3694" w:rsidP="00547F94">
            <w:pPr>
              <w:spacing w:beforeLines="0" w:before="0" w:afterLines="0" w:after="0"/>
              <w:jc w:val="center"/>
              <w:rPr>
                <w:rFonts w:eastAsia="宋体"/>
                <w:sz w:val="18"/>
                <w:szCs w:val="18"/>
              </w:rPr>
            </w:pPr>
            <w:r w:rsidRPr="00251574">
              <w:rPr>
                <w:rFonts w:eastAsia="宋体"/>
                <w:sz w:val="18"/>
                <w:szCs w:val="18"/>
              </w:rPr>
              <w:t>规划结果</w:t>
            </w:r>
          </w:p>
        </w:tc>
      </w:tr>
      <w:tr w:rsidR="002711E2" w:rsidRPr="00351EC4" w14:paraId="5FB7C86D" w14:textId="77777777" w:rsidTr="002711E2">
        <w:trPr>
          <w:jc w:val="center"/>
        </w:trPr>
        <w:tc>
          <w:tcPr>
            <w:tcW w:w="656" w:type="pct"/>
            <w:tcBorders>
              <w:bottom w:val="single" w:sz="8" w:space="0" w:color="000000"/>
            </w:tcBorders>
            <w:vAlign w:val="center"/>
          </w:tcPr>
          <w:p w14:paraId="3F40BE60" w14:textId="77777777" w:rsidR="00DC3694" w:rsidRPr="00251574" w:rsidRDefault="00DC3694" w:rsidP="00547F94">
            <w:pPr>
              <w:spacing w:beforeLines="0" w:before="0" w:afterLines="0" w:after="0"/>
              <w:jc w:val="center"/>
              <w:rPr>
                <w:rFonts w:eastAsia="宋体"/>
                <w:sz w:val="18"/>
                <w:szCs w:val="18"/>
              </w:rPr>
            </w:pPr>
            <w:r w:rsidRPr="00251574">
              <w:rPr>
                <w:rFonts w:eastAsia="宋体"/>
                <w:sz w:val="18"/>
                <w:szCs w:val="18"/>
              </w:rPr>
              <w:t>候选集合</w:t>
            </w:r>
          </w:p>
        </w:tc>
        <w:tc>
          <w:tcPr>
            <w:tcW w:w="1150" w:type="pct"/>
            <w:tcBorders>
              <w:bottom w:val="single" w:sz="8" w:space="0" w:color="000000"/>
            </w:tcBorders>
            <w:vAlign w:val="center"/>
          </w:tcPr>
          <w:p w14:paraId="31D4384D" w14:textId="77777777" w:rsidR="00DC3694" w:rsidRPr="00251574" w:rsidRDefault="00DC3694" w:rsidP="00547F94">
            <w:pPr>
              <w:spacing w:beforeLines="0" w:before="0" w:afterLines="0" w:after="0"/>
              <w:jc w:val="center"/>
              <w:rPr>
                <w:rFonts w:eastAsia="宋体"/>
                <w:sz w:val="18"/>
                <w:szCs w:val="18"/>
              </w:rPr>
            </w:pPr>
            <w:r w:rsidRPr="00251574">
              <w:rPr>
                <w:rFonts w:eastAsia="宋体"/>
                <w:sz w:val="18"/>
                <w:szCs w:val="18"/>
              </w:rPr>
              <w:t>联合判据下低扰动候选数</w:t>
            </w:r>
          </w:p>
        </w:tc>
        <w:tc>
          <w:tcPr>
            <w:tcW w:w="656" w:type="pct"/>
            <w:tcBorders>
              <w:bottom w:val="single" w:sz="8" w:space="0" w:color="000000"/>
            </w:tcBorders>
            <w:vAlign w:val="center"/>
          </w:tcPr>
          <w:p w14:paraId="3580AA21" w14:textId="77777777" w:rsidR="00DC3694" w:rsidRPr="00251574" w:rsidRDefault="00DC3694" w:rsidP="00547F94">
            <w:pPr>
              <w:tabs>
                <w:tab w:val="center" w:pos="870"/>
                <w:tab w:val="right" w:pos="1740"/>
              </w:tabs>
              <w:spacing w:beforeLines="0" w:before="0" w:afterLines="0" w:after="0"/>
              <w:jc w:val="center"/>
              <w:rPr>
                <w:rFonts w:eastAsia="宋体"/>
                <w:sz w:val="18"/>
                <w:szCs w:val="18"/>
              </w:rPr>
            </w:pPr>
            <w:r w:rsidRPr="00251574">
              <w:rPr>
                <w:rFonts w:eastAsia="宋体"/>
                <w:sz w:val="18"/>
                <w:szCs w:val="18"/>
              </w:rPr>
              <w:object w:dxaOrig="820" w:dyaOrig="360" w14:anchorId="283E45DB">
                <v:shape id="_x0000_i1052" type="#_x0000_t75" style="width:40.8pt;height:18pt" o:ole="">
                  <v:imagedata r:id="rId72" o:title=""/>
                </v:shape>
                <o:OLEObject Type="Embed" ProgID="Equation.DSMT4" ShapeID="_x0000_i1052" DrawAspect="Content" ObjectID="_1838381623" r:id="rId73"/>
              </w:object>
            </w:r>
          </w:p>
        </w:tc>
        <w:tc>
          <w:tcPr>
            <w:tcW w:w="985" w:type="pct"/>
            <w:tcBorders>
              <w:bottom w:val="single" w:sz="8" w:space="0" w:color="000000"/>
            </w:tcBorders>
            <w:vAlign w:val="center"/>
          </w:tcPr>
          <w:p w14:paraId="240B8AC2" w14:textId="77777777" w:rsidR="00DC3694" w:rsidRPr="00251574" w:rsidRDefault="00DC3694" w:rsidP="00547F94">
            <w:pPr>
              <w:spacing w:beforeLines="0" w:before="0" w:afterLines="0" w:after="0"/>
              <w:jc w:val="center"/>
              <w:rPr>
                <w:rFonts w:eastAsia="宋体"/>
                <w:sz w:val="18"/>
                <w:szCs w:val="18"/>
              </w:rPr>
            </w:pPr>
            <w:r w:rsidRPr="00251574">
              <w:rPr>
                <w:rFonts w:eastAsia="宋体"/>
                <w:sz w:val="18"/>
                <w:szCs w:val="18"/>
              </w:rPr>
              <w:t>88</w:t>
            </w:r>
          </w:p>
        </w:tc>
        <w:tc>
          <w:tcPr>
            <w:tcW w:w="277" w:type="pct"/>
            <w:tcBorders>
              <w:bottom w:val="single" w:sz="8" w:space="0" w:color="000000"/>
            </w:tcBorders>
            <w:vAlign w:val="center"/>
          </w:tcPr>
          <w:p w14:paraId="69D6F4FD" w14:textId="77777777" w:rsidR="00DC3694" w:rsidRPr="00251574" w:rsidRDefault="00DC3694" w:rsidP="00547F94">
            <w:pPr>
              <w:spacing w:beforeLines="0" w:before="0" w:afterLines="0" w:after="0"/>
              <w:jc w:val="center"/>
              <w:rPr>
                <w:rFonts w:eastAsia="宋体"/>
                <w:sz w:val="18"/>
                <w:szCs w:val="18"/>
              </w:rPr>
            </w:pPr>
            <w:proofErr w:type="gramStart"/>
            <w:r w:rsidRPr="00251574">
              <w:rPr>
                <w:rFonts w:eastAsia="宋体"/>
                <w:sz w:val="18"/>
                <w:szCs w:val="18"/>
              </w:rPr>
              <w:t>个</w:t>
            </w:r>
            <w:proofErr w:type="gramEnd"/>
          </w:p>
        </w:tc>
        <w:tc>
          <w:tcPr>
            <w:tcW w:w="1276" w:type="pct"/>
            <w:tcBorders>
              <w:bottom w:val="single" w:sz="8" w:space="0" w:color="000000"/>
            </w:tcBorders>
            <w:vAlign w:val="center"/>
          </w:tcPr>
          <w:p w14:paraId="768176CF" w14:textId="77777777" w:rsidR="00DC3694" w:rsidRPr="00251574" w:rsidRDefault="00DC3694" w:rsidP="00547F94">
            <w:pPr>
              <w:spacing w:beforeLines="0" w:before="0" w:afterLines="0" w:after="0"/>
              <w:jc w:val="center"/>
              <w:rPr>
                <w:rFonts w:eastAsia="宋体"/>
                <w:sz w:val="18"/>
                <w:szCs w:val="18"/>
              </w:rPr>
            </w:pPr>
            <w:r w:rsidRPr="00251574">
              <w:rPr>
                <w:rFonts w:eastAsia="宋体"/>
                <w:sz w:val="18"/>
                <w:szCs w:val="18"/>
              </w:rPr>
              <w:t>规划结果</w:t>
            </w:r>
          </w:p>
        </w:tc>
      </w:tr>
    </w:tbl>
    <w:p w14:paraId="59F01AFA" w14:textId="77777777" w:rsidR="00DC3694" w:rsidRDefault="00DC3694" w:rsidP="00DC3694">
      <w:pPr>
        <w:pStyle w:val="100"/>
        <w:ind w:firstLineChars="0" w:firstLine="0"/>
        <w:sectPr w:rsidR="00DC3694" w:rsidSect="00DC3694">
          <w:type w:val="continuous"/>
          <w:pgSz w:w="11906" w:h="16838"/>
          <w:pgMar w:top="1418" w:right="1134" w:bottom="1134" w:left="1134" w:header="1418" w:footer="0" w:gutter="0"/>
          <w:cols w:space="720"/>
          <w:docGrid w:linePitch="312"/>
        </w:sectPr>
      </w:pPr>
    </w:p>
    <w:p w14:paraId="563F4A45" w14:textId="0C862BC3" w:rsidR="000F70E1" w:rsidRPr="000F70E1" w:rsidRDefault="000F70E1" w:rsidP="000F70E1">
      <w:pPr>
        <w:pStyle w:val="12"/>
      </w:pPr>
      <w:r w:rsidRPr="000F70E1">
        <w:t xml:space="preserve">2.2 </w:t>
      </w:r>
      <w:r w:rsidRPr="000F70E1">
        <w:t>连续</w:t>
      </w:r>
      <w:proofErr w:type="gramStart"/>
      <w:r w:rsidRPr="000F70E1">
        <w:t>参数场</w:t>
      </w:r>
      <w:proofErr w:type="gramEnd"/>
      <w:r w:rsidRPr="000F70E1">
        <w:t>与多场景</w:t>
      </w:r>
      <w:proofErr w:type="gramStart"/>
      <w:r w:rsidRPr="000F70E1">
        <w:t>覆岩扰动场</w:t>
      </w:r>
      <w:proofErr w:type="gramEnd"/>
      <w:r w:rsidRPr="000F70E1">
        <w:t>构建结果</w:t>
      </w:r>
    </w:p>
    <w:p w14:paraId="4182AD51" w14:textId="77777777" w:rsidR="00551567" w:rsidRDefault="000F70E1" w:rsidP="000F70E1">
      <w:pPr>
        <w:pStyle w:val="100"/>
        <w:ind w:firstLine="420"/>
      </w:pPr>
      <w:r w:rsidRPr="000F70E1">
        <w:t>在研究区基础输入确定后，首先需要将离散钻孔样点转化为可参与规划求解的连续空间信息。</w:t>
      </w:r>
      <w:proofErr w:type="gramStart"/>
      <w:r w:rsidRPr="000F70E1">
        <w:t>当前样</w:t>
      </w:r>
      <w:proofErr w:type="gramEnd"/>
      <w:r w:rsidRPr="000F70E1">
        <w:t>例以煤层厚度场为主要展示对象，通过钻孔样点插值和边界裁剪构建连续参数场，并在统一坐标、统一边界和统一网格参照下，与后续</w:t>
      </w:r>
      <w:proofErr w:type="gramStart"/>
      <w:r w:rsidRPr="000F70E1">
        <w:t>覆岩扰动场</w:t>
      </w:r>
      <w:proofErr w:type="gramEnd"/>
      <w:r w:rsidRPr="000F70E1">
        <w:t>及工作面布局对象进行叠加分析。</w:t>
      </w:r>
    </w:p>
    <w:p w14:paraId="5CDBC4A5" w14:textId="77777777" w:rsidR="00551567" w:rsidRDefault="00551567" w:rsidP="00551567">
      <w:pPr>
        <w:pStyle w:val="100"/>
        <w:keepNext/>
        <w:ind w:firstLineChars="0" w:firstLine="0"/>
        <w:sectPr w:rsidR="00551567" w:rsidSect="00AD42AB">
          <w:type w:val="continuous"/>
          <w:pgSz w:w="11906" w:h="16838"/>
          <w:pgMar w:top="1418" w:right="1134" w:bottom="1134" w:left="1134" w:header="1418" w:footer="0" w:gutter="0"/>
          <w:cols w:num="2" w:space="720"/>
          <w:docGrid w:linePitch="312"/>
        </w:sectPr>
      </w:pPr>
    </w:p>
    <w:p w14:paraId="6FB0252E" w14:textId="77777777" w:rsidR="00551567" w:rsidRDefault="00551567" w:rsidP="00551567">
      <w:pPr>
        <w:pStyle w:val="aff"/>
      </w:pPr>
      <w:r>
        <w:rPr>
          <w:noProof/>
        </w:rPr>
        <w:lastRenderedPageBreak/>
        <w:drawing>
          <wp:inline distT="0" distB="0" distL="0" distR="0" wp14:anchorId="7691A8A9" wp14:editId="431341EA">
            <wp:extent cx="5778000" cy="1451303"/>
            <wp:effectExtent l="0" t="0" r="0" b="0"/>
            <wp:docPr id="116699095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778000" cy="1451303"/>
                    </a:xfrm>
                    <a:prstGeom prst="rect">
                      <a:avLst/>
                    </a:prstGeom>
                    <a:noFill/>
                    <a:ln>
                      <a:noFill/>
                    </a:ln>
                  </pic:spPr>
                </pic:pic>
              </a:graphicData>
            </a:graphic>
          </wp:inline>
        </w:drawing>
      </w:r>
    </w:p>
    <w:p w14:paraId="259B79E9" w14:textId="582D89E6" w:rsidR="00551567" w:rsidRDefault="00551567" w:rsidP="00551567">
      <w:pPr>
        <w:pStyle w:val="14"/>
      </w:pPr>
      <w:bookmarkStart w:id="11" w:name="_Ref227764636"/>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717C8">
        <w:rPr>
          <w:noProof/>
        </w:rPr>
        <w:t>8</w:t>
      </w:r>
      <w:r>
        <w:fldChar w:fldCharType="end"/>
      </w:r>
      <w:bookmarkEnd w:id="11"/>
      <w:r>
        <w:rPr>
          <w:rFonts w:hint="eastAsia"/>
        </w:rPr>
        <w:t xml:space="preserve"> </w:t>
      </w:r>
      <w:r w:rsidRPr="00551567">
        <w:t>钻孔样点到连续</w:t>
      </w:r>
      <w:proofErr w:type="gramStart"/>
      <w:r w:rsidRPr="00551567">
        <w:t>参数场</w:t>
      </w:r>
      <w:proofErr w:type="gramEnd"/>
      <w:r w:rsidRPr="00551567">
        <w:t>的构建流程图</w:t>
      </w:r>
    </w:p>
    <w:p w14:paraId="3C70F46B" w14:textId="39CCD03A" w:rsidR="00551567" w:rsidRDefault="00551567" w:rsidP="00551567">
      <w:pPr>
        <w:pStyle w:val="14"/>
      </w:pPr>
      <w:r w:rsidRPr="00551567">
        <w:t>Fig.</w:t>
      </w:r>
      <w:r>
        <w:fldChar w:fldCharType="begin"/>
      </w:r>
      <w:r>
        <w:instrText xml:space="preserve"> REF _Ref227764636 \h </w:instrText>
      </w:r>
      <w:r>
        <w:fldChar w:fldCharType="separate"/>
      </w:r>
      <w:r>
        <w:rPr>
          <w:noProof/>
        </w:rPr>
        <w:t>8</w:t>
      </w:r>
      <w:r>
        <w:fldChar w:fldCharType="end"/>
      </w:r>
      <w:r w:rsidRPr="00551567">
        <w:t xml:space="preserve"> Workflow for constructing the continuous parameter field from borehole samples</w:t>
      </w:r>
    </w:p>
    <w:p w14:paraId="7613E73F" w14:textId="77777777" w:rsidR="00551567" w:rsidRDefault="00551567" w:rsidP="000F70E1">
      <w:pPr>
        <w:pStyle w:val="100"/>
        <w:ind w:firstLine="420"/>
        <w:sectPr w:rsidR="00551567" w:rsidSect="00A07DBF">
          <w:type w:val="continuous"/>
          <w:pgSz w:w="11906" w:h="16838"/>
          <w:pgMar w:top="1418" w:right="1134" w:bottom="1134" w:left="1134" w:header="720" w:footer="720" w:gutter="0"/>
          <w:cols w:space="720"/>
          <w:docGrid w:linePitch="598"/>
        </w:sectPr>
      </w:pPr>
    </w:p>
    <w:p w14:paraId="551116A7" w14:textId="3C1FFFBA" w:rsidR="000F70E1" w:rsidRPr="000F70E1" w:rsidRDefault="00551567" w:rsidP="000F70E1">
      <w:pPr>
        <w:pStyle w:val="100"/>
        <w:ind w:firstLine="420"/>
      </w:pPr>
      <w:r w:rsidRPr="00551567">
        <w:rPr>
          <w:rFonts w:hint="eastAsia"/>
        </w:rPr>
        <w:t>如</w:t>
      </w:r>
      <w:r>
        <w:fldChar w:fldCharType="begin"/>
      </w:r>
      <w:r>
        <w:instrText xml:space="preserve"> </w:instrText>
      </w:r>
      <w:r>
        <w:rPr>
          <w:rFonts w:hint="eastAsia"/>
        </w:rPr>
        <w:instrText>REF _Ref227764636 \h</w:instrText>
      </w:r>
      <w:r>
        <w:instrText xml:space="preserve"> </w:instrText>
      </w:r>
      <w:r>
        <w:fldChar w:fldCharType="separate"/>
      </w:r>
      <w:r>
        <w:rPr>
          <w:rFonts w:hint="eastAsia"/>
        </w:rPr>
        <w:t>图</w:t>
      </w:r>
      <w:r>
        <w:rPr>
          <w:noProof/>
        </w:rPr>
        <w:t>8</w:t>
      </w:r>
      <w:r>
        <w:fldChar w:fldCharType="end"/>
      </w:r>
      <w:r w:rsidRPr="00551567">
        <w:rPr>
          <w:rFonts w:hint="eastAsia"/>
        </w:rPr>
        <w:t>所示，离散钻孔样点在统一坐标系下经过插值计算、边界裁剪和网格</w:t>
      </w:r>
      <w:proofErr w:type="gramStart"/>
      <w:r w:rsidRPr="00551567">
        <w:rPr>
          <w:rFonts w:hint="eastAsia"/>
        </w:rPr>
        <w:t>化表达后</w:t>
      </w:r>
      <w:proofErr w:type="gramEnd"/>
      <w:r w:rsidRPr="00551567">
        <w:rPr>
          <w:rFonts w:hint="eastAsia"/>
        </w:rPr>
        <w:t>，可转换为可参与采区规划求解的连续参数场，从而为资源覆盖分析、方案比较和</w:t>
      </w:r>
      <w:proofErr w:type="gramStart"/>
      <w:r w:rsidRPr="00551567">
        <w:rPr>
          <w:rFonts w:hint="eastAsia"/>
        </w:rPr>
        <w:t>覆岩扰动场</w:t>
      </w:r>
      <w:proofErr w:type="gramEnd"/>
      <w:r w:rsidRPr="00551567">
        <w:rPr>
          <w:rFonts w:hint="eastAsia"/>
        </w:rPr>
        <w:t>叠加提供空间基础。</w:t>
      </w:r>
      <w:r w:rsidR="000F70E1" w:rsidRPr="000F70E1">
        <w:t>从结果看，研究区煤层厚度样本范围为</w:t>
      </w:r>
      <w:r w:rsidR="000F70E1" w:rsidRPr="000F70E1">
        <w:t>2.8</w:t>
      </w:r>
      <w:r w:rsidR="000F70E1" w:rsidRPr="000F70E1">
        <w:t>～</w:t>
      </w:r>
      <w:r w:rsidR="000F70E1" w:rsidRPr="000F70E1">
        <w:t>4.8 m</w:t>
      </w:r>
      <w:r w:rsidR="000F70E1" w:rsidRPr="000F70E1">
        <w:t>，平均值为</w:t>
      </w:r>
      <w:r w:rsidR="000F70E1" w:rsidRPr="000F70E1">
        <w:t>3.7933 m</w:t>
      </w:r>
      <w:r w:rsidR="000F70E1" w:rsidRPr="000F70E1">
        <w:t>，其中高厚度样点主要集中于</w:t>
      </w:r>
      <w:r w:rsidR="000F70E1" w:rsidRPr="000F70E1">
        <w:t>ZK-106</w:t>
      </w:r>
      <w:r w:rsidR="000F70E1" w:rsidRPr="000F70E1">
        <w:t>及其邻近区域，低厚度样点以</w:t>
      </w:r>
      <w:r w:rsidR="000F70E1" w:rsidRPr="000F70E1">
        <w:t>ZK-107</w:t>
      </w:r>
      <w:r w:rsidR="000F70E1" w:rsidRPr="000F70E1">
        <w:t>为代表，表明研究区资源条件在空间上具有明显非均质性。对于采区规划而言，这种差异意味着不同区域在资源覆盖潜力和布置优先级上并不相同，因此连续</w:t>
      </w:r>
      <w:proofErr w:type="gramStart"/>
      <w:r w:rsidR="000F70E1" w:rsidRPr="000F70E1">
        <w:t>参数场并非</w:t>
      </w:r>
      <w:proofErr w:type="gramEnd"/>
      <w:r w:rsidR="000F70E1" w:rsidRPr="000F70E1">
        <w:t>单纯的地质展示图，而是后续方案生成、覆盖率统计和资源回收</w:t>
      </w:r>
      <w:r w:rsidR="000F70E1" w:rsidRPr="000F70E1">
        <w:t>评价的基础底图。</w:t>
      </w:r>
      <w:r w:rsidR="000F70E1" w:rsidRPr="000F70E1">
        <w:t xml:space="preserve"> </w:t>
      </w:r>
    </w:p>
    <w:p w14:paraId="3D043A95" w14:textId="77777777" w:rsidR="00551567" w:rsidRDefault="000F70E1" w:rsidP="000F70E1">
      <w:pPr>
        <w:pStyle w:val="100"/>
        <w:ind w:firstLine="420"/>
      </w:pPr>
      <w:r w:rsidRPr="000F70E1">
        <w:t>进一步地，连续</w:t>
      </w:r>
      <w:proofErr w:type="gramStart"/>
      <w:r w:rsidRPr="000F70E1">
        <w:t>参数场</w:t>
      </w:r>
      <w:proofErr w:type="gramEnd"/>
      <w:r w:rsidRPr="000F70E1">
        <w:t>还为多</w:t>
      </w:r>
      <w:proofErr w:type="gramStart"/>
      <w:r w:rsidRPr="000F70E1">
        <w:t>场景覆岩扰动</w:t>
      </w:r>
      <w:proofErr w:type="gramEnd"/>
      <w:r w:rsidRPr="000F70E1">
        <w:t>评价提供了统一空间载体。由于地表沉陷、含水层扰动和上行开采等不同场景的控制层位、判据口径和响应重点存在差异，若分别以</w:t>
      </w:r>
      <w:proofErr w:type="gramStart"/>
      <w:r w:rsidRPr="000F70E1">
        <w:t>独立图层进入</w:t>
      </w:r>
      <w:proofErr w:type="gramEnd"/>
      <w:r w:rsidRPr="000F70E1">
        <w:t>采区规划，容易造成约束表达不一致和方案比较困难。为此，本文在保持扰动指标体系和计算结构一致的前提下，通过识别不同工程情境下的主控响应，将地表沉陷扰动、含水层扰动和上行开采扰动归一化并加权组织为</w:t>
      </w:r>
      <w:proofErr w:type="gramStart"/>
      <w:r w:rsidRPr="000F70E1">
        <w:t>统一覆岩扰动</w:t>
      </w:r>
      <w:proofErr w:type="gramEnd"/>
      <w:r w:rsidRPr="000F70E1">
        <w:t>场，使不同风险场景能够在同一研究区边界、同一坐标系和同</w:t>
      </w:r>
      <w:proofErr w:type="gramStart"/>
      <w:r w:rsidRPr="000F70E1">
        <w:t>一统计</w:t>
      </w:r>
      <w:proofErr w:type="gramEnd"/>
      <w:r w:rsidRPr="000F70E1">
        <w:t>口径下表达与比较。</w:t>
      </w:r>
    </w:p>
    <w:p w14:paraId="2483E27C" w14:textId="77777777" w:rsidR="00551567" w:rsidRDefault="00551567" w:rsidP="00551567">
      <w:pPr>
        <w:pStyle w:val="100"/>
        <w:keepNext/>
        <w:ind w:firstLineChars="0" w:firstLine="0"/>
        <w:sectPr w:rsidR="00551567" w:rsidSect="00AD42AB">
          <w:type w:val="continuous"/>
          <w:pgSz w:w="11906" w:h="16838"/>
          <w:pgMar w:top="1418" w:right="1134" w:bottom="1134" w:left="1134" w:header="1418" w:footer="0" w:gutter="0"/>
          <w:cols w:num="2" w:space="720"/>
          <w:docGrid w:linePitch="312"/>
        </w:sectPr>
      </w:pPr>
    </w:p>
    <w:p w14:paraId="1A5D1CB6" w14:textId="77777777" w:rsidR="00551567" w:rsidRDefault="00551567" w:rsidP="00551567">
      <w:pPr>
        <w:pStyle w:val="100"/>
        <w:keepNext/>
        <w:ind w:firstLineChars="0" w:firstLine="0"/>
        <w:jc w:val="center"/>
      </w:pPr>
      <w:r>
        <w:rPr>
          <w:noProof/>
        </w:rPr>
        <w:drawing>
          <wp:inline distT="0" distB="0" distL="0" distR="0" wp14:anchorId="4EC60E55" wp14:editId="070AC424">
            <wp:extent cx="5775892" cy="1363980"/>
            <wp:effectExtent l="0" t="0" r="0" b="7620"/>
            <wp:docPr id="148350296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pic:cNvPicPr>
                      <a:picLocks noChangeAspect="1" noChangeArrowheads="1"/>
                    </pic:cNvPicPr>
                  </pic:nvPicPr>
                  <pic:blipFill rotWithShape="1">
                    <a:blip r:embed="rId75" cstate="print">
                      <a:extLst>
                        <a:ext uri="{28A0092B-C50C-407E-A947-70E740481C1C}">
                          <a14:useLocalDpi xmlns:a14="http://schemas.microsoft.com/office/drawing/2010/main" val="0"/>
                        </a:ext>
                      </a:extLst>
                    </a:blip>
                    <a:srcRect b="8674"/>
                    <a:stretch>
                      <a:fillRect/>
                    </a:stretch>
                  </pic:blipFill>
                  <pic:spPr bwMode="auto">
                    <a:xfrm>
                      <a:off x="0" y="0"/>
                      <a:ext cx="5778000" cy="1364478"/>
                    </a:xfrm>
                    <a:prstGeom prst="rect">
                      <a:avLst/>
                    </a:prstGeom>
                    <a:noFill/>
                    <a:ln>
                      <a:noFill/>
                    </a:ln>
                    <a:extLst>
                      <a:ext uri="{53640926-AAD7-44D8-BBD7-CCE9431645EC}">
                        <a14:shadowObscured xmlns:a14="http://schemas.microsoft.com/office/drawing/2010/main"/>
                      </a:ext>
                    </a:extLst>
                  </pic:spPr>
                </pic:pic>
              </a:graphicData>
            </a:graphic>
          </wp:inline>
        </w:drawing>
      </w:r>
    </w:p>
    <w:p w14:paraId="7E9C89D0" w14:textId="369FD475" w:rsidR="00551567" w:rsidRDefault="00551567" w:rsidP="00551567">
      <w:pPr>
        <w:pStyle w:val="14"/>
      </w:pPr>
      <w:bookmarkStart w:id="12" w:name="_Ref227764802"/>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717C8">
        <w:rPr>
          <w:noProof/>
        </w:rPr>
        <w:t>9</w:t>
      </w:r>
      <w:r>
        <w:fldChar w:fldCharType="end"/>
      </w:r>
      <w:bookmarkEnd w:id="12"/>
      <w:r>
        <w:rPr>
          <w:rFonts w:hint="eastAsia"/>
        </w:rPr>
        <w:t xml:space="preserve"> </w:t>
      </w:r>
      <w:r w:rsidRPr="00551567">
        <w:t>多</w:t>
      </w:r>
      <w:proofErr w:type="gramStart"/>
      <w:r w:rsidRPr="00551567">
        <w:t>场景覆岩扰动</w:t>
      </w:r>
      <w:proofErr w:type="gramEnd"/>
      <w:r w:rsidRPr="00551567">
        <w:t>分量与综合</w:t>
      </w:r>
      <w:proofErr w:type="gramStart"/>
      <w:r w:rsidRPr="00551567">
        <w:t>扰动场</w:t>
      </w:r>
      <w:proofErr w:type="gramEnd"/>
      <w:r w:rsidRPr="00551567">
        <w:t>分布图</w:t>
      </w:r>
    </w:p>
    <w:p w14:paraId="31D733BB" w14:textId="31B36224" w:rsidR="00551567" w:rsidRDefault="00551567" w:rsidP="00551567">
      <w:pPr>
        <w:pStyle w:val="14"/>
      </w:pPr>
      <w:r w:rsidRPr="00551567">
        <w:t>Fig.</w:t>
      </w:r>
      <w:r>
        <w:fldChar w:fldCharType="begin"/>
      </w:r>
      <w:r>
        <w:instrText xml:space="preserve"> REF _Ref227764802 \h  \* MERGEFORMAT </w:instrText>
      </w:r>
      <w:r>
        <w:fldChar w:fldCharType="separate"/>
      </w:r>
      <w:r>
        <w:rPr>
          <w:noProof/>
        </w:rPr>
        <w:t>9</w:t>
      </w:r>
      <w:r>
        <w:fldChar w:fldCharType="end"/>
      </w:r>
      <w:r w:rsidRPr="00551567">
        <w:t xml:space="preserve"> Spatial distributions of multi-scenario overburden disturbance components and the integrated disturbance field</w:t>
      </w:r>
    </w:p>
    <w:p w14:paraId="72947D45" w14:textId="77777777" w:rsidR="00551567" w:rsidRDefault="00551567" w:rsidP="000F70E1">
      <w:pPr>
        <w:pStyle w:val="100"/>
        <w:ind w:firstLine="420"/>
        <w:sectPr w:rsidR="00551567" w:rsidSect="00551567">
          <w:type w:val="continuous"/>
          <w:pgSz w:w="11906" w:h="16838"/>
          <w:pgMar w:top="1418" w:right="1134" w:bottom="1134" w:left="1134" w:header="1418" w:footer="0" w:gutter="0"/>
          <w:cols w:space="720"/>
          <w:docGrid w:linePitch="312"/>
        </w:sectPr>
      </w:pPr>
    </w:p>
    <w:p w14:paraId="680A5B90" w14:textId="66C503C4" w:rsidR="000F70E1" w:rsidRPr="000F70E1" w:rsidRDefault="00551567" w:rsidP="00DC3694">
      <w:pPr>
        <w:pStyle w:val="100"/>
        <w:ind w:firstLine="420"/>
      </w:pPr>
      <w:r w:rsidRPr="00551567">
        <w:rPr>
          <w:rFonts w:hint="eastAsia"/>
        </w:rPr>
        <w:t>如</w:t>
      </w:r>
      <w:r>
        <w:fldChar w:fldCharType="begin"/>
      </w:r>
      <w:r>
        <w:instrText xml:space="preserve"> </w:instrText>
      </w:r>
      <w:r>
        <w:rPr>
          <w:rFonts w:hint="eastAsia"/>
        </w:rPr>
        <w:instrText>REF _Ref227764802 \h</w:instrText>
      </w:r>
      <w:r>
        <w:instrText xml:space="preserve"> </w:instrText>
      </w:r>
      <w:r>
        <w:fldChar w:fldCharType="separate"/>
      </w:r>
      <w:r>
        <w:rPr>
          <w:rFonts w:hint="eastAsia"/>
        </w:rPr>
        <w:t>图</w:t>
      </w:r>
      <w:r>
        <w:rPr>
          <w:noProof/>
        </w:rPr>
        <w:t>9</w:t>
      </w:r>
      <w:r>
        <w:fldChar w:fldCharType="end"/>
      </w:r>
      <w:r w:rsidRPr="00551567">
        <w:rPr>
          <w:rFonts w:hint="eastAsia"/>
        </w:rPr>
        <w:t>所示，不同场景下的高扰动区并不完全重合，其中地表沉陷扰动、含水层扰动和上行开采扰动分别对应不同的主控响应特征；在统一归一化和加权组织后，可形成用于采区规划比较的综合扰动场，从而为后续候选方案筛选与风险统计提供统一空间约束。</w:t>
      </w:r>
      <w:r w:rsidR="000F70E1" w:rsidRPr="000F70E1">
        <w:t>这样处理的目的，不在于替代专项评价，而在于为采区规划提供统一且可直接调用的空间约束。地表沉陷扰动主要反映采动对上覆岩层整体挠曲及地表响应的影响范围，含水层扰动更强调裂隙带上延与导通风险，上行开采扰动则对应上覆岩层再扰动条件下的安全边界。也正因为各场景的高值区具有差异性，采区规划若仅依赖单一</w:t>
      </w:r>
      <w:proofErr w:type="gramStart"/>
      <w:r w:rsidR="000F70E1" w:rsidRPr="000F70E1">
        <w:t>场景图层进行</w:t>
      </w:r>
      <w:proofErr w:type="gramEnd"/>
      <w:r w:rsidR="000F70E1" w:rsidRPr="000F70E1">
        <w:t>布置，容易低估其他风险维度的暴露水平；而将其统一组织为综合</w:t>
      </w:r>
      <w:proofErr w:type="gramStart"/>
      <w:r w:rsidR="000F70E1" w:rsidRPr="000F70E1">
        <w:t>扰动场</w:t>
      </w:r>
      <w:proofErr w:type="gramEnd"/>
      <w:r w:rsidR="000F70E1" w:rsidRPr="000F70E1">
        <w:t>后，不同方案即可在同一风险背景下进</w:t>
      </w:r>
      <w:r w:rsidR="000F70E1" w:rsidRPr="000F70E1">
        <w:t>行对比。</w:t>
      </w:r>
    </w:p>
    <w:p w14:paraId="70678444" w14:textId="77777777" w:rsidR="000F70E1" w:rsidRPr="000F70E1" w:rsidRDefault="000F70E1" w:rsidP="000F70E1">
      <w:pPr>
        <w:pStyle w:val="100"/>
        <w:ind w:firstLine="420"/>
      </w:pPr>
      <w:r w:rsidRPr="000F70E1">
        <w:t>从全域统计结果看，研究区样例构建得到的综合</w:t>
      </w:r>
      <w:proofErr w:type="gramStart"/>
      <w:r w:rsidRPr="000F70E1">
        <w:t>覆岩扰动场</w:t>
      </w:r>
      <w:proofErr w:type="gramEnd"/>
      <w:r w:rsidRPr="000F70E1">
        <w:t>采用</w:t>
      </w:r>
      <w:r w:rsidRPr="000F70E1">
        <w:t>80×56</w:t>
      </w:r>
      <w:r w:rsidRPr="000F70E1">
        <w:t>网格，共</w:t>
      </w:r>
      <w:r w:rsidRPr="000F70E1">
        <w:t>4480</w:t>
      </w:r>
      <w:r w:rsidRPr="000F70E1">
        <w:t>个栅格；其中，综合扰动均值为</w:t>
      </w:r>
      <w:r w:rsidRPr="000F70E1">
        <w:t>0.4669</w:t>
      </w:r>
      <w:r w:rsidRPr="000F70E1">
        <w:t>，</w:t>
      </w:r>
      <w:r w:rsidRPr="000F70E1">
        <w:t>90%</w:t>
      </w:r>
      <w:r w:rsidRPr="000F70E1">
        <w:t>分位数为</w:t>
      </w:r>
      <w:r w:rsidRPr="000F70E1">
        <w:t>0.7474</w:t>
      </w:r>
      <w:r w:rsidRPr="000F70E1">
        <w:t>，</w:t>
      </w:r>
      <w:proofErr w:type="gramStart"/>
      <w:r w:rsidRPr="000F70E1">
        <w:t>扰动值</w:t>
      </w:r>
      <w:proofErr w:type="gramEnd"/>
      <w:r w:rsidRPr="000F70E1">
        <w:t>大于</w:t>
      </w:r>
      <w:r w:rsidRPr="000F70E1">
        <w:t>0.70</w:t>
      </w:r>
      <w:r w:rsidRPr="000F70E1">
        <w:t>的栅格占比为</w:t>
      </w:r>
      <w:r w:rsidRPr="000F70E1">
        <w:t>15.89%</w:t>
      </w:r>
      <w:r w:rsidRPr="000F70E1">
        <w:t>。这些结果表明，研究区范围内已经存在可识别的高扰动敏感区，且扰动分布在空间上并不均匀。换言之，</w:t>
      </w:r>
      <w:proofErr w:type="gramStart"/>
      <w:r w:rsidRPr="000F70E1">
        <w:t>覆岩扰动</w:t>
      </w:r>
      <w:proofErr w:type="gramEnd"/>
      <w:r w:rsidRPr="000F70E1">
        <w:t>在本研究中已经不再停留于概念性背景描述，而是被组织为能够参与采区规划比较和候选方案筛选的空间场。后续方案优选并不是在</w:t>
      </w:r>
      <w:r w:rsidRPr="000F70E1">
        <w:t>“</w:t>
      </w:r>
      <w:r w:rsidRPr="000F70E1">
        <w:t>无风险背景</w:t>
      </w:r>
      <w:r w:rsidRPr="000F70E1">
        <w:t>”</w:t>
      </w:r>
      <w:r w:rsidRPr="000F70E1">
        <w:t>的几何空间中进行，而是在这一统一</w:t>
      </w:r>
      <w:proofErr w:type="gramStart"/>
      <w:r w:rsidRPr="000F70E1">
        <w:t>扰动场</w:t>
      </w:r>
      <w:proofErr w:type="gramEnd"/>
      <w:r w:rsidRPr="000F70E1">
        <w:t>约束下展开。</w:t>
      </w:r>
    </w:p>
    <w:p w14:paraId="13AB0AE2" w14:textId="77777777" w:rsidR="00B65A06" w:rsidRDefault="000F70E1" w:rsidP="000F70E1">
      <w:pPr>
        <w:pStyle w:val="100"/>
        <w:ind w:firstLine="420"/>
      </w:pPr>
      <w:r w:rsidRPr="000F70E1">
        <w:t>从工程意义上看，连续</w:t>
      </w:r>
      <w:proofErr w:type="gramStart"/>
      <w:r w:rsidRPr="000F70E1">
        <w:t>参数场</w:t>
      </w:r>
      <w:proofErr w:type="gramEnd"/>
      <w:r w:rsidRPr="000F70E1">
        <w:t>与综合</w:t>
      </w:r>
      <w:proofErr w:type="gramStart"/>
      <w:r w:rsidRPr="000F70E1">
        <w:t>扰动场</w:t>
      </w:r>
      <w:proofErr w:type="gramEnd"/>
      <w:r w:rsidRPr="000F70E1">
        <w:t>的耦合，实际上完成了由</w:t>
      </w:r>
      <w:r w:rsidRPr="000F70E1">
        <w:t>“</w:t>
      </w:r>
      <w:r w:rsidRPr="000F70E1">
        <w:t>离散地质输入</w:t>
      </w:r>
      <w:r w:rsidRPr="000F70E1">
        <w:t>”</w:t>
      </w:r>
      <w:r w:rsidRPr="000F70E1">
        <w:t>向</w:t>
      </w:r>
      <w:r w:rsidRPr="000F70E1">
        <w:t>“</w:t>
      </w:r>
      <w:r w:rsidRPr="000F70E1">
        <w:t>规划可计算对象</w:t>
      </w:r>
      <w:r w:rsidRPr="000F70E1">
        <w:t>”</w:t>
      </w:r>
      <w:r w:rsidRPr="000F70E1">
        <w:t>的关键转换。一方面，煤层厚度等</w:t>
      </w:r>
      <w:proofErr w:type="gramStart"/>
      <w:r w:rsidRPr="000F70E1">
        <w:t>参</w:t>
      </w:r>
      <w:r w:rsidRPr="000F70E1">
        <w:lastRenderedPageBreak/>
        <w:t>数场</w:t>
      </w:r>
      <w:proofErr w:type="gramEnd"/>
      <w:r w:rsidRPr="000F70E1">
        <w:t>使资源条件能够以空间变量形式进入规划评价；另一方面，综合</w:t>
      </w:r>
      <w:proofErr w:type="gramStart"/>
      <w:r w:rsidRPr="000F70E1">
        <w:t>扰动场</w:t>
      </w:r>
      <w:proofErr w:type="gramEnd"/>
      <w:r w:rsidRPr="000F70E1">
        <w:t>使地表沉陷、含水层扰动和上行开采等多场景风险能够以统一口径进入候选方案筛选。二者叠加后，采区规划不再只是寻找几何上可以布置的区域，而是同时考虑</w:t>
      </w:r>
      <w:r w:rsidRPr="000F70E1">
        <w:t>“</w:t>
      </w:r>
      <w:r w:rsidRPr="000F70E1">
        <w:t>资源条件是否较优</w:t>
      </w:r>
      <w:r w:rsidRPr="000F70E1">
        <w:t>”</w:t>
      </w:r>
      <w:r w:rsidRPr="000F70E1">
        <w:t>和</w:t>
      </w:r>
      <w:r w:rsidRPr="000F70E1">
        <w:t>“</w:t>
      </w:r>
      <w:r w:rsidRPr="000F70E1">
        <w:t>扰动风险是否可接受</w:t>
      </w:r>
      <w:r w:rsidRPr="000F70E1">
        <w:t>”</w:t>
      </w:r>
      <w:r w:rsidRPr="000F70E1">
        <w:t>的空间组合关系。这也为后文</w:t>
      </w:r>
      <w:r w:rsidRPr="000F70E1">
        <w:t>A</w:t>
      </w:r>
      <w:r w:rsidRPr="000F70E1">
        <w:t>、</w:t>
      </w:r>
      <w:r w:rsidRPr="000F70E1">
        <w:t>B</w:t>
      </w:r>
      <w:r w:rsidRPr="000F70E1">
        <w:t>、</w:t>
      </w:r>
      <w:r w:rsidRPr="000F70E1">
        <w:t>C</w:t>
      </w:r>
      <w:r w:rsidRPr="000F70E1">
        <w:t>方案在同</w:t>
      </w:r>
      <w:proofErr w:type="gramStart"/>
      <w:r w:rsidRPr="000F70E1">
        <w:t>一基础</w:t>
      </w:r>
      <w:proofErr w:type="gramEnd"/>
      <w:r w:rsidRPr="000F70E1">
        <w:t>输入和同一风险场下开展统一比较提供了直接前提。</w:t>
      </w:r>
    </w:p>
    <w:p w14:paraId="2CEB8C1A" w14:textId="77777777" w:rsidR="00B65A06" w:rsidRPr="00B65A06" w:rsidRDefault="00B65A06" w:rsidP="00B65A06">
      <w:pPr>
        <w:pStyle w:val="12"/>
      </w:pPr>
      <w:r w:rsidRPr="00B65A06">
        <w:t xml:space="preserve">2.3 </w:t>
      </w:r>
      <w:r w:rsidRPr="00B65A06">
        <w:t>候选方案生成结果与方案比较</w:t>
      </w:r>
    </w:p>
    <w:p w14:paraId="636A88C6" w14:textId="77777777" w:rsidR="00B65A06" w:rsidRPr="00B65A06" w:rsidRDefault="00B65A06" w:rsidP="00B65A06">
      <w:pPr>
        <w:pStyle w:val="100"/>
        <w:ind w:firstLine="420"/>
      </w:pPr>
      <w:r w:rsidRPr="00B65A06">
        <w:t>在有效布置域、连续</w:t>
      </w:r>
      <w:proofErr w:type="gramStart"/>
      <w:r w:rsidRPr="00B65A06">
        <w:t>参数场</w:t>
      </w:r>
      <w:proofErr w:type="gramEnd"/>
      <w:r w:rsidRPr="00B65A06">
        <w:t>和综合</w:t>
      </w:r>
      <w:proofErr w:type="gramStart"/>
      <w:r w:rsidRPr="00B65A06">
        <w:t>覆岩扰动场</w:t>
      </w:r>
      <w:proofErr w:type="gramEnd"/>
      <w:r w:rsidRPr="00B65A06">
        <w:t>共同约束下，本文进一步对研究区候选方案进行生成、筛选和比较。与仅输出单一推荐方案的做法不同，本文首先在同一研究区边界、同一钻孔参数场、同</w:t>
      </w:r>
      <w:proofErr w:type="gramStart"/>
      <w:r w:rsidRPr="00B65A06">
        <w:t>一覆岩扰动场</w:t>
      </w:r>
      <w:proofErr w:type="gramEnd"/>
      <w:r w:rsidRPr="00B65A06">
        <w:t>和同一几何底线约束下形成统一候选集合，再分别按照工程效率优先、资源回收优先和扰动控制优先的不同偏好模式进</w:t>
      </w:r>
      <w:r w:rsidRPr="00B65A06">
        <w:t>行排序与筛选，从而获得具有代表性的</w:t>
      </w:r>
      <w:r w:rsidRPr="00B65A06">
        <w:t>A</w:t>
      </w:r>
      <w:r w:rsidRPr="00B65A06">
        <w:t>、</w:t>
      </w:r>
      <w:r w:rsidRPr="00B65A06">
        <w:t>B</w:t>
      </w:r>
      <w:r w:rsidRPr="00B65A06">
        <w:t>、</w:t>
      </w:r>
      <w:r w:rsidRPr="00B65A06">
        <w:t>C</w:t>
      </w:r>
      <w:r w:rsidRPr="00B65A06">
        <w:t>三类候选方案。这样处理的目的在于，使不同方案之间的差异真正来源于目标偏好，而不是来源于输入条件、边界范围或计算口径的变化。</w:t>
      </w:r>
    </w:p>
    <w:p w14:paraId="090E1123" w14:textId="77777777" w:rsidR="00B65A06" w:rsidRDefault="00B65A06" w:rsidP="00B65A06">
      <w:pPr>
        <w:pStyle w:val="100"/>
        <w:ind w:firstLine="420"/>
      </w:pPr>
      <w:r w:rsidRPr="00B65A06">
        <w:t>从候选集合规模看，工程效率偏好、资源回收偏好和扰动控制偏好下的有效候选数分别为</w:t>
      </w:r>
      <w:r w:rsidRPr="00B65A06">
        <w:t>2417</w:t>
      </w:r>
      <w:r w:rsidRPr="00B65A06">
        <w:t>、</w:t>
      </w:r>
      <w:r w:rsidRPr="00B65A06">
        <w:t>1149</w:t>
      </w:r>
      <w:r w:rsidRPr="00B65A06">
        <w:t>和</w:t>
      </w:r>
      <w:r w:rsidRPr="00B65A06">
        <w:t>374</w:t>
      </w:r>
      <w:r w:rsidRPr="00B65A06">
        <w:t>，其中在扰动控制偏好下满足低扰动筛选条件的候选数为</w:t>
      </w:r>
      <w:r w:rsidRPr="00B65A06">
        <w:t>88</w:t>
      </w:r>
      <w:r w:rsidRPr="00B65A06">
        <w:t>。这表明，在统一空间域和统一底线约束下，研究区并非只有少数几个可布置解，而是存在一组可供比较的有限候选池；不同偏好模式下的推荐结果，本质上是在这一统</w:t>
      </w:r>
      <w:proofErr w:type="gramStart"/>
      <w:r w:rsidRPr="00B65A06">
        <w:t>一</w:t>
      </w:r>
      <w:proofErr w:type="gramEnd"/>
      <w:r w:rsidRPr="00B65A06">
        <w:t>候选池上的不同选择。由此，采区规划由</w:t>
      </w:r>
      <w:r w:rsidRPr="00B65A06">
        <w:t>“</w:t>
      </w:r>
      <w:r w:rsidRPr="00B65A06">
        <w:t>给出唯一方案</w:t>
      </w:r>
      <w:r w:rsidRPr="00B65A06">
        <w:t>”</w:t>
      </w:r>
      <w:r w:rsidRPr="00B65A06">
        <w:t>转变为</w:t>
      </w:r>
      <w:r w:rsidRPr="00B65A06">
        <w:t>“</w:t>
      </w:r>
      <w:r w:rsidRPr="00B65A06">
        <w:t>在统一比较框架中解释不同方案的优劣与取舍</w:t>
      </w:r>
      <w:r w:rsidRPr="00B65A06">
        <w:t>”</w:t>
      </w:r>
      <w:r w:rsidRPr="00B65A06">
        <w:t>。</w:t>
      </w:r>
    </w:p>
    <w:p w14:paraId="713870CA" w14:textId="4C5A5D83" w:rsidR="00551567" w:rsidRDefault="00551567" w:rsidP="00B65A06">
      <w:pPr>
        <w:pStyle w:val="100"/>
        <w:ind w:firstLine="420"/>
      </w:pPr>
      <w:r>
        <w:fldChar w:fldCharType="begin"/>
      </w:r>
      <w:r>
        <w:instrText xml:space="preserve"> REF _Ref227765067 \h </w:instrText>
      </w:r>
      <w:r>
        <w:fldChar w:fldCharType="separate"/>
      </w:r>
      <w:r>
        <w:rPr>
          <w:rFonts w:hint="eastAsia"/>
        </w:rPr>
        <w:t>图</w:t>
      </w:r>
      <w:r>
        <w:rPr>
          <w:noProof/>
        </w:rPr>
        <w:t>10</w:t>
      </w:r>
      <w:r>
        <w:fldChar w:fldCharType="end"/>
      </w:r>
      <w:r w:rsidR="009717C8">
        <w:rPr>
          <w:rFonts w:hint="eastAsia"/>
        </w:rPr>
        <w:t>、</w:t>
      </w:r>
      <w:r w:rsidR="009717C8">
        <w:fldChar w:fldCharType="begin"/>
      </w:r>
      <w:r w:rsidR="009717C8">
        <w:instrText xml:space="preserve"> </w:instrText>
      </w:r>
      <w:r w:rsidR="009717C8">
        <w:rPr>
          <w:rFonts w:hint="eastAsia"/>
        </w:rPr>
        <w:instrText>REF _Ref227765367 \h</w:instrText>
      </w:r>
      <w:r w:rsidR="009717C8">
        <w:instrText xml:space="preserve"> </w:instrText>
      </w:r>
      <w:r w:rsidR="009717C8">
        <w:fldChar w:fldCharType="separate"/>
      </w:r>
      <w:r w:rsidR="009717C8">
        <w:rPr>
          <w:rFonts w:hint="eastAsia"/>
        </w:rPr>
        <w:t>图</w:t>
      </w:r>
      <w:r w:rsidR="009717C8">
        <w:rPr>
          <w:noProof/>
        </w:rPr>
        <w:t>11</w:t>
      </w:r>
      <w:r w:rsidR="009717C8">
        <w:fldChar w:fldCharType="end"/>
      </w:r>
      <w:r w:rsidRPr="00B65A06">
        <w:t>和</w:t>
      </w:r>
      <w:r w:rsidR="006C6CB7">
        <w:fldChar w:fldCharType="begin"/>
      </w:r>
      <w:r w:rsidR="006C6CB7">
        <w:instrText xml:space="preserve"> REF _Ref227767218 \h </w:instrText>
      </w:r>
      <w:r w:rsidR="006C6CB7">
        <w:fldChar w:fldCharType="separate"/>
      </w:r>
      <w:r w:rsidR="006C6CB7">
        <w:rPr>
          <w:rFonts w:hint="eastAsia"/>
        </w:rPr>
        <w:t>表</w:t>
      </w:r>
      <w:r w:rsidR="006C6CB7">
        <w:rPr>
          <w:noProof/>
        </w:rPr>
        <w:t>3</w:t>
      </w:r>
      <w:r w:rsidR="006C6CB7">
        <w:fldChar w:fldCharType="end"/>
      </w:r>
      <w:r w:rsidRPr="00B65A06">
        <w:t>给出了</w:t>
      </w:r>
      <w:r w:rsidRPr="00B65A06">
        <w:t>A</w:t>
      </w:r>
      <w:r w:rsidRPr="00B65A06">
        <w:t>、</w:t>
      </w:r>
      <w:r w:rsidRPr="00B65A06">
        <w:t>B</w:t>
      </w:r>
      <w:r w:rsidRPr="00B65A06">
        <w:t>、</w:t>
      </w:r>
      <w:r w:rsidRPr="00B65A06">
        <w:t>C</w:t>
      </w:r>
      <w:r w:rsidRPr="00B65A06">
        <w:t>三类代表性方案的主要结果。</w:t>
      </w:r>
    </w:p>
    <w:p w14:paraId="5871AFE5" w14:textId="77777777" w:rsidR="009717C8" w:rsidRDefault="009717C8" w:rsidP="00551567">
      <w:pPr>
        <w:pStyle w:val="100"/>
        <w:ind w:firstLineChars="0" w:firstLine="0"/>
        <w:sectPr w:rsidR="009717C8" w:rsidSect="002711E2">
          <w:type w:val="continuous"/>
          <w:pgSz w:w="11906" w:h="16838"/>
          <w:pgMar w:top="1418" w:right="1134" w:bottom="1134" w:left="1134" w:header="720" w:footer="720" w:gutter="0"/>
          <w:cols w:num="2" w:space="720"/>
          <w:docGrid w:linePitch="598"/>
        </w:sectPr>
      </w:pPr>
    </w:p>
    <w:p w14:paraId="1AF22D4C" w14:textId="38C4B3FF" w:rsidR="00551567" w:rsidRDefault="009717C8" w:rsidP="009717C8">
      <w:pPr>
        <w:pStyle w:val="100"/>
        <w:ind w:firstLineChars="0" w:firstLine="0"/>
        <w:jc w:val="center"/>
      </w:pPr>
      <w:r>
        <w:rPr>
          <w:noProof/>
        </w:rPr>
        <w:drawing>
          <wp:inline distT="0" distB="0" distL="0" distR="0" wp14:anchorId="34080DC6" wp14:editId="78174A7F">
            <wp:extent cx="6113780" cy="1729105"/>
            <wp:effectExtent l="0" t="0" r="1270" b="4445"/>
            <wp:docPr id="73465758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6113780" cy="1729105"/>
                    </a:xfrm>
                    <a:prstGeom prst="rect">
                      <a:avLst/>
                    </a:prstGeom>
                    <a:noFill/>
                    <a:ln>
                      <a:noFill/>
                    </a:ln>
                  </pic:spPr>
                </pic:pic>
              </a:graphicData>
            </a:graphic>
          </wp:inline>
        </w:drawing>
      </w:r>
    </w:p>
    <w:p w14:paraId="2E14F81F" w14:textId="63435615" w:rsidR="00551567" w:rsidRDefault="00551567" w:rsidP="00551567">
      <w:pPr>
        <w:pStyle w:val="14"/>
      </w:pPr>
      <w:bookmarkStart w:id="13" w:name="_Ref227765067"/>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717C8">
        <w:rPr>
          <w:noProof/>
        </w:rPr>
        <w:t>10</w:t>
      </w:r>
      <w:r>
        <w:fldChar w:fldCharType="end"/>
      </w:r>
      <w:bookmarkEnd w:id="13"/>
      <w:r>
        <w:rPr>
          <w:rFonts w:hint="eastAsia"/>
        </w:rPr>
        <w:t xml:space="preserve"> </w:t>
      </w:r>
      <w:r w:rsidRPr="00551567">
        <w:t>A</w:t>
      </w:r>
      <w:r w:rsidRPr="00551567">
        <w:t>、</w:t>
      </w:r>
      <w:r w:rsidRPr="00551567">
        <w:t>B</w:t>
      </w:r>
      <w:r w:rsidRPr="00551567">
        <w:t>、</w:t>
      </w:r>
      <w:r w:rsidRPr="00551567">
        <w:t>C</w:t>
      </w:r>
      <w:r w:rsidRPr="00551567">
        <w:t>候选方案多指标对比图</w:t>
      </w:r>
    </w:p>
    <w:p w14:paraId="15DD1BEC" w14:textId="3B2327C0" w:rsidR="00551567" w:rsidRDefault="00551567" w:rsidP="00551567">
      <w:pPr>
        <w:pStyle w:val="14"/>
      </w:pPr>
      <w:r w:rsidRPr="00551567">
        <w:t>Fig.</w:t>
      </w:r>
      <w:r>
        <w:fldChar w:fldCharType="begin"/>
      </w:r>
      <w:r>
        <w:instrText xml:space="preserve"> REF _Ref227765067 \h  \* MERGEFORMAT </w:instrText>
      </w:r>
      <w:r>
        <w:fldChar w:fldCharType="separate"/>
      </w:r>
      <w:r>
        <w:rPr>
          <w:noProof/>
        </w:rPr>
        <w:t>10</w:t>
      </w:r>
      <w:r>
        <w:fldChar w:fldCharType="end"/>
      </w:r>
      <w:r w:rsidRPr="00551567">
        <w:t xml:space="preserve"> </w:t>
      </w:r>
      <w:proofErr w:type="gramStart"/>
      <w:r w:rsidRPr="00551567">
        <w:t>Multi-indicator</w:t>
      </w:r>
      <w:proofErr w:type="gramEnd"/>
      <w:r w:rsidRPr="00551567">
        <w:t xml:space="preserve"> comparison of candidate schemes A, B and C</w:t>
      </w:r>
    </w:p>
    <w:p w14:paraId="400F3F29" w14:textId="77777777" w:rsidR="009717C8" w:rsidRDefault="009717C8" w:rsidP="009717C8">
      <w:pPr>
        <w:pStyle w:val="14"/>
        <w:keepNext/>
      </w:pPr>
      <w:r>
        <w:rPr>
          <w:noProof/>
        </w:rPr>
        <w:drawing>
          <wp:inline distT="0" distB="0" distL="0" distR="0" wp14:anchorId="0D6A6AA9" wp14:editId="7CE1A8D7">
            <wp:extent cx="5778000" cy="1461669"/>
            <wp:effectExtent l="0" t="0" r="0" b="5715"/>
            <wp:docPr id="174439646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pic:cNvPicPr>
                      <a:picLocks noChangeAspect="1" noChangeArrowheads="1"/>
                    </pic:cNvPicPr>
                  </pic:nvPicPr>
                  <pic:blipFill rotWithShape="1">
                    <a:blip r:embed="rId77" cstate="print">
                      <a:extLst>
                        <a:ext uri="{28A0092B-C50C-407E-A947-70E740481C1C}">
                          <a14:useLocalDpi xmlns:a14="http://schemas.microsoft.com/office/drawing/2010/main" val="0"/>
                        </a:ext>
                      </a:extLst>
                    </a:blip>
                    <a:srcRect b="30371"/>
                    <a:stretch>
                      <a:fillRect/>
                    </a:stretch>
                  </pic:blipFill>
                  <pic:spPr bwMode="auto">
                    <a:xfrm>
                      <a:off x="0" y="0"/>
                      <a:ext cx="5778000" cy="1461669"/>
                    </a:xfrm>
                    <a:prstGeom prst="rect">
                      <a:avLst/>
                    </a:prstGeom>
                    <a:noFill/>
                    <a:ln>
                      <a:noFill/>
                    </a:ln>
                    <a:extLst>
                      <a:ext uri="{53640926-AAD7-44D8-BBD7-CCE9431645EC}">
                        <a14:shadowObscured xmlns:a14="http://schemas.microsoft.com/office/drawing/2010/main"/>
                      </a:ext>
                    </a:extLst>
                  </pic:spPr>
                </pic:pic>
              </a:graphicData>
            </a:graphic>
          </wp:inline>
        </w:drawing>
      </w:r>
    </w:p>
    <w:p w14:paraId="00C04451" w14:textId="5540E479" w:rsidR="009717C8" w:rsidRDefault="009717C8" w:rsidP="009717C8">
      <w:pPr>
        <w:pStyle w:val="14"/>
      </w:pPr>
      <w:bookmarkStart w:id="14" w:name="_Ref227765367"/>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11</w:t>
      </w:r>
      <w:r>
        <w:fldChar w:fldCharType="end"/>
      </w:r>
      <w:bookmarkEnd w:id="14"/>
      <w:r>
        <w:rPr>
          <w:rFonts w:hint="eastAsia"/>
        </w:rPr>
        <w:t xml:space="preserve"> </w:t>
      </w:r>
      <w:r w:rsidRPr="009717C8">
        <w:t>A</w:t>
      </w:r>
      <w:r w:rsidRPr="009717C8">
        <w:t>、</w:t>
      </w:r>
      <w:r w:rsidRPr="009717C8">
        <w:t>B</w:t>
      </w:r>
      <w:r w:rsidRPr="009717C8">
        <w:t>、</w:t>
      </w:r>
      <w:r w:rsidRPr="009717C8">
        <w:t>C</w:t>
      </w:r>
      <w:r w:rsidRPr="009717C8">
        <w:t>候选方案工作面布局与高扰动区叠置对比图</w:t>
      </w:r>
    </w:p>
    <w:p w14:paraId="32B51D1C" w14:textId="0EC3B51F" w:rsidR="009717C8" w:rsidRDefault="009717C8" w:rsidP="009717C8">
      <w:pPr>
        <w:pStyle w:val="14"/>
      </w:pPr>
      <w:r w:rsidRPr="009717C8">
        <w:t>Fig.</w:t>
      </w:r>
      <w:r>
        <w:fldChar w:fldCharType="begin"/>
      </w:r>
      <w:r>
        <w:instrText xml:space="preserve"> REF _Ref227765367 \h </w:instrText>
      </w:r>
      <w:r>
        <w:fldChar w:fldCharType="separate"/>
      </w:r>
      <w:r>
        <w:rPr>
          <w:noProof/>
        </w:rPr>
        <w:t>11</w:t>
      </w:r>
      <w:r>
        <w:fldChar w:fldCharType="end"/>
      </w:r>
      <w:r w:rsidRPr="009717C8">
        <w:t xml:space="preserve"> Comparison of A, B and C candidate layouts overlaid with high-disturbance zones</w:t>
      </w:r>
    </w:p>
    <w:p w14:paraId="1C75CFB7" w14:textId="77777777" w:rsidR="009717C8" w:rsidRDefault="009717C8" w:rsidP="009717C8">
      <w:pPr>
        <w:pStyle w:val="14"/>
        <w:jc w:val="both"/>
        <w:sectPr w:rsidR="009717C8" w:rsidSect="009717C8">
          <w:type w:val="continuous"/>
          <w:pgSz w:w="11906" w:h="16838"/>
          <w:pgMar w:top="1418" w:right="1134" w:bottom="1134" w:left="1134" w:header="1418" w:footer="0" w:gutter="0"/>
          <w:cols w:space="720"/>
          <w:docGrid w:linePitch="312"/>
        </w:sectPr>
      </w:pPr>
    </w:p>
    <w:p w14:paraId="5508A6BE" w14:textId="3E09FAF9" w:rsidR="00551567" w:rsidRPr="009717C8" w:rsidRDefault="00551567" w:rsidP="009717C8">
      <w:pPr>
        <w:pStyle w:val="100"/>
        <w:ind w:firstLine="420"/>
      </w:pPr>
      <w:r w:rsidRPr="009717C8">
        <w:rPr>
          <w:rFonts w:hint="eastAsia"/>
        </w:rPr>
        <w:t>如</w:t>
      </w:r>
      <w:r w:rsidRPr="009717C8">
        <w:fldChar w:fldCharType="begin"/>
      </w:r>
      <w:r w:rsidRPr="009717C8">
        <w:instrText xml:space="preserve"> </w:instrText>
      </w:r>
      <w:r w:rsidRPr="009717C8">
        <w:rPr>
          <w:rFonts w:hint="eastAsia"/>
        </w:rPr>
        <w:instrText>REF _Ref227765067 \h</w:instrText>
      </w:r>
      <w:r w:rsidRPr="009717C8">
        <w:instrText xml:space="preserve"> </w:instrText>
      </w:r>
      <w:r w:rsidR="009717C8">
        <w:instrText xml:space="preserve"> \* MERGEFORMAT </w:instrText>
      </w:r>
      <w:r w:rsidRPr="009717C8">
        <w:fldChar w:fldCharType="separate"/>
      </w:r>
      <w:r w:rsidRPr="009717C8">
        <w:rPr>
          <w:rFonts w:hint="eastAsia"/>
        </w:rPr>
        <w:t>图</w:t>
      </w:r>
      <w:r w:rsidRPr="009717C8">
        <w:t>10</w:t>
      </w:r>
      <w:r w:rsidRPr="009717C8">
        <w:fldChar w:fldCharType="end"/>
      </w:r>
      <w:r w:rsidRPr="009717C8">
        <w:rPr>
          <w:rFonts w:hint="eastAsia"/>
        </w:rPr>
        <w:t>所示，工程效率优先方案</w:t>
      </w:r>
      <w:r w:rsidRPr="009717C8">
        <w:rPr>
          <w:rFonts w:hint="eastAsia"/>
        </w:rPr>
        <w:t>A</w:t>
      </w:r>
      <w:r w:rsidRPr="009717C8">
        <w:rPr>
          <w:rFonts w:hint="eastAsia"/>
        </w:rPr>
        <w:t>、资源回收优先方案</w:t>
      </w:r>
      <w:r w:rsidRPr="009717C8">
        <w:rPr>
          <w:rFonts w:hint="eastAsia"/>
        </w:rPr>
        <w:t>B</w:t>
      </w:r>
      <w:r w:rsidRPr="009717C8">
        <w:rPr>
          <w:rFonts w:hint="eastAsia"/>
        </w:rPr>
        <w:t>和联合判据下低扰动候选方案</w:t>
      </w:r>
      <w:r w:rsidRPr="009717C8">
        <w:rPr>
          <w:rFonts w:hint="eastAsia"/>
        </w:rPr>
        <w:t>C</w:t>
      </w:r>
      <w:r w:rsidRPr="009717C8">
        <w:rPr>
          <w:rFonts w:hint="eastAsia"/>
        </w:rPr>
        <w:t>在覆盖率、分项评分和扰动统计指标上存在明显差异，表明不同目标偏好会导致资源利用、工程组织和风险暴露之间产生可量化的权衡关系。</w:t>
      </w:r>
    </w:p>
    <w:p w14:paraId="4CAD1988" w14:textId="00755502" w:rsidR="009717C8" w:rsidRDefault="009717C8" w:rsidP="009717C8">
      <w:pPr>
        <w:pStyle w:val="100"/>
        <w:ind w:firstLine="420"/>
      </w:pPr>
      <w:r w:rsidRPr="009717C8">
        <w:t>如</w:t>
      </w:r>
      <w:r>
        <w:fldChar w:fldCharType="begin"/>
      </w:r>
      <w:r>
        <w:instrText xml:space="preserve"> REF _Ref227765367 \h </w:instrText>
      </w:r>
      <w:r>
        <w:fldChar w:fldCharType="separate"/>
      </w:r>
      <w:r>
        <w:rPr>
          <w:rFonts w:hint="eastAsia"/>
        </w:rPr>
        <w:t>图</w:t>
      </w:r>
      <w:r>
        <w:rPr>
          <w:noProof/>
        </w:rPr>
        <w:t>11</w:t>
      </w:r>
      <w:r>
        <w:fldChar w:fldCharType="end"/>
      </w:r>
      <w:r w:rsidRPr="009717C8">
        <w:t>所示，</w:t>
      </w:r>
      <w:r w:rsidRPr="009717C8">
        <w:t>A</w:t>
      </w:r>
      <w:r w:rsidRPr="009717C8">
        <w:t>方案更强调布局规整性和工程组织效率，</w:t>
      </w:r>
      <w:r w:rsidRPr="009717C8">
        <w:t>B</w:t>
      </w:r>
      <w:r w:rsidRPr="009717C8">
        <w:t>方案更倾向于扩大覆盖范围并利</w:t>
      </w:r>
      <w:r w:rsidRPr="009717C8">
        <w:t>用资源条件较优区域，</w:t>
      </w:r>
      <w:r w:rsidRPr="009717C8">
        <w:t>C</w:t>
      </w:r>
      <w:r w:rsidRPr="009717C8">
        <w:t>方案则表现出对高扰动敏感区更明显的避让特征。三类方案的空间布局差异表明，</w:t>
      </w:r>
      <w:proofErr w:type="gramStart"/>
      <w:r w:rsidRPr="009717C8">
        <w:t>统一覆岩扰动</w:t>
      </w:r>
      <w:proofErr w:type="gramEnd"/>
      <w:r w:rsidRPr="009717C8">
        <w:t>约束并不是简单缩小布置范围，而是通过改变候选方案排序逻辑，使方案选择由单纯追求覆盖率转向覆盖、效率与风险之间的协同权衡。</w:t>
      </w:r>
    </w:p>
    <w:p w14:paraId="20AE6DA7" w14:textId="77777777" w:rsidR="00FB3E3F" w:rsidRDefault="00FB3E3F" w:rsidP="00CB5879">
      <w:pPr>
        <w:pStyle w:val="15"/>
        <w:sectPr w:rsidR="00FB3E3F" w:rsidSect="00FB3E3F">
          <w:type w:val="continuous"/>
          <w:pgSz w:w="11906" w:h="16838"/>
          <w:pgMar w:top="1418" w:right="1134" w:bottom="1134" w:left="1134" w:header="720" w:footer="720" w:gutter="0"/>
          <w:cols w:num="2" w:space="720"/>
          <w:docGrid w:linePitch="598"/>
        </w:sectPr>
      </w:pPr>
      <w:bookmarkStart w:id="15" w:name="_Ref227767218"/>
    </w:p>
    <w:p w14:paraId="57F03721" w14:textId="4AB41636" w:rsidR="006C6CB7" w:rsidRPr="00CB5879" w:rsidRDefault="006C6CB7" w:rsidP="00CB5879">
      <w:pPr>
        <w:pStyle w:val="15"/>
      </w:pPr>
      <w:r w:rsidRPr="00CB5879">
        <w:rPr>
          <w:rFonts w:hint="eastAsia"/>
        </w:rPr>
        <w:t>表</w:t>
      </w:r>
      <w:r w:rsidRPr="00CB5879">
        <w:fldChar w:fldCharType="begin"/>
      </w:r>
      <w:r w:rsidRPr="00CB5879">
        <w:instrText xml:space="preserve"> </w:instrText>
      </w:r>
      <w:r w:rsidRPr="00CB5879">
        <w:rPr>
          <w:rFonts w:hint="eastAsia"/>
        </w:rPr>
        <w:instrText xml:space="preserve">SEQ </w:instrText>
      </w:r>
      <w:r w:rsidRPr="00CB5879">
        <w:rPr>
          <w:rFonts w:hint="eastAsia"/>
        </w:rPr>
        <w:instrText>表</w:instrText>
      </w:r>
      <w:r w:rsidRPr="00CB5879">
        <w:rPr>
          <w:rFonts w:hint="eastAsia"/>
        </w:rPr>
        <w:instrText xml:space="preserve"> \* ARABIC</w:instrText>
      </w:r>
      <w:r w:rsidRPr="00CB5879">
        <w:instrText xml:space="preserve"> </w:instrText>
      </w:r>
      <w:r w:rsidRPr="00CB5879">
        <w:fldChar w:fldCharType="separate"/>
      </w:r>
      <w:r w:rsidRPr="00CB5879">
        <w:t>3</w:t>
      </w:r>
      <w:r w:rsidRPr="00CB5879">
        <w:fldChar w:fldCharType="end"/>
      </w:r>
      <w:bookmarkEnd w:id="15"/>
      <w:r w:rsidRPr="00CB5879">
        <w:rPr>
          <w:rFonts w:hint="eastAsia"/>
        </w:rPr>
        <w:t xml:space="preserve"> A</w:t>
      </w:r>
      <w:r w:rsidRPr="00CB5879">
        <w:rPr>
          <w:rFonts w:hint="eastAsia"/>
        </w:rPr>
        <w:t>、</w:t>
      </w:r>
      <w:r w:rsidRPr="00CB5879">
        <w:rPr>
          <w:rFonts w:hint="eastAsia"/>
        </w:rPr>
        <w:t>B</w:t>
      </w:r>
      <w:r w:rsidRPr="00CB5879">
        <w:rPr>
          <w:rFonts w:hint="eastAsia"/>
        </w:rPr>
        <w:t>、</w:t>
      </w:r>
      <w:r w:rsidRPr="00CB5879">
        <w:rPr>
          <w:rFonts w:hint="eastAsia"/>
        </w:rPr>
        <w:t>C</w:t>
      </w:r>
      <w:r w:rsidRPr="00CB5879">
        <w:rPr>
          <w:rFonts w:hint="eastAsia"/>
        </w:rPr>
        <w:t>候选方案对比表</w:t>
      </w:r>
    </w:p>
    <w:p w14:paraId="22A3C778" w14:textId="171B8E0E" w:rsidR="006C6CB7" w:rsidRPr="00CB5879" w:rsidRDefault="006C6CB7" w:rsidP="00CB5879">
      <w:pPr>
        <w:pStyle w:val="15"/>
      </w:pPr>
      <w:r w:rsidRPr="00CB5879">
        <w:t>Table 3</w:t>
      </w:r>
      <w:r w:rsidR="00CB5879" w:rsidRPr="00CB5879">
        <w:rPr>
          <w:rFonts w:hint="eastAsia"/>
        </w:rPr>
        <w:t xml:space="preserve"> </w:t>
      </w:r>
      <w:r w:rsidR="00CB5879" w:rsidRPr="00CB5879">
        <w:t>Comparison of candidate schemes A, B and C</w:t>
      </w:r>
    </w:p>
    <w:tbl>
      <w:tblPr>
        <w:tblW w:w="0" w:type="auto"/>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355"/>
        <w:gridCol w:w="1143"/>
        <w:gridCol w:w="670"/>
        <w:gridCol w:w="652"/>
        <w:gridCol w:w="841"/>
        <w:gridCol w:w="841"/>
        <w:gridCol w:w="881"/>
        <w:gridCol w:w="683"/>
        <w:gridCol w:w="555"/>
        <w:gridCol w:w="993"/>
        <w:gridCol w:w="2024"/>
      </w:tblGrid>
      <w:tr w:rsidR="006C6CB7" w:rsidRPr="006C6CB7" w14:paraId="696FA302" w14:textId="77777777" w:rsidTr="006C6CB7">
        <w:trPr>
          <w:tblHeader/>
          <w:tblCellSpacing w:w="15" w:type="dxa"/>
        </w:trPr>
        <w:tc>
          <w:tcPr>
            <w:tcW w:w="0" w:type="auto"/>
            <w:tcBorders>
              <w:top w:val="nil"/>
              <w:bottom w:val="single" w:sz="4" w:space="0" w:color="auto"/>
            </w:tcBorders>
            <w:vAlign w:val="center"/>
            <w:hideMark/>
          </w:tcPr>
          <w:p w14:paraId="00281439" w14:textId="77777777" w:rsidR="006C6CB7" w:rsidRPr="006C6CB7" w:rsidRDefault="006C6CB7" w:rsidP="00547F94">
            <w:pPr>
              <w:spacing w:beforeLines="0" w:before="0" w:afterLines="0" w:after="0"/>
              <w:jc w:val="center"/>
              <w:rPr>
                <w:rFonts w:eastAsia="宋体;SimSun"/>
                <w:sz w:val="18"/>
                <w:szCs w:val="18"/>
              </w:rPr>
            </w:pPr>
            <w:r w:rsidRPr="006C6CB7">
              <w:rPr>
                <w:rFonts w:eastAsia="宋体;SimSun"/>
                <w:sz w:val="18"/>
                <w:szCs w:val="18"/>
              </w:rPr>
              <w:lastRenderedPageBreak/>
              <w:t>方案</w:t>
            </w:r>
          </w:p>
        </w:tc>
        <w:tc>
          <w:tcPr>
            <w:tcW w:w="0" w:type="auto"/>
            <w:tcBorders>
              <w:top w:val="nil"/>
              <w:bottom w:val="single" w:sz="4" w:space="0" w:color="auto"/>
            </w:tcBorders>
            <w:vAlign w:val="center"/>
            <w:hideMark/>
          </w:tcPr>
          <w:p w14:paraId="1C9C8914" w14:textId="77777777" w:rsidR="006C6CB7" w:rsidRPr="006C6CB7" w:rsidRDefault="006C6CB7" w:rsidP="00547F94">
            <w:pPr>
              <w:spacing w:beforeLines="0" w:before="0" w:afterLines="0" w:after="0"/>
              <w:jc w:val="center"/>
              <w:rPr>
                <w:rFonts w:eastAsia="宋体;SimSun"/>
                <w:sz w:val="18"/>
                <w:szCs w:val="18"/>
              </w:rPr>
            </w:pPr>
            <w:r w:rsidRPr="006C6CB7">
              <w:rPr>
                <w:rFonts w:eastAsia="宋体;SimSun"/>
                <w:sz w:val="18"/>
                <w:szCs w:val="18"/>
              </w:rPr>
              <w:t>偏好模式</w:t>
            </w:r>
          </w:p>
        </w:tc>
        <w:tc>
          <w:tcPr>
            <w:tcW w:w="0" w:type="auto"/>
            <w:tcBorders>
              <w:top w:val="nil"/>
              <w:bottom w:val="single" w:sz="4" w:space="0" w:color="auto"/>
            </w:tcBorders>
            <w:vAlign w:val="center"/>
            <w:hideMark/>
          </w:tcPr>
          <w:p w14:paraId="3C438ADA" w14:textId="77777777" w:rsidR="006C6CB7" w:rsidRPr="006C6CB7" w:rsidRDefault="006C6CB7" w:rsidP="00547F94">
            <w:pPr>
              <w:spacing w:beforeLines="0" w:before="0" w:afterLines="0" w:after="0"/>
              <w:jc w:val="center"/>
              <w:rPr>
                <w:rFonts w:eastAsia="宋体;SimSun"/>
                <w:sz w:val="18"/>
                <w:szCs w:val="18"/>
              </w:rPr>
            </w:pPr>
            <w:r w:rsidRPr="006C6CB7">
              <w:rPr>
                <w:rFonts w:eastAsia="宋体;SimSun"/>
                <w:sz w:val="18"/>
                <w:szCs w:val="18"/>
              </w:rPr>
              <w:t>工作面数</w:t>
            </w:r>
            <w:r w:rsidRPr="006C6CB7">
              <w:rPr>
                <w:rFonts w:eastAsia="宋体;SimSun"/>
                <w:sz w:val="18"/>
                <w:szCs w:val="18"/>
              </w:rPr>
              <w:t>/</w:t>
            </w:r>
            <w:proofErr w:type="gramStart"/>
            <w:r w:rsidRPr="006C6CB7">
              <w:rPr>
                <w:rFonts w:eastAsia="宋体;SimSun"/>
                <w:sz w:val="18"/>
                <w:szCs w:val="18"/>
              </w:rPr>
              <w:t>个</w:t>
            </w:r>
            <w:proofErr w:type="gramEnd"/>
          </w:p>
        </w:tc>
        <w:tc>
          <w:tcPr>
            <w:tcW w:w="0" w:type="auto"/>
            <w:tcBorders>
              <w:top w:val="nil"/>
              <w:bottom w:val="single" w:sz="4" w:space="0" w:color="auto"/>
            </w:tcBorders>
            <w:vAlign w:val="center"/>
            <w:hideMark/>
          </w:tcPr>
          <w:p w14:paraId="0632931B" w14:textId="77777777" w:rsidR="006C6CB7" w:rsidRPr="006C6CB7" w:rsidRDefault="006C6CB7" w:rsidP="00547F94">
            <w:pPr>
              <w:spacing w:beforeLines="0" w:before="0" w:afterLines="0" w:after="0"/>
              <w:jc w:val="center"/>
              <w:rPr>
                <w:rFonts w:eastAsia="宋体;SimSun"/>
                <w:sz w:val="18"/>
                <w:szCs w:val="18"/>
              </w:rPr>
            </w:pPr>
            <w:r w:rsidRPr="006C6CB7">
              <w:rPr>
                <w:rFonts w:eastAsia="宋体;SimSun"/>
                <w:sz w:val="18"/>
                <w:szCs w:val="18"/>
              </w:rPr>
              <w:t>覆盖率</w:t>
            </w:r>
            <w:r w:rsidRPr="006C6CB7">
              <w:rPr>
                <w:rFonts w:eastAsia="宋体;SimSun"/>
                <w:sz w:val="18"/>
                <w:szCs w:val="18"/>
              </w:rPr>
              <w:t>/%</w:t>
            </w:r>
          </w:p>
        </w:tc>
        <w:tc>
          <w:tcPr>
            <w:tcW w:w="0" w:type="auto"/>
            <w:tcBorders>
              <w:top w:val="nil"/>
              <w:bottom w:val="single" w:sz="4" w:space="0" w:color="auto"/>
            </w:tcBorders>
            <w:vAlign w:val="center"/>
            <w:hideMark/>
          </w:tcPr>
          <w:p w14:paraId="5D423857" w14:textId="77777777" w:rsidR="006C6CB7" w:rsidRPr="006C6CB7" w:rsidRDefault="006C6CB7" w:rsidP="00547F94">
            <w:pPr>
              <w:spacing w:beforeLines="0" w:before="0" w:afterLines="0" w:after="0"/>
              <w:jc w:val="center"/>
              <w:rPr>
                <w:rFonts w:eastAsia="宋体;SimSun"/>
                <w:sz w:val="18"/>
                <w:szCs w:val="18"/>
              </w:rPr>
            </w:pPr>
            <w:r w:rsidRPr="006C6CB7">
              <w:rPr>
                <w:rFonts w:eastAsia="宋体;SimSun"/>
                <w:sz w:val="18"/>
                <w:szCs w:val="18"/>
              </w:rPr>
              <w:t>工程效率评分</w:t>
            </w:r>
          </w:p>
        </w:tc>
        <w:tc>
          <w:tcPr>
            <w:tcW w:w="0" w:type="auto"/>
            <w:tcBorders>
              <w:top w:val="nil"/>
              <w:bottom w:val="single" w:sz="4" w:space="0" w:color="auto"/>
            </w:tcBorders>
            <w:vAlign w:val="center"/>
            <w:hideMark/>
          </w:tcPr>
          <w:p w14:paraId="50785106" w14:textId="77777777" w:rsidR="006C6CB7" w:rsidRPr="006C6CB7" w:rsidRDefault="006C6CB7" w:rsidP="00547F94">
            <w:pPr>
              <w:spacing w:beforeLines="0" w:before="0" w:afterLines="0" w:after="0"/>
              <w:jc w:val="center"/>
              <w:rPr>
                <w:rFonts w:eastAsia="宋体;SimSun"/>
                <w:sz w:val="18"/>
                <w:szCs w:val="18"/>
              </w:rPr>
            </w:pPr>
            <w:r w:rsidRPr="006C6CB7">
              <w:rPr>
                <w:rFonts w:eastAsia="宋体;SimSun"/>
                <w:sz w:val="18"/>
                <w:szCs w:val="18"/>
              </w:rPr>
              <w:t>资源回收评分</w:t>
            </w:r>
          </w:p>
        </w:tc>
        <w:tc>
          <w:tcPr>
            <w:tcW w:w="0" w:type="auto"/>
            <w:tcBorders>
              <w:top w:val="nil"/>
              <w:bottom w:val="single" w:sz="4" w:space="0" w:color="auto"/>
            </w:tcBorders>
            <w:vAlign w:val="center"/>
            <w:hideMark/>
          </w:tcPr>
          <w:p w14:paraId="32C930D7" w14:textId="77777777" w:rsidR="006C6CB7" w:rsidRPr="006C6CB7" w:rsidRDefault="006C6CB7" w:rsidP="00547F94">
            <w:pPr>
              <w:spacing w:beforeLines="0" w:before="0" w:afterLines="0" w:after="0"/>
              <w:jc w:val="center"/>
              <w:rPr>
                <w:rFonts w:eastAsia="宋体;SimSun"/>
                <w:sz w:val="18"/>
                <w:szCs w:val="18"/>
              </w:rPr>
            </w:pPr>
            <w:r w:rsidRPr="006C6CB7">
              <w:rPr>
                <w:rFonts w:eastAsia="宋体;SimSun"/>
                <w:sz w:val="18"/>
                <w:szCs w:val="18"/>
              </w:rPr>
              <w:t>风险综合得分</w:t>
            </w:r>
          </w:p>
        </w:tc>
        <w:tc>
          <w:tcPr>
            <w:tcW w:w="0" w:type="auto"/>
            <w:tcBorders>
              <w:top w:val="nil"/>
              <w:bottom w:val="single" w:sz="4" w:space="0" w:color="auto"/>
            </w:tcBorders>
            <w:vAlign w:val="center"/>
            <w:hideMark/>
          </w:tcPr>
          <w:p w14:paraId="6B6383E4" w14:textId="77777777" w:rsidR="006C6CB7" w:rsidRPr="006C6CB7" w:rsidRDefault="006C6CB7" w:rsidP="00547F94">
            <w:pPr>
              <w:spacing w:beforeLines="0" w:before="0" w:afterLines="0" w:after="0"/>
              <w:jc w:val="center"/>
              <w:rPr>
                <w:rFonts w:eastAsia="宋体;SimSun"/>
                <w:sz w:val="18"/>
                <w:szCs w:val="18"/>
              </w:rPr>
            </w:pPr>
            <w:r w:rsidRPr="006C6CB7">
              <w:rPr>
                <w:rFonts w:eastAsia="宋体;SimSun"/>
                <w:sz w:val="18"/>
                <w:szCs w:val="18"/>
              </w:rPr>
              <w:t>ODI</w:t>
            </w:r>
            <w:r w:rsidRPr="006C6CB7">
              <w:rPr>
                <w:rFonts w:eastAsia="宋体;SimSun"/>
                <w:sz w:val="18"/>
                <w:szCs w:val="18"/>
              </w:rPr>
              <w:t>均值</w:t>
            </w:r>
          </w:p>
        </w:tc>
        <w:tc>
          <w:tcPr>
            <w:tcW w:w="0" w:type="auto"/>
            <w:tcBorders>
              <w:top w:val="nil"/>
              <w:bottom w:val="single" w:sz="4" w:space="0" w:color="auto"/>
            </w:tcBorders>
            <w:vAlign w:val="center"/>
            <w:hideMark/>
          </w:tcPr>
          <w:p w14:paraId="63C7AF39" w14:textId="77777777" w:rsidR="006C6CB7" w:rsidRPr="006C6CB7" w:rsidRDefault="006C6CB7" w:rsidP="00547F94">
            <w:pPr>
              <w:spacing w:beforeLines="0" w:before="0" w:afterLines="0" w:after="0"/>
              <w:jc w:val="center"/>
              <w:rPr>
                <w:rFonts w:eastAsia="宋体;SimSun"/>
                <w:sz w:val="18"/>
                <w:szCs w:val="18"/>
              </w:rPr>
            </w:pPr>
            <w:r w:rsidRPr="006C6CB7">
              <w:rPr>
                <w:rFonts w:eastAsia="宋体;SimSun"/>
                <w:sz w:val="18"/>
                <w:szCs w:val="18"/>
              </w:rPr>
              <w:t>P90</w:t>
            </w:r>
          </w:p>
        </w:tc>
        <w:tc>
          <w:tcPr>
            <w:tcW w:w="0" w:type="auto"/>
            <w:tcBorders>
              <w:top w:val="nil"/>
              <w:bottom w:val="single" w:sz="4" w:space="0" w:color="auto"/>
            </w:tcBorders>
            <w:vAlign w:val="center"/>
            <w:hideMark/>
          </w:tcPr>
          <w:p w14:paraId="7E99FF09" w14:textId="77777777" w:rsidR="006C6CB7" w:rsidRPr="006C6CB7" w:rsidRDefault="006C6CB7" w:rsidP="00547F94">
            <w:pPr>
              <w:spacing w:beforeLines="0" w:before="0" w:afterLines="0" w:after="0"/>
              <w:jc w:val="center"/>
              <w:rPr>
                <w:rFonts w:eastAsia="宋体;SimSun"/>
                <w:sz w:val="18"/>
                <w:szCs w:val="18"/>
              </w:rPr>
            </w:pPr>
            <w:r w:rsidRPr="006C6CB7">
              <w:rPr>
                <w:rFonts w:eastAsia="宋体;SimSun"/>
                <w:sz w:val="18"/>
                <w:szCs w:val="18"/>
              </w:rPr>
              <w:t>ODI</w:t>
            </w:r>
            <w:r w:rsidRPr="006C6CB7">
              <w:rPr>
                <w:rFonts w:eastAsia="宋体;SimSun"/>
                <w:sz w:val="18"/>
                <w:szCs w:val="18"/>
              </w:rPr>
              <w:t>＞</w:t>
            </w:r>
            <w:r w:rsidRPr="006C6CB7">
              <w:rPr>
                <w:rFonts w:eastAsia="宋体;SimSun"/>
                <w:sz w:val="18"/>
                <w:szCs w:val="18"/>
              </w:rPr>
              <w:t>0.70</w:t>
            </w:r>
            <w:r w:rsidRPr="006C6CB7">
              <w:rPr>
                <w:rFonts w:eastAsia="宋体;SimSun"/>
                <w:sz w:val="18"/>
                <w:szCs w:val="18"/>
              </w:rPr>
              <w:t>比例</w:t>
            </w:r>
            <w:r w:rsidRPr="006C6CB7">
              <w:rPr>
                <w:rFonts w:eastAsia="宋体;SimSun"/>
                <w:sz w:val="18"/>
                <w:szCs w:val="18"/>
              </w:rPr>
              <w:t>/%</w:t>
            </w:r>
          </w:p>
        </w:tc>
        <w:tc>
          <w:tcPr>
            <w:tcW w:w="0" w:type="auto"/>
            <w:tcBorders>
              <w:top w:val="nil"/>
              <w:bottom w:val="single" w:sz="4" w:space="0" w:color="auto"/>
            </w:tcBorders>
            <w:vAlign w:val="center"/>
            <w:hideMark/>
          </w:tcPr>
          <w:p w14:paraId="74D9FA99" w14:textId="77777777" w:rsidR="006C6CB7" w:rsidRPr="006C6CB7" w:rsidRDefault="006C6CB7" w:rsidP="00547F94">
            <w:pPr>
              <w:spacing w:beforeLines="0" w:before="0" w:afterLines="0" w:after="0"/>
              <w:jc w:val="center"/>
              <w:rPr>
                <w:rFonts w:eastAsia="宋体;SimSun"/>
                <w:sz w:val="18"/>
                <w:szCs w:val="18"/>
              </w:rPr>
            </w:pPr>
            <w:r w:rsidRPr="006C6CB7">
              <w:rPr>
                <w:rFonts w:eastAsia="宋体;SimSun"/>
                <w:sz w:val="18"/>
                <w:szCs w:val="18"/>
              </w:rPr>
              <w:t>判定依据</w:t>
            </w:r>
          </w:p>
        </w:tc>
      </w:tr>
      <w:tr w:rsidR="006C6CB7" w:rsidRPr="006C6CB7" w14:paraId="79C35EA1" w14:textId="77777777" w:rsidTr="006C6CB7">
        <w:trPr>
          <w:trHeight w:val="533"/>
          <w:tblCellSpacing w:w="15" w:type="dxa"/>
        </w:trPr>
        <w:tc>
          <w:tcPr>
            <w:tcW w:w="0" w:type="auto"/>
            <w:vAlign w:val="center"/>
            <w:hideMark/>
          </w:tcPr>
          <w:p w14:paraId="7ACD856D" w14:textId="77777777" w:rsidR="006C6CB7" w:rsidRPr="006C6CB7" w:rsidRDefault="006C6CB7" w:rsidP="00547F94">
            <w:pPr>
              <w:spacing w:beforeLines="0" w:before="0" w:afterLines="0" w:after="0"/>
              <w:jc w:val="center"/>
              <w:rPr>
                <w:rFonts w:eastAsia="宋体;SimSun"/>
                <w:sz w:val="18"/>
                <w:szCs w:val="18"/>
              </w:rPr>
            </w:pPr>
            <w:r w:rsidRPr="006C6CB7">
              <w:rPr>
                <w:rFonts w:eastAsia="宋体;SimSun"/>
                <w:sz w:val="18"/>
                <w:szCs w:val="18"/>
              </w:rPr>
              <w:t>A</w:t>
            </w:r>
          </w:p>
        </w:tc>
        <w:tc>
          <w:tcPr>
            <w:tcW w:w="0" w:type="auto"/>
            <w:vAlign w:val="center"/>
            <w:hideMark/>
          </w:tcPr>
          <w:p w14:paraId="3984908C" w14:textId="77777777" w:rsidR="006C6CB7" w:rsidRPr="006C6CB7" w:rsidRDefault="006C6CB7" w:rsidP="00547F94">
            <w:pPr>
              <w:spacing w:beforeLines="0" w:before="0" w:afterLines="0" w:after="0"/>
              <w:jc w:val="center"/>
              <w:rPr>
                <w:rFonts w:eastAsia="宋体;SimSun"/>
                <w:sz w:val="18"/>
                <w:szCs w:val="18"/>
              </w:rPr>
            </w:pPr>
            <w:r w:rsidRPr="006C6CB7">
              <w:rPr>
                <w:rFonts w:eastAsia="宋体;SimSun"/>
                <w:sz w:val="18"/>
                <w:szCs w:val="18"/>
              </w:rPr>
              <w:t>工程效率优先</w:t>
            </w:r>
          </w:p>
        </w:tc>
        <w:tc>
          <w:tcPr>
            <w:tcW w:w="0" w:type="auto"/>
            <w:vAlign w:val="center"/>
            <w:hideMark/>
          </w:tcPr>
          <w:p w14:paraId="2DAA1EB5" w14:textId="77777777" w:rsidR="006C6CB7" w:rsidRPr="006C6CB7" w:rsidRDefault="006C6CB7" w:rsidP="00547F94">
            <w:pPr>
              <w:spacing w:beforeLines="0" w:before="0" w:afterLines="0" w:after="0"/>
              <w:jc w:val="center"/>
              <w:rPr>
                <w:rFonts w:eastAsia="宋体;SimSun"/>
                <w:sz w:val="18"/>
                <w:szCs w:val="18"/>
              </w:rPr>
            </w:pPr>
            <w:r w:rsidRPr="006C6CB7">
              <w:rPr>
                <w:rFonts w:eastAsia="宋体;SimSun"/>
                <w:sz w:val="18"/>
                <w:szCs w:val="18"/>
              </w:rPr>
              <w:t>5</w:t>
            </w:r>
          </w:p>
        </w:tc>
        <w:tc>
          <w:tcPr>
            <w:tcW w:w="0" w:type="auto"/>
            <w:vAlign w:val="center"/>
            <w:hideMark/>
          </w:tcPr>
          <w:p w14:paraId="7268C30B" w14:textId="77777777" w:rsidR="006C6CB7" w:rsidRPr="006C6CB7" w:rsidRDefault="006C6CB7" w:rsidP="00547F94">
            <w:pPr>
              <w:spacing w:beforeLines="0" w:before="0" w:afterLines="0" w:after="0"/>
              <w:jc w:val="center"/>
              <w:rPr>
                <w:rFonts w:eastAsia="宋体;SimSun"/>
                <w:sz w:val="18"/>
                <w:szCs w:val="18"/>
              </w:rPr>
            </w:pPr>
            <w:r w:rsidRPr="006C6CB7">
              <w:rPr>
                <w:rFonts w:eastAsia="宋体;SimSun"/>
                <w:sz w:val="18"/>
                <w:szCs w:val="18"/>
              </w:rPr>
              <w:t>89.34</w:t>
            </w:r>
          </w:p>
        </w:tc>
        <w:tc>
          <w:tcPr>
            <w:tcW w:w="0" w:type="auto"/>
            <w:vAlign w:val="center"/>
            <w:hideMark/>
          </w:tcPr>
          <w:p w14:paraId="380F6D2A" w14:textId="77777777" w:rsidR="006C6CB7" w:rsidRPr="006C6CB7" w:rsidRDefault="006C6CB7" w:rsidP="00547F94">
            <w:pPr>
              <w:spacing w:beforeLines="0" w:before="0" w:afterLines="0" w:after="0"/>
              <w:jc w:val="center"/>
              <w:rPr>
                <w:rFonts w:eastAsia="宋体;SimSun"/>
                <w:sz w:val="18"/>
                <w:szCs w:val="18"/>
              </w:rPr>
            </w:pPr>
            <w:r w:rsidRPr="006C6CB7">
              <w:rPr>
                <w:rFonts w:eastAsia="宋体;SimSun"/>
                <w:sz w:val="18"/>
                <w:szCs w:val="18"/>
              </w:rPr>
              <w:t>87.82</w:t>
            </w:r>
          </w:p>
        </w:tc>
        <w:tc>
          <w:tcPr>
            <w:tcW w:w="0" w:type="auto"/>
            <w:vAlign w:val="center"/>
            <w:hideMark/>
          </w:tcPr>
          <w:p w14:paraId="42DBBAF3" w14:textId="77777777" w:rsidR="006C6CB7" w:rsidRPr="006C6CB7" w:rsidRDefault="006C6CB7" w:rsidP="00547F94">
            <w:pPr>
              <w:spacing w:beforeLines="0" w:before="0" w:afterLines="0" w:after="0"/>
              <w:jc w:val="center"/>
              <w:rPr>
                <w:rFonts w:eastAsia="宋体;SimSun"/>
                <w:sz w:val="18"/>
                <w:szCs w:val="18"/>
              </w:rPr>
            </w:pPr>
            <w:r w:rsidRPr="006C6CB7">
              <w:rPr>
                <w:rFonts w:eastAsia="宋体;SimSun"/>
                <w:sz w:val="18"/>
                <w:szCs w:val="18"/>
              </w:rPr>
              <w:t>—</w:t>
            </w:r>
          </w:p>
        </w:tc>
        <w:tc>
          <w:tcPr>
            <w:tcW w:w="0" w:type="auto"/>
            <w:vAlign w:val="center"/>
            <w:hideMark/>
          </w:tcPr>
          <w:p w14:paraId="029FDC31" w14:textId="77777777" w:rsidR="006C6CB7" w:rsidRPr="006C6CB7" w:rsidRDefault="006C6CB7" w:rsidP="00547F94">
            <w:pPr>
              <w:spacing w:beforeLines="0" w:before="0" w:afterLines="0" w:after="0"/>
              <w:jc w:val="center"/>
              <w:rPr>
                <w:rFonts w:eastAsia="宋体;SimSun"/>
                <w:sz w:val="18"/>
                <w:szCs w:val="18"/>
              </w:rPr>
            </w:pPr>
            <w:r w:rsidRPr="006C6CB7">
              <w:rPr>
                <w:rFonts w:eastAsia="宋体;SimSun"/>
                <w:sz w:val="18"/>
                <w:szCs w:val="18"/>
              </w:rPr>
              <w:t>—</w:t>
            </w:r>
          </w:p>
        </w:tc>
        <w:tc>
          <w:tcPr>
            <w:tcW w:w="0" w:type="auto"/>
            <w:vAlign w:val="center"/>
            <w:hideMark/>
          </w:tcPr>
          <w:p w14:paraId="49CEE418" w14:textId="77777777" w:rsidR="006C6CB7" w:rsidRPr="006C6CB7" w:rsidRDefault="006C6CB7" w:rsidP="00547F94">
            <w:pPr>
              <w:spacing w:beforeLines="0" w:before="0" w:afterLines="0" w:after="0"/>
              <w:jc w:val="center"/>
              <w:rPr>
                <w:rFonts w:eastAsia="宋体;SimSun"/>
                <w:sz w:val="18"/>
                <w:szCs w:val="18"/>
              </w:rPr>
            </w:pPr>
            <w:r w:rsidRPr="006C6CB7">
              <w:rPr>
                <w:rFonts w:eastAsia="宋体;SimSun"/>
                <w:sz w:val="18"/>
                <w:szCs w:val="18"/>
              </w:rPr>
              <w:t>0.4463</w:t>
            </w:r>
          </w:p>
        </w:tc>
        <w:tc>
          <w:tcPr>
            <w:tcW w:w="0" w:type="auto"/>
            <w:vAlign w:val="center"/>
            <w:hideMark/>
          </w:tcPr>
          <w:p w14:paraId="21115194" w14:textId="77777777" w:rsidR="006C6CB7" w:rsidRPr="006C6CB7" w:rsidRDefault="006C6CB7" w:rsidP="00547F94">
            <w:pPr>
              <w:spacing w:beforeLines="0" w:before="0" w:afterLines="0" w:after="0"/>
              <w:jc w:val="center"/>
              <w:rPr>
                <w:rFonts w:eastAsia="宋体;SimSun"/>
                <w:sz w:val="18"/>
                <w:szCs w:val="18"/>
              </w:rPr>
            </w:pPr>
            <w:r w:rsidRPr="006C6CB7">
              <w:rPr>
                <w:rFonts w:eastAsia="宋体;SimSun"/>
                <w:sz w:val="18"/>
                <w:szCs w:val="18"/>
              </w:rPr>
              <w:t>0.6407</w:t>
            </w:r>
          </w:p>
        </w:tc>
        <w:tc>
          <w:tcPr>
            <w:tcW w:w="0" w:type="auto"/>
            <w:vAlign w:val="center"/>
            <w:hideMark/>
          </w:tcPr>
          <w:p w14:paraId="3073519D" w14:textId="77777777" w:rsidR="006C6CB7" w:rsidRPr="006C6CB7" w:rsidRDefault="006C6CB7" w:rsidP="00547F94">
            <w:pPr>
              <w:spacing w:beforeLines="0" w:before="0" w:afterLines="0" w:after="0"/>
              <w:jc w:val="center"/>
              <w:rPr>
                <w:rFonts w:eastAsia="宋体;SimSun"/>
                <w:sz w:val="18"/>
                <w:szCs w:val="18"/>
              </w:rPr>
            </w:pPr>
            <w:r w:rsidRPr="006C6CB7">
              <w:rPr>
                <w:rFonts w:eastAsia="宋体;SimSun"/>
                <w:sz w:val="18"/>
                <w:szCs w:val="18"/>
              </w:rPr>
              <w:t>0.44</w:t>
            </w:r>
          </w:p>
        </w:tc>
        <w:tc>
          <w:tcPr>
            <w:tcW w:w="0" w:type="auto"/>
            <w:vAlign w:val="center"/>
            <w:hideMark/>
          </w:tcPr>
          <w:p w14:paraId="530ECC60" w14:textId="77777777" w:rsidR="006C6CB7" w:rsidRPr="006C6CB7" w:rsidRDefault="006C6CB7" w:rsidP="00547F94">
            <w:pPr>
              <w:spacing w:beforeLines="0" w:before="0" w:afterLines="0" w:after="0"/>
              <w:jc w:val="center"/>
              <w:rPr>
                <w:rFonts w:eastAsia="宋体;SimSun"/>
                <w:sz w:val="18"/>
                <w:szCs w:val="18"/>
              </w:rPr>
            </w:pPr>
            <w:r w:rsidRPr="006C6CB7">
              <w:rPr>
                <w:rFonts w:eastAsia="宋体;SimSun"/>
                <w:sz w:val="18"/>
                <w:szCs w:val="18"/>
              </w:rPr>
              <w:t>工程效率分项排序最优</w:t>
            </w:r>
          </w:p>
        </w:tc>
      </w:tr>
      <w:tr w:rsidR="006C6CB7" w:rsidRPr="006C6CB7" w14:paraId="04CE3327" w14:textId="77777777" w:rsidTr="006C6CB7">
        <w:trPr>
          <w:trHeight w:val="513"/>
          <w:tblCellSpacing w:w="15" w:type="dxa"/>
        </w:trPr>
        <w:tc>
          <w:tcPr>
            <w:tcW w:w="0" w:type="auto"/>
            <w:vAlign w:val="center"/>
            <w:hideMark/>
          </w:tcPr>
          <w:p w14:paraId="57124BEF" w14:textId="77777777" w:rsidR="006C6CB7" w:rsidRPr="006C6CB7" w:rsidRDefault="006C6CB7" w:rsidP="00547F94">
            <w:pPr>
              <w:spacing w:beforeLines="0" w:before="0" w:afterLines="0" w:after="0"/>
              <w:jc w:val="center"/>
              <w:rPr>
                <w:rFonts w:eastAsia="宋体;SimSun"/>
                <w:sz w:val="18"/>
                <w:szCs w:val="18"/>
              </w:rPr>
            </w:pPr>
            <w:r w:rsidRPr="006C6CB7">
              <w:rPr>
                <w:rFonts w:eastAsia="宋体;SimSun"/>
                <w:sz w:val="18"/>
                <w:szCs w:val="18"/>
              </w:rPr>
              <w:t>B</w:t>
            </w:r>
          </w:p>
        </w:tc>
        <w:tc>
          <w:tcPr>
            <w:tcW w:w="0" w:type="auto"/>
            <w:vAlign w:val="center"/>
            <w:hideMark/>
          </w:tcPr>
          <w:p w14:paraId="73F7FCFE" w14:textId="77777777" w:rsidR="006C6CB7" w:rsidRPr="006C6CB7" w:rsidRDefault="006C6CB7" w:rsidP="00547F94">
            <w:pPr>
              <w:spacing w:beforeLines="0" w:before="0" w:afterLines="0" w:after="0"/>
              <w:jc w:val="center"/>
              <w:rPr>
                <w:rFonts w:eastAsia="宋体;SimSun"/>
                <w:sz w:val="18"/>
                <w:szCs w:val="18"/>
              </w:rPr>
            </w:pPr>
            <w:r w:rsidRPr="006C6CB7">
              <w:rPr>
                <w:rFonts w:eastAsia="宋体;SimSun"/>
                <w:sz w:val="18"/>
                <w:szCs w:val="18"/>
              </w:rPr>
              <w:t>资源回收优先</w:t>
            </w:r>
          </w:p>
        </w:tc>
        <w:tc>
          <w:tcPr>
            <w:tcW w:w="0" w:type="auto"/>
            <w:vAlign w:val="center"/>
            <w:hideMark/>
          </w:tcPr>
          <w:p w14:paraId="0BB18F11" w14:textId="77777777" w:rsidR="006C6CB7" w:rsidRPr="006C6CB7" w:rsidRDefault="006C6CB7" w:rsidP="00547F94">
            <w:pPr>
              <w:spacing w:beforeLines="0" w:before="0" w:afterLines="0" w:after="0"/>
              <w:jc w:val="center"/>
              <w:rPr>
                <w:rFonts w:eastAsia="宋体;SimSun"/>
                <w:sz w:val="18"/>
                <w:szCs w:val="18"/>
              </w:rPr>
            </w:pPr>
            <w:r w:rsidRPr="006C6CB7">
              <w:rPr>
                <w:rFonts w:eastAsia="宋体;SimSun"/>
                <w:sz w:val="18"/>
                <w:szCs w:val="18"/>
              </w:rPr>
              <w:t>9</w:t>
            </w:r>
          </w:p>
        </w:tc>
        <w:tc>
          <w:tcPr>
            <w:tcW w:w="0" w:type="auto"/>
            <w:vAlign w:val="center"/>
            <w:hideMark/>
          </w:tcPr>
          <w:p w14:paraId="35CA3D24" w14:textId="77777777" w:rsidR="006C6CB7" w:rsidRPr="006C6CB7" w:rsidRDefault="006C6CB7" w:rsidP="00547F94">
            <w:pPr>
              <w:spacing w:beforeLines="0" w:before="0" w:afterLines="0" w:after="0"/>
              <w:jc w:val="center"/>
              <w:rPr>
                <w:rFonts w:eastAsia="宋体;SimSun"/>
                <w:sz w:val="18"/>
                <w:szCs w:val="18"/>
              </w:rPr>
            </w:pPr>
            <w:r w:rsidRPr="006C6CB7">
              <w:rPr>
                <w:rFonts w:eastAsia="宋体;SimSun"/>
                <w:sz w:val="18"/>
                <w:szCs w:val="18"/>
              </w:rPr>
              <w:t>98.52</w:t>
            </w:r>
          </w:p>
        </w:tc>
        <w:tc>
          <w:tcPr>
            <w:tcW w:w="0" w:type="auto"/>
            <w:vAlign w:val="center"/>
            <w:hideMark/>
          </w:tcPr>
          <w:p w14:paraId="2A98703C" w14:textId="77777777" w:rsidR="006C6CB7" w:rsidRPr="006C6CB7" w:rsidRDefault="006C6CB7" w:rsidP="00547F94">
            <w:pPr>
              <w:spacing w:beforeLines="0" w:before="0" w:afterLines="0" w:after="0"/>
              <w:jc w:val="center"/>
              <w:rPr>
                <w:rFonts w:eastAsia="宋体;SimSun"/>
                <w:sz w:val="18"/>
                <w:szCs w:val="18"/>
              </w:rPr>
            </w:pPr>
            <w:r w:rsidRPr="006C6CB7">
              <w:rPr>
                <w:rFonts w:eastAsia="宋体;SimSun"/>
                <w:sz w:val="18"/>
                <w:szCs w:val="18"/>
              </w:rPr>
              <w:t>—</w:t>
            </w:r>
          </w:p>
        </w:tc>
        <w:tc>
          <w:tcPr>
            <w:tcW w:w="0" w:type="auto"/>
            <w:vAlign w:val="center"/>
            <w:hideMark/>
          </w:tcPr>
          <w:p w14:paraId="351685B0" w14:textId="77777777" w:rsidR="006C6CB7" w:rsidRPr="006C6CB7" w:rsidRDefault="006C6CB7" w:rsidP="00547F94">
            <w:pPr>
              <w:spacing w:beforeLines="0" w:before="0" w:afterLines="0" w:after="0"/>
              <w:jc w:val="center"/>
              <w:rPr>
                <w:rFonts w:eastAsia="宋体;SimSun"/>
                <w:sz w:val="18"/>
                <w:szCs w:val="18"/>
              </w:rPr>
            </w:pPr>
            <w:r w:rsidRPr="006C6CB7">
              <w:rPr>
                <w:rFonts w:eastAsia="宋体;SimSun"/>
                <w:sz w:val="18"/>
                <w:szCs w:val="18"/>
              </w:rPr>
              <w:t>89.76</w:t>
            </w:r>
          </w:p>
        </w:tc>
        <w:tc>
          <w:tcPr>
            <w:tcW w:w="0" w:type="auto"/>
            <w:vAlign w:val="center"/>
            <w:hideMark/>
          </w:tcPr>
          <w:p w14:paraId="3C138D40" w14:textId="77777777" w:rsidR="006C6CB7" w:rsidRPr="006C6CB7" w:rsidRDefault="006C6CB7" w:rsidP="00547F94">
            <w:pPr>
              <w:spacing w:beforeLines="0" w:before="0" w:afterLines="0" w:after="0"/>
              <w:jc w:val="center"/>
              <w:rPr>
                <w:rFonts w:eastAsia="宋体;SimSun"/>
                <w:sz w:val="18"/>
                <w:szCs w:val="18"/>
              </w:rPr>
            </w:pPr>
            <w:r w:rsidRPr="006C6CB7">
              <w:rPr>
                <w:rFonts w:eastAsia="宋体;SimSun"/>
                <w:sz w:val="18"/>
                <w:szCs w:val="18"/>
              </w:rPr>
              <w:t>—</w:t>
            </w:r>
          </w:p>
        </w:tc>
        <w:tc>
          <w:tcPr>
            <w:tcW w:w="0" w:type="auto"/>
            <w:vAlign w:val="center"/>
            <w:hideMark/>
          </w:tcPr>
          <w:p w14:paraId="551EA1B2" w14:textId="77777777" w:rsidR="006C6CB7" w:rsidRPr="006C6CB7" w:rsidRDefault="006C6CB7" w:rsidP="00547F94">
            <w:pPr>
              <w:spacing w:beforeLines="0" w:before="0" w:afterLines="0" w:after="0"/>
              <w:jc w:val="center"/>
              <w:rPr>
                <w:rFonts w:eastAsia="宋体;SimSun"/>
                <w:sz w:val="18"/>
                <w:szCs w:val="18"/>
              </w:rPr>
            </w:pPr>
            <w:r w:rsidRPr="006C6CB7">
              <w:rPr>
                <w:rFonts w:eastAsia="宋体;SimSun"/>
                <w:sz w:val="18"/>
                <w:szCs w:val="18"/>
              </w:rPr>
              <w:t>0.4552</w:t>
            </w:r>
          </w:p>
        </w:tc>
        <w:tc>
          <w:tcPr>
            <w:tcW w:w="0" w:type="auto"/>
            <w:vAlign w:val="center"/>
            <w:hideMark/>
          </w:tcPr>
          <w:p w14:paraId="132E1484" w14:textId="77777777" w:rsidR="006C6CB7" w:rsidRPr="006C6CB7" w:rsidRDefault="006C6CB7" w:rsidP="00547F94">
            <w:pPr>
              <w:spacing w:beforeLines="0" w:before="0" w:afterLines="0" w:after="0"/>
              <w:jc w:val="center"/>
              <w:rPr>
                <w:rFonts w:eastAsia="宋体;SimSun"/>
                <w:sz w:val="18"/>
                <w:szCs w:val="18"/>
              </w:rPr>
            </w:pPr>
            <w:r w:rsidRPr="006C6CB7">
              <w:rPr>
                <w:rFonts w:eastAsia="宋体;SimSun"/>
                <w:sz w:val="18"/>
                <w:szCs w:val="18"/>
              </w:rPr>
              <w:t>0.6462</w:t>
            </w:r>
          </w:p>
        </w:tc>
        <w:tc>
          <w:tcPr>
            <w:tcW w:w="0" w:type="auto"/>
            <w:vAlign w:val="center"/>
            <w:hideMark/>
          </w:tcPr>
          <w:p w14:paraId="69D5C02D" w14:textId="77777777" w:rsidR="006C6CB7" w:rsidRPr="006C6CB7" w:rsidRDefault="006C6CB7" w:rsidP="00547F94">
            <w:pPr>
              <w:spacing w:beforeLines="0" w:before="0" w:afterLines="0" w:after="0"/>
              <w:jc w:val="center"/>
              <w:rPr>
                <w:rFonts w:eastAsia="宋体;SimSun"/>
                <w:sz w:val="18"/>
                <w:szCs w:val="18"/>
              </w:rPr>
            </w:pPr>
            <w:r w:rsidRPr="006C6CB7">
              <w:rPr>
                <w:rFonts w:eastAsia="宋体;SimSun"/>
                <w:sz w:val="18"/>
                <w:szCs w:val="18"/>
              </w:rPr>
              <w:t>0.56</w:t>
            </w:r>
          </w:p>
        </w:tc>
        <w:tc>
          <w:tcPr>
            <w:tcW w:w="0" w:type="auto"/>
            <w:vAlign w:val="center"/>
            <w:hideMark/>
          </w:tcPr>
          <w:p w14:paraId="483A6F57" w14:textId="77777777" w:rsidR="006C6CB7" w:rsidRPr="006C6CB7" w:rsidRDefault="006C6CB7" w:rsidP="00547F94">
            <w:pPr>
              <w:spacing w:beforeLines="0" w:before="0" w:afterLines="0" w:after="0"/>
              <w:jc w:val="center"/>
              <w:rPr>
                <w:rFonts w:eastAsia="宋体;SimSun"/>
                <w:sz w:val="18"/>
                <w:szCs w:val="18"/>
              </w:rPr>
            </w:pPr>
            <w:r w:rsidRPr="006C6CB7">
              <w:rPr>
                <w:rFonts w:eastAsia="宋体;SimSun"/>
                <w:sz w:val="18"/>
                <w:szCs w:val="18"/>
              </w:rPr>
              <w:t>资源回收分项排序最优</w:t>
            </w:r>
          </w:p>
        </w:tc>
      </w:tr>
      <w:tr w:rsidR="006C6CB7" w:rsidRPr="006C6CB7" w14:paraId="65CBA66F" w14:textId="77777777" w:rsidTr="00547F94">
        <w:trPr>
          <w:tblCellSpacing w:w="15" w:type="dxa"/>
        </w:trPr>
        <w:tc>
          <w:tcPr>
            <w:tcW w:w="0" w:type="auto"/>
            <w:vAlign w:val="center"/>
            <w:hideMark/>
          </w:tcPr>
          <w:p w14:paraId="758D0AC6" w14:textId="77777777" w:rsidR="006C6CB7" w:rsidRPr="006C6CB7" w:rsidRDefault="006C6CB7" w:rsidP="00547F94">
            <w:pPr>
              <w:spacing w:beforeLines="0" w:before="0" w:afterLines="0" w:after="0"/>
              <w:jc w:val="center"/>
              <w:rPr>
                <w:rFonts w:eastAsia="宋体;SimSun"/>
                <w:sz w:val="18"/>
                <w:szCs w:val="18"/>
              </w:rPr>
            </w:pPr>
            <w:r w:rsidRPr="006C6CB7">
              <w:rPr>
                <w:rFonts w:eastAsia="宋体;SimSun"/>
                <w:sz w:val="18"/>
                <w:szCs w:val="18"/>
              </w:rPr>
              <w:t>C</w:t>
            </w:r>
          </w:p>
        </w:tc>
        <w:tc>
          <w:tcPr>
            <w:tcW w:w="0" w:type="auto"/>
            <w:vAlign w:val="center"/>
            <w:hideMark/>
          </w:tcPr>
          <w:p w14:paraId="3EE34331" w14:textId="77777777" w:rsidR="006C6CB7" w:rsidRPr="006C6CB7" w:rsidRDefault="006C6CB7" w:rsidP="00547F94">
            <w:pPr>
              <w:spacing w:beforeLines="0" w:before="0" w:afterLines="0" w:after="0"/>
              <w:jc w:val="center"/>
              <w:rPr>
                <w:rFonts w:eastAsia="宋体;SimSun"/>
                <w:sz w:val="18"/>
                <w:szCs w:val="18"/>
              </w:rPr>
            </w:pPr>
            <w:r w:rsidRPr="006C6CB7">
              <w:rPr>
                <w:rFonts w:eastAsia="宋体;SimSun"/>
                <w:sz w:val="18"/>
                <w:szCs w:val="18"/>
              </w:rPr>
              <w:t>联合判据下低扰动候选</w:t>
            </w:r>
          </w:p>
        </w:tc>
        <w:tc>
          <w:tcPr>
            <w:tcW w:w="0" w:type="auto"/>
            <w:vAlign w:val="center"/>
            <w:hideMark/>
          </w:tcPr>
          <w:p w14:paraId="2F9592FB" w14:textId="77777777" w:rsidR="006C6CB7" w:rsidRPr="006C6CB7" w:rsidRDefault="006C6CB7" w:rsidP="00547F94">
            <w:pPr>
              <w:spacing w:beforeLines="0" w:before="0" w:afterLines="0" w:after="0"/>
              <w:jc w:val="center"/>
              <w:rPr>
                <w:rFonts w:eastAsia="宋体;SimSun"/>
                <w:sz w:val="18"/>
                <w:szCs w:val="18"/>
              </w:rPr>
            </w:pPr>
            <w:r w:rsidRPr="006C6CB7">
              <w:rPr>
                <w:rFonts w:eastAsia="宋体;SimSun"/>
                <w:sz w:val="18"/>
                <w:szCs w:val="18"/>
              </w:rPr>
              <w:t>4</w:t>
            </w:r>
          </w:p>
        </w:tc>
        <w:tc>
          <w:tcPr>
            <w:tcW w:w="0" w:type="auto"/>
            <w:vAlign w:val="center"/>
            <w:hideMark/>
          </w:tcPr>
          <w:p w14:paraId="18347B68" w14:textId="77777777" w:rsidR="006C6CB7" w:rsidRPr="006C6CB7" w:rsidRDefault="006C6CB7" w:rsidP="00547F94">
            <w:pPr>
              <w:spacing w:beforeLines="0" w:before="0" w:afterLines="0" w:after="0"/>
              <w:jc w:val="center"/>
              <w:rPr>
                <w:rFonts w:eastAsia="宋体;SimSun"/>
                <w:sz w:val="18"/>
                <w:szCs w:val="18"/>
              </w:rPr>
            </w:pPr>
            <w:r w:rsidRPr="006C6CB7">
              <w:rPr>
                <w:rFonts w:eastAsia="宋体;SimSun"/>
                <w:sz w:val="18"/>
                <w:szCs w:val="18"/>
              </w:rPr>
              <w:t>80.67</w:t>
            </w:r>
          </w:p>
        </w:tc>
        <w:tc>
          <w:tcPr>
            <w:tcW w:w="0" w:type="auto"/>
            <w:vAlign w:val="center"/>
            <w:hideMark/>
          </w:tcPr>
          <w:p w14:paraId="306EFE8D" w14:textId="77777777" w:rsidR="006C6CB7" w:rsidRPr="006C6CB7" w:rsidRDefault="006C6CB7" w:rsidP="00547F94">
            <w:pPr>
              <w:spacing w:beforeLines="0" w:before="0" w:afterLines="0" w:after="0"/>
              <w:jc w:val="center"/>
              <w:rPr>
                <w:rFonts w:eastAsia="宋体;SimSun"/>
                <w:sz w:val="18"/>
                <w:szCs w:val="18"/>
              </w:rPr>
            </w:pPr>
            <w:r w:rsidRPr="006C6CB7">
              <w:rPr>
                <w:rFonts w:eastAsia="宋体;SimSun"/>
                <w:sz w:val="18"/>
                <w:szCs w:val="18"/>
              </w:rPr>
              <w:t>—</w:t>
            </w:r>
          </w:p>
        </w:tc>
        <w:tc>
          <w:tcPr>
            <w:tcW w:w="0" w:type="auto"/>
            <w:vAlign w:val="center"/>
            <w:hideMark/>
          </w:tcPr>
          <w:p w14:paraId="2D2842C9" w14:textId="77777777" w:rsidR="006C6CB7" w:rsidRPr="006C6CB7" w:rsidRDefault="006C6CB7" w:rsidP="00547F94">
            <w:pPr>
              <w:spacing w:beforeLines="0" w:before="0" w:afterLines="0" w:after="0"/>
              <w:jc w:val="center"/>
              <w:rPr>
                <w:rFonts w:eastAsia="宋体;SimSun"/>
                <w:sz w:val="18"/>
                <w:szCs w:val="18"/>
              </w:rPr>
            </w:pPr>
            <w:r w:rsidRPr="006C6CB7">
              <w:rPr>
                <w:rFonts w:eastAsia="宋体;SimSun"/>
                <w:sz w:val="18"/>
                <w:szCs w:val="18"/>
              </w:rPr>
              <w:t>—</w:t>
            </w:r>
          </w:p>
        </w:tc>
        <w:tc>
          <w:tcPr>
            <w:tcW w:w="0" w:type="auto"/>
            <w:vAlign w:val="center"/>
            <w:hideMark/>
          </w:tcPr>
          <w:p w14:paraId="7C96F182" w14:textId="77777777" w:rsidR="006C6CB7" w:rsidRPr="006C6CB7" w:rsidRDefault="006C6CB7" w:rsidP="00547F94">
            <w:pPr>
              <w:spacing w:beforeLines="0" w:before="0" w:afterLines="0" w:after="0"/>
              <w:jc w:val="center"/>
              <w:rPr>
                <w:rFonts w:eastAsia="宋体;SimSun"/>
                <w:sz w:val="18"/>
                <w:szCs w:val="18"/>
              </w:rPr>
            </w:pPr>
            <w:r w:rsidRPr="006C6CB7">
              <w:rPr>
                <w:rFonts w:eastAsia="宋体;SimSun"/>
                <w:sz w:val="18"/>
                <w:szCs w:val="18"/>
              </w:rPr>
              <w:t>0.4449</w:t>
            </w:r>
          </w:p>
        </w:tc>
        <w:tc>
          <w:tcPr>
            <w:tcW w:w="0" w:type="auto"/>
            <w:vAlign w:val="center"/>
            <w:hideMark/>
          </w:tcPr>
          <w:p w14:paraId="45BBF5EC" w14:textId="77777777" w:rsidR="006C6CB7" w:rsidRPr="006C6CB7" w:rsidRDefault="006C6CB7" w:rsidP="00547F94">
            <w:pPr>
              <w:spacing w:beforeLines="0" w:before="0" w:afterLines="0" w:after="0"/>
              <w:jc w:val="center"/>
              <w:rPr>
                <w:rFonts w:eastAsia="宋体;SimSun"/>
                <w:sz w:val="18"/>
                <w:szCs w:val="18"/>
              </w:rPr>
            </w:pPr>
            <w:r w:rsidRPr="006C6CB7">
              <w:rPr>
                <w:rFonts w:eastAsia="宋体;SimSun"/>
                <w:sz w:val="18"/>
                <w:szCs w:val="18"/>
              </w:rPr>
              <w:t>0.4416</w:t>
            </w:r>
          </w:p>
        </w:tc>
        <w:tc>
          <w:tcPr>
            <w:tcW w:w="0" w:type="auto"/>
            <w:vAlign w:val="center"/>
            <w:hideMark/>
          </w:tcPr>
          <w:p w14:paraId="56D63593" w14:textId="77777777" w:rsidR="006C6CB7" w:rsidRPr="006C6CB7" w:rsidRDefault="006C6CB7" w:rsidP="00547F94">
            <w:pPr>
              <w:spacing w:beforeLines="0" w:before="0" w:afterLines="0" w:after="0"/>
              <w:jc w:val="center"/>
              <w:rPr>
                <w:rFonts w:eastAsia="宋体;SimSun"/>
                <w:sz w:val="18"/>
                <w:szCs w:val="18"/>
              </w:rPr>
            </w:pPr>
            <w:r w:rsidRPr="006C6CB7">
              <w:rPr>
                <w:rFonts w:eastAsia="宋体;SimSun"/>
                <w:sz w:val="18"/>
                <w:szCs w:val="18"/>
              </w:rPr>
              <w:t>0.6353</w:t>
            </w:r>
          </w:p>
        </w:tc>
        <w:tc>
          <w:tcPr>
            <w:tcW w:w="0" w:type="auto"/>
            <w:vAlign w:val="center"/>
            <w:hideMark/>
          </w:tcPr>
          <w:p w14:paraId="72D2363F" w14:textId="77777777" w:rsidR="006C6CB7" w:rsidRPr="006C6CB7" w:rsidRDefault="006C6CB7" w:rsidP="00547F94">
            <w:pPr>
              <w:spacing w:beforeLines="0" w:before="0" w:afterLines="0" w:after="0"/>
              <w:jc w:val="center"/>
              <w:rPr>
                <w:rFonts w:eastAsia="宋体;SimSun"/>
                <w:sz w:val="18"/>
                <w:szCs w:val="18"/>
              </w:rPr>
            </w:pPr>
            <w:r w:rsidRPr="006C6CB7">
              <w:rPr>
                <w:rFonts w:eastAsia="宋体;SimSun"/>
                <w:sz w:val="18"/>
                <w:szCs w:val="18"/>
              </w:rPr>
              <w:t>1.22</w:t>
            </w:r>
          </w:p>
        </w:tc>
        <w:tc>
          <w:tcPr>
            <w:tcW w:w="0" w:type="auto"/>
            <w:vAlign w:val="center"/>
            <w:hideMark/>
          </w:tcPr>
          <w:p w14:paraId="0577F3AB" w14:textId="77777777" w:rsidR="006C6CB7" w:rsidRPr="006C6CB7" w:rsidRDefault="006C6CB7" w:rsidP="00547F94">
            <w:pPr>
              <w:spacing w:beforeLines="0" w:before="0" w:afterLines="0" w:after="0"/>
              <w:jc w:val="center"/>
              <w:rPr>
                <w:rFonts w:eastAsia="宋体;SimSun"/>
                <w:sz w:val="18"/>
                <w:szCs w:val="18"/>
              </w:rPr>
            </w:pPr>
            <w:r w:rsidRPr="006C6CB7">
              <w:rPr>
                <w:rFonts w:eastAsia="宋体;SimSun"/>
                <w:sz w:val="18"/>
                <w:szCs w:val="18"/>
              </w:rPr>
              <w:t>ODI</w:t>
            </w:r>
            <w:r w:rsidRPr="006C6CB7">
              <w:rPr>
                <w:rFonts w:eastAsia="宋体;SimSun"/>
                <w:sz w:val="18"/>
                <w:szCs w:val="18"/>
              </w:rPr>
              <w:t>均值、</w:t>
            </w:r>
            <w:r w:rsidRPr="006C6CB7">
              <w:rPr>
                <w:rFonts w:eastAsia="宋体;SimSun"/>
                <w:sz w:val="18"/>
                <w:szCs w:val="18"/>
              </w:rPr>
              <w:t>P90</w:t>
            </w:r>
            <w:r w:rsidRPr="006C6CB7">
              <w:rPr>
                <w:rFonts w:eastAsia="宋体;SimSun"/>
                <w:sz w:val="18"/>
                <w:szCs w:val="18"/>
              </w:rPr>
              <w:t>和风险综合得分联合判定</w:t>
            </w:r>
          </w:p>
        </w:tc>
      </w:tr>
    </w:tbl>
    <w:p w14:paraId="6E102329" w14:textId="77777777" w:rsidR="006C6CB7" w:rsidRPr="006C6CB7" w:rsidRDefault="006C6CB7" w:rsidP="006C6CB7">
      <w:pPr>
        <w:pStyle w:val="12"/>
        <w:sectPr w:rsidR="006C6CB7" w:rsidRPr="006C6CB7" w:rsidSect="00A07DBF">
          <w:type w:val="continuous"/>
          <w:pgSz w:w="11906" w:h="16838"/>
          <w:pgMar w:top="1418" w:right="1134" w:bottom="1134" w:left="1134" w:header="720" w:footer="720" w:gutter="0"/>
          <w:cols w:space="720"/>
          <w:docGrid w:linePitch="598"/>
        </w:sectPr>
      </w:pPr>
    </w:p>
    <w:p w14:paraId="2D6B5834" w14:textId="56A68A9A" w:rsidR="006C6CB7" w:rsidRPr="006C6CB7" w:rsidRDefault="006C6CB7" w:rsidP="006C6CB7">
      <w:pPr>
        <w:pStyle w:val="100"/>
        <w:ind w:firstLine="420"/>
      </w:pPr>
      <w:r>
        <w:fldChar w:fldCharType="begin"/>
      </w:r>
      <w:r>
        <w:instrText xml:space="preserve"> REF _Ref227767218 \h </w:instrText>
      </w:r>
      <w:r>
        <w:fldChar w:fldCharType="separate"/>
      </w:r>
      <w:r>
        <w:rPr>
          <w:rFonts w:hint="eastAsia"/>
        </w:rPr>
        <w:t>表</w:t>
      </w:r>
      <w:r>
        <w:rPr>
          <w:noProof/>
        </w:rPr>
        <w:t>3</w:t>
      </w:r>
      <w:r>
        <w:fldChar w:fldCharType="end"/>
      </w:r>
      <w:r w:rsidRPr="006C6CB7">
        <w:t>表明，三类方案分别对应工程效率优先、资源回收优先和联合判据下低扰动控制三种不同决策偏好，并在统一约束和统一统计口径下形成了可直接比较的</w:t>
      </w:r>
      <w:proofErr w:type="gramStart"/>
      <w:r w:rsidRPr="006C6CB7">
        <w:t>方案级</w:t>
      </w:r>
      <w:proofErr w:type="gramEnd"/>
      <w:r w:rsidRPr="006C6CB7">
        <w:t>结果。</w:t>
      </w:r>
    </w:p>
    <w:p w14:paraId="7BB43331" w14:textId="5E2ADCF4" w:rsidR="00B65A06" w:rsidRPr="00B65A06" w:rsidRDefault="00B65A06" w:rsidP="00B65A06">
      <w:pPr>
        <w:pStyle w:val="100"/>
        <w:ind w:firstLine="420"/>
      </w:pPr>
      <w:r w:rsidRPr="00B65A06">
        <w:t>工程效率优先方案</w:t>
      </w:r>
      <w:r w:rsidRPr="00B65A06">
        <w:t>A</w:t>
      </w:r>
      <w:r w:rsidRPr="00B65A06">
        <w:t>来自工程效率偏好模式，覆盖率为</w:t>
      </w:r>
      <w:r w:rsidRPr="00B65A06">
        <w:t>89.34%</w:t>
      </w:r>
      <w:r w:rsidRPr="00B65A06">
        <w:t>，工程效率分项评分为</w:t>
      </w:r>
      <w:r w:rsidRPr="00B65A06">
        <w:t>87.82</w:t>
      </w:r>
      <w:r w:rsidRPr="00B65A06">
        <w:t>；资源回收优先方案</w:t>
      </w:r>
      <w:r w:rsidRPr="00B65A06">
        <w:t>B</w:t>
      </w:r>
      <w:r w:rsidRPr="00B65A06">
        <w:t>来自资源回收偏好模式，覆盖率为</w:t>
      </w:r>
      <w:r w:rsidRPr="00B65A06">
        <w:t>98.52%</w:t>
      </w:r>
      <w:r w:rsidRPr="00B65A06">
        <w:t>，资源回收分项评分为</w:t>
      </w:r>
      <w:r w:rsidRPr="00B65A06">
        <w:t>89.76</w:t>
      </w:r>
      <w:r w:rsidRPr="00B65A06">
        <w:t>；联合判据下低扰动候选方案</w:t>
      </w:r>
      <w:r w:rsidRPr="00B65A06">
        <w:t>C</w:t>
      </w:r>
      <w:r w:rsidRPr="00B65A06">
        <w:t>来自统一候选集合复核，覆盖率为</w:t>
      </w:r>
      <w:r w:rsidRPr="00B65A06">
        <w:t>80.67%</w:t>
      </w:r>
      <w:r w:rsidRPr="00B65A06">
        <w:t>，风险综合得分为</w:t>
      </w:r>
      <w:r w:rsidRPr="00B65A06">
        <w:t>0.4449</w:t>
      </w:r>
      <w:r w:rsidRPr="00B65A06">
        <w:t>。就工作面数量而言，</w:t>
      </w:r>
      <w:r w:rsidRPr="00B65A06">
        <w:t>A</w:t>
      </w:r>
      <w:r w:rsidRPr="00B65A06">
        <w:t>方案布置</w:t>
      </w:r>
      <w:r w:rsidRPr="00B65A06">
        <w:t>5</w:t>
      </w:r>
      <w:r w:rsidRPr="00B65A06">
        <w:t>个工作面，</w:t>
      </w:r>
      <w:r w:rsidRPr="00B65A06">
        <w:t>B</w:t>
      </w:r>
      <w:r w:rsidRPr="00B65A06">
        <w:t>方案布置</w:t>
      </w:r>
      <w:r w:rsidRPr="00B65A06">
        <w:t>9</w:t>
      </w:r>
      <w:r w:rsidRPr="00B65A06">
        <w:t>个工作面，</w:t>
      </w:r>
      <w:r w:rsidRPr="00B65A06">
        <w:t>C</w:t>
      </w:r>
      <w:r w:rsidRPr="00B65A06">
        <w:t>方案布置</w:t>
      </w:r>
      <w:r w:rsidRPr="00B65A06">
        <w:t>4</w:t>
      </w:r>
      <w:r w:rsidRPr="00B65A06">
        <w:t>个工作面，三者在几何组织强度和空间占用程度上具有较明显差异。</w:t>
      </w:r>
    </w:p>
    <w:p w14:paraId="4B1CE9F1" w14:textId="7726D754" w:rsidR="00B65A06" w:rsidRPr="00B65A06" w:rsidRDefault="00B65A06" w:rsidP="00B65A06">
      <w:pPr>
        <w:pStyle w:val="100"/>
        <w:ind w:firstLine="420"/>
      </w:pPr>
      <w:r w:rsidRPr="00B65A06">
        <w:t>在</w:t>
      </w:r>
      <w:proofErr w:type="gramStart"/>
      <w:r w:rsidRPr="00B65A06">
        <w:t>统一覆岩扰动</w:t>
      </w:r>
      <w:proofErr w:type="gramEnd"/>
      <w:r w:rsidRPr="00B65A06">
        <w:t>场下，</w:t>
      </w:r>
      <w:r w:rsidRPr="00B65A06">
        <w:t>A</w:t>
      </w:r>
      <w:r w:rsidRPr="00B65A06">
        <w:t>、</w:t>
      </w:r>
      <w:r w:rsidRPr="00B65A06">
        <w:t>B</w:t>
      </w:r>
      <w:r w:rsidRPr="00B65A06">
        <w:t>、</w:t>
      </w:r>
      <w:r w:rsidRPr="00B65A06">
        <w:t>C</w:t>
      </w:r>
      <w:r w:rsidRPr="00B65A06">
        <w:t>三类方案的扰动统计结果分别表现为：</w:t>
      </w:r>
      <w:r w:rsidRPr="00B65A06">
        <w:t>A</w:t>
      </w:r>
      <w:r w:rsidRPr="00B65A06">
        <w:t>方案的扰动均值为</w:t>
      </w:r>
      <w:r w:rsidRPr="00B65A06">
        <w:t>0.4463</w:t>
      </w:r>
      <w:r w:rsidRPr="00B65A06">
        <w:t>，</w:t>
      </w:r>
      <w:r w:rsidRPr="00B65A06">
        <w:t>90%</w:t>
      </w:r>
      <w:r w:rsidRPr="00B65A06">
        <w:t>分位数为</w:t>
      </w:r>
      <w:r w:rsidRPr="00B65A06">
        <w:t>0.6407</w:t>
      </w:r>
      <w:r w:rsidRPr="00B65A06">
        <w:t>，</w:t>
      </w:r>
      <w:proofErr w:type="gramStart"/>
      <w:r w:rsidRPr="00B65A06">
        <w:t>扰动值</w:t>
      </w:r>
      <w:proofErr w:type="gramEnd"/>
      <w:r w:rsidRPr="00B65A06">
        <w:t>大于</w:t>
      </w:r>
      <w:r w:rsidRPr="00B65A06">
        <w:t>0.70</w:t>
      </w:r>
      <w:r w:rsidRPr="00B65A06">
        <w:t>的比例为</w:t>
      </w:r>
      <w:r w:rsidRPr="00B65A06">
        <w:t>0.44%</w:t>
      </w:r>
      <w:r w:rsidRPr="00B65A06">
        <w:t>；</w:t>
      </w:r>
      <w:r w:rsidRPr="00B65A06">
        <w:t>B</w:t>
      </w:r>
      <w:r w:rsidRPr="00B65A06">
        <w:t>方案的扰动均值为</w:t>
      </w:r>
      <w:r w:rsidRPr="00B65A06">
        <w:t>0.4552</w:t>
      </w:r>
      <w:r w:rsidRPr="00B65A06">
        <w:t>，</w:t>
      </w:r>
      <w:r w:rsidRPr="00B65A06">
        <w:t>90%</w:t>
      </w:r>
      <w:r w:rsidRPr="00B65A06">
        <w:t>分位数为</w:t>
      </w:r>
      <w:r w:rsidRPr="00B65A06">
        <w:t>0.6462</w:t>
      </w:r>
      <w:r w:rsidRPr="00B65A06">
        <w:t>，</w:t>
      </w:r>
      <w:proofErr w:type="gramStart"/>
      <w:r w:rsidRPr="00B65A06">
        <w:t>扰动值</w:t>
      </w:r>
      <w:proofErr w:type="gramEnd"/>
      <w:r w:rsidRPr="00B65A06">
        <w:t>大于</w:t>
      </w:r>
      <w:r w:rsidRPr="00B65A06">
        <w:t>0.70</w:t>
      </w:r>
      <w:r w:rsidRPr="00B65A06">
        <w:t>的比例为</w:t>
      </w:r>
      <w:r w:rsidRPr="00B65A06">
        <w:t>0.56%</w:t>
      </w:r>
      <w:r w:rsidRPr="00B65A06">
        <w:t>；</w:t>
      </w:r>
      <w:r w:rsidRPr="00B65A06">
        <w:t>C</w:t>
      </w:r>
      <w:r w:rsidRPr="00B65A06">
        <w:t>方案的扰动均值为</w:t>
      </w:r>
      <w:r w:rsidRPr="00B65A06">
        <w:t>0.4416</w:t>
      </w:r>
      <w:r w:rsidRPr="00B65A06">
        <w:t>，</w:t>
      </w:r>
      <w:r w:rsidRPr="00B65A06">
        <w:t>90%</w:t>
      </w:r>
      <w:r w:rsidRPr="00B65A06">
        <w:t>分位数为</w:t>
      </w:r>
      <w:r w:rsidRPr="00B65A06">
        <w:t>0.6353</w:t>
      </w:r>
      <w:r w:rsidRPr="00B65A06">
        <w:t>，</w:t>
      </w:r>
      <w:proofErr w:type="gramStart"/>
      <w:r w:rsidRPr="00B65A06">
        <w:t>扰动值</w:t>
      </w:r>
      <w:proofErr w:type="gramEnd"/>
      <w:r w:rsidRPr="00B65A06">
        <w:t>大于</w:t>
      </w:r>
      <w:r w:rsidRPr="00B65A06">
        <w:t>0.70</w:t>
      </w:r>
      <w:r w:rsidRPr="00B65A06">
        <w:t>的比例为</w:t>
      </w:r>
      <w:r w:rsidRPr="00B65A06">
        <w:t>1.22%</w:t>
      </w:r>
      <w:r w:rsidRPr="00B65A06">
        <w:t>。从这些结果可以看出，方案之间并不存在</w:t>
      </w:r>
      <w:r w:rsidRPr="00B65A06">
        <w:t>“</w:t>
      </w:r>
      <w:r w:rsidRPr="00B65A06">
        <w:t>单一指标绝对优</w:t>
      </w:r>
      <w:r w:rsidRPr="00B65A06">
        <w:t>”</w:t>
      </w:r>
      <w:r w:rsidRPr="00B65A06">
        <w:t>的简单关系，而是呈现出典型的资源覆盖</w:t>
      </w:r>
      <w:proofErr w:type="gramStart"/>
      <w:r w:rsidRPr="00B65A06">
        <w:t>—</w:t>
      </w:r>
      <w:r w:rsidRPr="00B65A06">
        <w:t>风险</w:t>
      </w:r>
      <w:proofErr w:type="gramEnd"/>
      <w:r w:rsidRPr="00B65A06">
        <w:t>暴露权衡：覆盖率最高的</w:t>
      </w:r>
      <w:r w:rsidRPr="00B65A06">
        <w:t>B</w:t>
      </w:r>
      <w:r w:rsidRPr="00B65A06">
        <w:t>方案并不具备最低扰动统计值，而覆盖率较低的</w:t>
      </w:r>
      <w:r w:rsidRPr="00B65A06">
        <w:t>C</w:t>
      </w:r>
      <w:r w:rsidRPr="00B65A06">
        <w:t>方案在总体扰动水平和高值尾部风险控制方面更占优势。</w:t>
      </w:r>
    </w:p>
    <w:p w14:paraId="2F47A83B" w14:textId="1B43126E" w:rsidR="00B65A06" w:rsidRPr="00B65A06" w:rsidRDefault="00B65A06" w:rsidP="00B65A06">
      <w:pPr>
        <w:pStyle w:val="100"/>
        <w:ind w:firstLine="420"/>
      </w:pPr>
      <w:r w:rsidRPr="00B65A06">
        <w:t>进一步比较可知，与</w:t>
      </w:r>
      <w:r w:rsidRPr="00B65A06">
        <w:t>A</w:t>
      </w:r>
      <w:r w:rsidRPr="00B65A06">
        <w:t>方案相比，</w:t>
      </w:r>
      <w:r w:rsidRPr="00B65A06">
        <w:t>C</w:t>
      </w:r>
      <w:r w:rsidRPr="00B65A06">
        <w:t>方案覆盖率降低</w:t>
      </w:r>
      <w:r w:rsidRPr="00B65A06">
        <w:t>8.67</w:t>
      </w:r>
      <w:r w:rsidRPr="00B65A06">
        <w:t>个百分点，但扰动均值、</w:t>
      </w:r>
      <w:r w:rsidRPr="00B65A06">
        <w:t>90%</w:t>
      </w:r>
      <w:r w:rsidRPr="00B65A06">
        <w:t>分位数和风险综合得分分别降低</w:t>
      </w:r>
      <w:r w:rsidRPr="00B65A06">
        <w:t>1.07%</w:t>
      </w:r>
      <w:r w:rsidRPr="00B65A06">
        <w:t>、</w:t>
      </w:r>
      <w:r w:rsidRPr="00B65A06">
        <w:t>0.86%</w:t>
      </w:r>
      <w:r w:rsidRPr="00B65A06">
        <w:t>和</w:t>
      </w:r>
      <w:r w:rsidRPr="00B65A06">
        <w:t>0.70%</w:t>
      </w:r>
      <w:r w:rsidRPr="00B65A06">
        <w:t>；与</w:t>
      </w:r>
      <w:r w:rsidRPr="00B65A06">
        <w:t>B</w:t>
      </w:r>
      <w:r w:rsidRPr="00B65A06">
        <w:t>方案相比，</w:t>
      </w:r>
      <w:r w:rsidRPr="00B65A06">
        <w:t>C</w:t>
      </w:r>
      <w:r w:rsidRPr="00B65A06">
        <w:t>方案覆盖率降低</w:t>
      </w:r>
      <w:r w:rsidRPr="00B65A06">
        <w:t>17.85</w:t>
      </w:r>
      <w:r w:rsidRPr="00B65A06">
        <w:t>个百分点，但上述</w:t>
      </w:r>
      <w:r w:rsidRPr="00B65A06">
        <w:t>3</w:t>
      </w:r>
      <w:r w:rsidRPr="00B65A06">
        <w:t>项风险指标分别降低</w:t>
      </w:r>
      <w:r w:rsidRPr="00B65A06">
        <w:t>3.00%</w:t>
      </w:r>
      <w:r w:rsidRPr="00B65A06">
        <w:t>、</w:t>
      </w:r>
      <w:r w:rsidRPr="00B65A06">
        <w:t>1.69%</w:t>
      </w:r>
      <w:r w:rsidRPr="00B65A06">
        <w:t>和</w:t>
      </w:r>
      <w:r w:rsidRPr="00B65A06">
        <w:t>2.12%</w:t>
      </w:r>
      <w:r w:rsidRPr="00B65A06">
        <w:t>。与此同时，</w:t>
      </w:r>
      <w:r w:rsidRPr="00B65A06">
        <w:t>B</w:t>
      </w:r>
      <w:r w:rsidRPr="00B65A06">
        <w:t>方案较</w:t>
      </w:r>
      <w:r w:rsidRPr="00B65A06">
        <w:t>A</w:t>
      </w:r>
      <w:r w:rsidRPr="00B65A06">
        <w:t>方案覆盖率提高</w:t>
      </w:r>
      <w:r w:rsidRPr="00B65A06">
        <w:t>9.18</w:t>
      </w:r>
      <w:r w:rsidRPr="00B65A06">
        <w:t>个百分点，但扰动均值和</w:t>
      </w:r>
      <w:r w:rsidRPr="00B65A06">
        <w:t>90%</w:t>
      </w:r>
      <w:r w:rsidRPr="00B65A06">
        <w:t>分位数分别提高</w:t>
      </w:r>
      <w:r w:rsidRPr="00B65A06">
        <w:t>1.99%</w:t>
      </w:r>
      <w:r w:rsidRPr="00B65A06">
        <w:t>和</w:t>
      </w:r>
      <w:r w:rsidRPr="00B65A06">
        <w:t>0.85%</w:t>
      </w:r>
      <w:r w:rsidRPr="00B65A06">
        <w:t>。这些结果表明，资源覆盖增益往往伴随扰动风险统计值上升，采区规划并不存在脱离代价的</w:t>
      </w:r>
      <w:r w:rsidRPr="00B65A06">
        <w:t>“</w:t>
      </w:r>
      <w:r w:rsidRPr="00B65A06">
        <w:t>高覆盖低风险</w:t>
      </w:r>
      <w:r w:rsidRPr="00B65A06">
        <w:t>”</w:t>
      </w:r>
      <w:r w:rsidRPr="00B65A06">
        <w:t>理想解，而本文所构建的统一扰动约束和</w:t>
      </w:r>
      <w:proofErr w:type="gramStart"/>
      <w:r w:rsidRPr="00B65A06">
        <w:t>方案级统计</w:t>
      </w:r>
      <w:proofErr w:type="gramEnd"/>
      <w:r w:rsidRPr="00B65A06">
        <w:t>口径，恰恰能够把这种风险</w:t>
      </w:r>
      <w:r w:rsidRPr="00B65A06">
        <w:t>—</w:t>
      </w:r>
      <w:r w:rsidRPr="00B65A06">
        <w:t>收益取舍显式呈现出来。</w:t>
      </w:r>
    </w:p>
    <w:p w14:paraId="6B0DA590" w14:textId="281FBBC3" w:rsidR="00B65A06" w:rsidRPr="00B65A06" w:rsidRDefault="00B65A06" w:rsidP="00B65A06">
      <w:pPr>
        <w:pStyle w:val="100"/>
        <w:ind w:firstLine="420"/>
      </w:pPr>
      <w:r w:rsidRPr="00B65A06">
        <w:t>从方案合理性看，</w:t>
      </w:r>
      <w:r w:rsidRPr="00B65A06">
        <w:t>A</w:t>
      </w:r>
      <w:r w:rsidRPr="00B65A06">
        <w:t>方案覆盖率和工程效率均较高，说明其在工作面数量控制、推进长度均衡性和几何组织方面更具实施便利性；</w:t>
      </w:r>
      <w:r w:rsidRPr="00B65A06">
        <w:t>B</w:t>
      </w:r>
      <w:r w:rsidRPr="00B65A06">
        <w:t>方案覆盖率最高且资源回收评分较高，说明连续</w:t>
      </w:r>
      <w:proofErr w:type="gramStart"/>
      <w:r w:rsidRPr="00B65A06">
        <w:t>参数场</w:t>
      </w:r>
      <w:proofErr w:type="gramEnd"/>
      <w:r w:rsidRPr="00B65A06">
        <w:t>推动方案更多地向资源条件较优区域扩展；</w:t>
      </w:r>
      <w:r w:rsidRPr="00B65A06">
        <w:t>C</w:t>
      </w:r>
      <w:r w:rsidRPr="00B65A06">
        <w:t>方案虽然覆盖率相对较低，且在扰动阈值</w:t>
      </w:r>
      <w:r w:rsidRPr="00B65A06">
        <w:t>0.70</w:t>
      </w:r>
      <w:r w:rsidRPr="00B65A06">
        <w:t>条件下的超限比例并非最小，但其扰动均值、</w:t>
      </w:r>
      <w:r w:rsidRPr="00B65A06">
        <w:t>90%</w:t>
      </w:r>
      <w:r w:rsidRPr="00B65A06">
        <w:t>分位数和风险综合得分均低于</w:t>
      </w:r>
      <w:r w:rsidRPr="00B65A06">
        <w:t>A</w:t>
      </w:r>
      <w:r w:rsidRPr="00B65A06">
        <w:t>、</w:t>
      </w:r>
      <w:r w:rsidRPr="00B65A06">
        <w:t>B</w:t>
      </w:r>
      <w:r w:rsidRPr="00B65A06">
        <w:t>方案，说明其在联合判据下总体扰动暴露更低。也就是说，</w:t>
      </w:r>
      <w:r w:rsidRPr="00B65A06">
        <w:t>C</w:t>
      </w:r>
      <w:r w:rsidRPr="00B65A06">
        <w:t>方案之所以被识别为低扰动候选，并不是因为它在单一阈值统计下</w:t>
      </w:r>
      <w:r w:rsidRPr="00B65A06">
        <w:t>“</w:t>
      </w:r>
      <w:r w:rsidRPr="00B65A06">
        <w:t>最好</w:t>
      </w:r>
      <w:r w:rsidRPr="00B65A06">
        <w:t>”</w:t>
      </w:r>
      <w:r w:rsidRPr="00B65A06">
        <w:t>，而是因为它在总体风险、高值尾部风险和综合风险水平</w:t>
      </w:r>
      <w:r w:rsidRPr="00B65A06">
        <w:t>3</w:t>
      </w:r>
      <w:r w:rsidRPr="00B65A06">
        <w:t>个维度上表现更均衡。</w:t>
      </w:r>
    </w:p>
    <w:p w14:paraId="5446E9AA" w14:textId="6472E042" w:rsidR="00B65A06" w:rsidRPr="00B65A06" w:rsidRDefault="00B65A06" w:rsidP="00B65A06">
      <w:pPr>
        <w:pStyle w:val="100"/>
        <w:ind w:firstLine="420"/>
      </w:pPr>
      <w:r w:rsidRPr="00B65A06">
        <w:t>综上，研究区样例表明，在统一候选集合、统一</w:t>
      </w:r>
      <w:proofErr w:type="gramStart"/>
      <w:r w:rsidRPr="00B65A06">
        <w:t>覆岩扰动场</w:t>
      </w:r>
      <w:proofErr w:type="gramEnd"/>
      <w:r w:rsidRPr="00B65A06">
        <w:t>和统一统计口径下，</w:t>
      </w:r>
      <w:r w:rsidRPr="00B65A06">
        <w:t>A</w:t>
      </w:r>
      <w:r w:rsidRPr="00B65A06">
        <w:t>、</w:t>
      </w:r>
      <w:r w:rsidRPr="00B65A06">
        <w:t>B</w:t>
      </w:r>
      <w:r w:rsidRPr="00B65A06">
        <w:t>、</w:t>
      </w:r>
      <w:r w:rsidRPr="00B65A06">
        <w:t>C</w:t>
      </w:r>
      <w:r w:rsidRPr="00B65A06">
        <w:t>三类方案能够分别代表工程效率、资源回收和低扰动控制</w:t>
      </w:r>
      <w:r w:rsidRPr="00B65A06">
        <w:t>3</w:t>
      </w:r>
      <w:r w:rsidRPr="00B65A06">
        <w:t>种不同偏好模式。与传统仅给出单一布置结果的方式相比，本文方法不仅能够生成候选方案，还能够把图层级扰动信息转化为</w:t>
      </w:r>
      <w:proofErr w:type="gramStart"/>
      <w:r w:rsidRPr="00B65A06">
        <w:t>方案级统计</w:t>
      </w:r>
      <w:proofErr w:type="gramEnd"/>
      <w:r w:rsidRPr="00B65A06">
        <w:t>证据，从而为采区规划中的方案比较与优选提供更加清晰、可复核的决策依据。</w:t>
      </w:r>
    </w:p>
    <w:p w14:paraId="04DF923E" w14:textId="2483D942" w:rsidR="00D16E8F" w:rsidRDefault="00D16E8F" w:rsidP="00B65A06">
      <w:pPr>
        <w:pStyle w:val="100"/>
        <w:ind w:firstLine="420"/>
        <w:sectPr w:rsidR="00D16E8F" w:rsidSect="002711E2">
          <w:type w:val="continuous"/>
          <w:pgSz w:w="11906" w:h="16838"/>
          <w:pgMar w:top="1418" w:right="1134" w:bottom="1134" w:left="1134" w:header="720" w:footer="720" w:gutter="0"/>
          <w:cols w:num="2" w:space="720"/>
          <w:docGrid w:linePitch="598"/>
        </w:sectPr>
      </w:pPr>
    </w:p>
    <w:p w14:paraId="057D0280" w14:textId="4004BA21" w:rsidR="00351EC4" w:rsidRPr="00351EC4" w:rsidRDefault="00DD780E" w:rsidP="00351EC4">
      <w:pPr>
        <w:pStyle w:val="12"/>
        <w:rPr>
          <w:rFonts w:eastAsia="黑体;SimHei"/>
        </w:rPr>
      </w:pPr>
      <w:r w:rsidRPr="00DD780E">
        <w:rPr>
          <w:rFonts w:hint="eastAsia"/>
        </w:rPr>
        <w:t xml:space="preserve">2.4 </w:t>
      </w:r>
      <w:r w:rsidRPr="00DD780E">
        <w:rPr>
          <w:rFonts w:hint="eastAsia"/>
        </w:rPr>
        <w:t>阈值与权重敏感性分析</w:t>
      </w:r>
    </w:p>
    <w:p w14:paraId="75E060F8" w14:textId="77777777" w:rsidR="00DD780E" w:rsidRPr="00DD780E" w:rsidRDefault="00DD780E" w:rsidP="00DD780E">
      <w:pPr>
        <w:pStyle w:val="100"/>
        <w:ind w:firstLine="420"/>
      </w:pPr>
      <w:r w:rsidRPr="00DD780E">
        <w:t>为检验扰动统计阈值与权重设定对方案判读结果的影响，本文进一步开展阈值敏感性和权重敏感性分析。其目的并不是重新定义更优阈值或给出跨矿区通用权重，而是在当前研究区样例和统一候选集合范围内，考察</w:t>
      </w:r>
      <w:r w:rsidRPr="00DD780E">
        <w:t>A</w:t>
      </w:r>
      <w:r w:rsidRPr="00DD780E">
        <w:t>、</w:t>
      </w:r>
      <w:r w:rsidRPr="00DD780E">
        <w:t>B</w:t>
      </w:r>
      <w:r w:rsidRPr="00DD780E">
        <w:t>、</w:t>
      </w:r>
      <w:r w:rsidRPr="00DD780E">
        <w:t>C</w:t>
      </w:r>
      <w:r w:rsidRPr="00DD780E">
        <w:t>三类方案的排序是否对统计口径变化过于敏感，从而验证联</w:t>
      </w:r>
      <w:r w:rsidRPr="00DD780E">
        <w:t>合判据下低扰动候选的稳健性。</w:t>
      </w:r>
    </w:p>
    <w:p w14:paraId="3BF5043A" w14:textId="77777777" w:rsidR="00DD780E" w:rsidRPr="00DD780E" w:rsidRDefault="00DD780E" w:rsidP="00DD780E">
      <w:pPr>
        <w:pStyle w:val="130"/>
      </w:pPr>
      <w:r w:rsidRPr="00DD780E">
        <w:t xml:space="preserve">2.4.1 </w:t>
      </w:r>
      <w:r w:rsidRPr="00DD780E">
        <w:t>阈值敏感性分析</w:t>
      </w:r>
    </w:p>
    <w:p w14:paraId="41EB0DDE" w14:textId="77777777" w:rsidR="009717C8" w:rsidRDefault="00DD780E" w:rsidP="00DD780E">
      <w:pPr>
        <w:pStyle w:val="100"/>
        <w:ind w:firstLine="420"/>
      </w:pPr>
      <w:r w:rsidRPr="00DD780E">
        <w:t>在阈值敏感性分析中，本文选取</w:t>
      </w:r>
      <w:r w:rsidRPr="00DD780E">
        <w:t>0.65</w:t>
      </w:r>
      <w:r w:rsidRPr="00DD780E">
        <w:t>、</w:t>
      </w:r>
      <w:r w:rsidRPr="00DD780E">
        <w:t>0.70</w:t>
      </w:r>
      <w:r w:rsidRPr="00DD780E">
        <w:t>、</w:t>
      </w:r>
      <w:r w:rsidRPr="00DD780E">
        <w:t>0.75</w:t>
      </w:r>
      <w:r w:rsidRPr="00DD780E">
        <w:t>和</w:t>
      </w:r>
      <w:r w:rsidRPr="00DD780E">
        <w:t>0.80</w:t>
      </w:r>
      <w:proofErr w:type="gramStart"/>
      <w:r w:rsidRPr="00DD780E">
        <w:t>四</w:t>
      </w:r>
      <w:proofErr w:type="gramEnd"/>
      <w:r w:rsidRPr="00DD780E">
        <w:t>组阈值，对</w:t>
      </w:r>
      <w:r w:rsidRPr="00DD780E">
        <w:t>A</w:t>
      </w:r>
      <w:r w:rsidRPr="00DD780E">
        <w:t>、</w:t>
      </w:r>
      <w:r w:rsidRPr="00DD780E">
        <w:t>B</w:t>
      </w:r>
      <w:r w:rsidRPr="00DD780E">
        <w:t>、</w:t>
      </w:r>
      <w:r w:rsidRPr="00DD780E">
        <w:t>C</w:t>
      </w:r>
      <w:r w:rsidRPr="00DD780E">
        <w:t>三类方案的超阈值暴露比例进行统计。</w:t>
      </w:r>
    </w:p>
    <w:p w14:paraId="19CCCFD0" w14:textId="77777777" w:rsidR="00CB5879" w:rsidRDefault="00CB5879" w:rsidP="00CB5879">
      <w:pPr>
        <w:pStyle w:val="100"/>
        <w:ind w:firstLine="420"/>
      </w:pPr>
      <w:r w:rsidRPr="009717C8">
        <w:t>如</w:t>
      </w:r>
      <w:r>
        <w:fldChar w:fldCharType="begin"/>
      </w:r>
      <w:r>
        <w:instrText xml:space="preserve"> REF _Ref227765621 \h </w:instrText>
      </w:r>
      <w:r>
        <w:fldChar w:fldCharType="separate"/>
      </w:r>
      <w:r>
        <w:rPr>
          <w:rFonts w:hint="eastAsia"/>
        </w:rPr>
        <w:t>图</w:t>
      </w:r>
      <w:r>
        <w:rPr>
          <w:noProof/>
        </w:rPr>
        <w:t>12</w:t>
      </w:r>
      <w:r>
        <w:fldChar w:fldCharType="end"/>
      </w:r>
      <w:r w:rsidRPr="009717C8">
        <w:t>所示，超阈值暴露比例</w:t>
      </w:r>
      <w:proofErr w:type="gramStart"/>
      <w:r w:rsidRPr="009717C8">
        <w:t>随统计</w:t>
      </w:r>
      <w:proofErr w:type="gramEnd"/>
      <w:r w:rsidRPr="009717C8">
        <w:t>阈值提高而整体下降，但不同方案在不同阈值下的相对</w:t>
      </w:r>
      <w:r w:rsidRPr="009717C8">
        <w:lastRenderedPageBreak/>
        <w:t>表现并不完全一致，说明单一阈值下的超限比例不能稳定代表方案总体扰动水平，仍需结合</w:t>
      </w:r>
      <w:r w:rsidRPr="009717C8">
        <w:t>ODI</w:t>
      </w:r>
      <w:r w:rsidRPr="009717C8">
        <w:t>均值、</w:t>
      </w:r>
      <w:r w:rsidRPr="009717C8">
        <w:t>P90</w:t>
      </w:r>
      <w:r w:rsidRPr="009717C8">
        <w:t>和风险综合得分进行联合判读。</w:t>
      </w:r>
    </w:p>
    <w:p w14:paraId="614D1FAC" w14:textId="77777777" w:rsidR="00CB5879" w:rsidRDefault="00CB5879" w:rsidP="00CB5879">
      <w:pPr>
        <w:pStyle w:val="100"/>
        <w:ind w:firstLine="420"/>
      </w:pPr>
      <w:r w:rsidRPr="00A96424">
        <w:t>如</w:t>
      </w:r>
      <w:r>
        <w:fldChar w:fldCharType="begin"/>
      </w:r>
      <w:r>
        <w:instrText xml:space="preserve"> REF _Ref227765749 \h </w:instrText>
      </w:r>
      <w:r>
        <w:fldChar w:fldCharType="separate"/>
      </w:r>
      <w:r>
        <w:rPr>
          <w:rFonts w:hint="eastAsia"/>
        </w:rPr>
        <w:t>图</w:t>
      </w:r>
      <w:r>
        <w:rPr>
          <w:noProof/>
        </w:rPr>
        <w:t>13</w:t>
      </w:r>
      <w:r>
        <w:fldChar w:fldCharType="end"/>
      </w:r>
      <w:r w:rsidRPr="00A96424">
        <w:t>所示，尽管不同权重组合会引起风险综合得分的数值变化，但</w:t>
      </w:r>
      <w:r w:rsidRPr="00A96424">
        <w:t>A</w:t>
      </w:r>
      <w:r w:rsidRPr="00A96424">
        <w:t>、</w:t>
      </w:r>
      <w:r w:rsidRPr="00A96424">
        <w:t>B</w:t>
      </w:r>
      <w:r w:rsidRPr="00A96424">
        <w:t>、</w:t>
      </w:r>
      <w:r w:rsidRPr="00A96424">
        <w:t>C</w:t>
      </w:r>
      <w:r w:rsidRPr="00A96424">
        <w:t>三类方案的相对排序并未发生根本改变，其中</w:t>
      </w:r>
      <w:r w:rsidRPr="00A96424">
        <w:t>C</w:t>
      </w:r>
      <w:r w:rsidRPr="00A96424">
        <w:t>方案在各权重情景下均保持较低风险综合得分，表明联合判据下低扰动候选的判定具有较好的内部稳定性。</w:t>
      </w:r>
    </w:p>
    <w:p w14:paraId="146B2243" w14:textId="77777777" w:rsidR="009717C8" w:rsidRDefault="009717C8" w:rsidP="009717C8">
      <w:pPr>
        <w:pStyle w:val="aff"/>
      </w:pPr>
      <w:r>
        <w:rPr>
          <w:noProof/>
        </w:rPr>
        <w:drawing>
          <wp:inline distT="0" distB="0" distL="0" distR="0" wp14:anchorId="0613B65A" wp14:editId="7B0EABCC">
            <wp:extent cx="2827020" cy="1623060"/>
            <wp:effectExtent l="0" t="0" r="0" b="0"/>
            <wp:docPr id="133619040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2827020" cy="1623060"/>
                    </a:xfrm>
                    <a:prstGeom prst="rect">
                      <a:avLst/>
                    </a:prstGeom>
                    <a:noFill/>
                    <a:ln>
                      <a:noFill/>
                    </a:ln>
                  </pic:spPr>
                </pic:pic>
              </a:graphicData>
            </a:graphic>
          </wp:inline>
        </w:drawing>
      </w:r>
    </w:p>
    <w:p w14:paraId="515C4DE4" w14:textId="022993F4" w:rsidR="009717C8" w:rsidRDefault="009717C8" w:rsidP="009717C8">
      <w:pPr>
        <w:pStyle w:val="14"/>
      </w:pPr>
      <w:bookmarkStart w:id="16" w:name="_Ref227765621"/>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12</w:t>
      </w:r>
      <w:r>
        <w:fldChar w:fldCharType="end"/>
      </w:r>
      <w:bookmarkEnd w:id="16"/>
      <w:r>
        <w:rPr>
          <w:rFonts w:hint="eastAsia"/>
        </w:rPr>
        <w:t xml:space="preserve"> </w:t>
      </w:r>
      <w:r w:rsidRPr="009717C8">
        <w:t>A</w:t>
      </w:r>
      <w:r w:rsidRPr="009717C8">
        <w:t>、</w:t>
      </w:r>
      <w:r w:rsidRPr="009717C8">
        <w:t>B</w:t>
      </w:r>
      <w:r w:rsidRPr="009717C8">
        <w:t>、</w:t>
      </w:r>
      <w:r w:rsidRPr="009717C8">
        <w:t>C</w:t>
      </w:r>
      <w:r w:rsidRPr="009717C8">
        <w:t>方案阈值敏感性分析图</w:t>
      </w:r>
    </w:p>
    <w:p w14:paraId="72D0E8EF" w14:textId="04E16465" w:rsidR="009717C8" w:rsidRDefault="009717C8" w:rsidP="009717C8">
      <w:pPr>
        <w:pStyle w:val="14"/>
      </w:pPr>
      <w:r w:rsidRPr="009717C8">
        <w:t>Fig.</w:t>
      </w:r>
      <w:r>
        <w:fldChar w:fldCharType="begin"/>
      </w:r>
      <w:r>
        <w:instrText xml:space="preserve"> REF _Ref227765621 \h </w:instrText>
      </w:r>
      <w:r>
        <w:fldChar w:fldCharType="separate"/>
      </w:r>
      <w:r>
        <w:rPr>
          <w:noProof/>
        </w:rPr>
        <w:t>12</w:t>
      </w:r>
      <w:r>
        <w:fldChar w:fldCharType="end"/>
      </w:r>
      <w:r w:rsidRPr="009717C8">
        <w:t xml:space="preserve"> Threshold sensitivity analysis of schemes A, B and C</w:t>
      </w:r>
    </w:p>
    <w:p w14:paraId="086E144D" w14:textId="77777777" w:rsidR="009717C8" w:rsidRDefault="009717C8" w:rsidP="009717C8">
      <w:pPr>
        <w:pStyle w:val="aff"/>
      </w:pPr>
      <w:r>
        <w:rPr>
          <w:rFonts w:hint="eastAsia"/>
          <w:noProof/>
        </w:rPr>
        <w:drawing>
          <wp:inline distT="0" distB="0" distL="0" distR="0" wp14:anchorId="60D11014" wp14:editId="328D8AB2">
            <wp:extent cx="2827020" cy="1325880"/>
            <wp:effectExtent l="0" t="0" r="0" b="7620"/>
            <wp:docPr id="34481377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2827020" cy="1325880"/>
                    </a:xfrm>
                    <a:prstGeom prst="rect">
                      <a:avLst/>
                    </a:prstGeom>
                    <a:noFill/>
                    <a:ln>
                      <a:noFill/>
                    </a:ln>
                  </pic:spPr>
                </pic:pic>
              </a:graphicData>
            </a:graphic>
          </wp:inline>
        </w:drawing>
      </w:r>
    </w:p>
    <w:p w14:paraId="7391C168" w14:textId="1ABF2B31" w:rsidR="009717C8" w:rsidRDefault="009717C8" w:rsidP="009717C8">
      <w:pPr>
        <w:pStyle w:val="14"/>
      </w:pPr>
      <w:bookmarkStart w:id="17" w:name="_Ref227765749"/>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13</w:t>
      </w:r>
      <w:r>
        <w:fldChar w:fldCharType="end"/>
      </w:r>
      <w:bookmarkEnd w:id="17"/>
      <w:r>
        <w:rPr>
          <w:rFonts w:hint="eastAsia"/>
        </w:rPr>
        <w:t xml:space="preserve"> </w:t>
      </w:r>
      <w:r w:rsidRPr="009717C8">
        <w:t>A</w:t>
      </w:r>
      <w:r w:rsidRPr="009717C8">
        <w:t>、</w:t>
      </w:r>
      <w:r w:rsidRPr="009717C8">
        <w:t>B</w:t>
      </w:r>
      <w:r w:rsidRPr="009717C8">
        <w:t>、</w:t>
      </w:r>
      <w:r w:rsidRPr="009717C8">
        <w:t>C</w:t>
      </w:r>
      <w:r w:rsidRPr="009717C8">
        <w:t>方案权重敏感性分析图</w:t>
      </w:r>
    </w:p>
    <w:p w14:paraId="26D5A98E" w14:textId="142FFF85" w:rsidR="009717C8" w:rsidRDefault="009717C8" w:rsidP="009717C8">
      <w:pPr>
        <w:pStyle w:val="14"/>
      </w:pPr>
      <w:r w:rsidRPr="009717C8">
        <w:t>Fig.</w:t>
      </w:r>
      <w:r>
        <w:fldChar w:fldCharType="begin"/>
      </w:r>
      <w:r>
        <w:instrText xml:space="preserve"> REF _Ref227765749 \h  \* MERGEFORMAT </w:instrText>
      </w:r>
      <w:r>
        <w:fldChar w:fldCharType="separate"/>
      </w:r>
      <w:r>
        <w:rPr>
          <w:noProof/>
        </w:rPr>
        <w:t>13</w:t>
      </w:r>
      <w:r>
        <w:fldChar w:fldCharType="end"/>
      </w:r>
      <w:r w:rsidRPr="009717C8">
        <w:t xml:space="preserve"> </w:t>
      </w:r>
      <w:r w:rsidR="002711E2" w:rsidRPr="002711E2">
        <w:t>Weight sensitivity analysis of schemes A, B and C</w:t>
      </w:r>
    </w:p>
    <w:p w14:paraId="41B001E8" w14:textId="575BE236" w:rsidR="00DD780E" w:rsidRPr="00DD780E" w:rsidRDefault="00DD780E" w:rsidP="00DD780E">
      <w:pPr>
        <w:pStyle w:val="100"/>
        <w:ind w:firstLine="420"/>
      </w:pPr>
      <w:r w:rsidRPr="00DD780E">
        <w:t>结果表明，当阈值取</w:t>
      </w:r>
      <w:r w:rsidRPr="00DD780E">
        <w:t>0.65</w:t>
      </w:r>
      <w:r w:rsidRPr="00DD780E">
        <w:t>时，</w:t>
      </w:r>
      <w:r w:rsidRPr="00DD780E">
        <w:t>A</w:t>
      </w:r>
      <w:r w:rsidRPr="00DD780E">
        <w:t>、</w:t>
      </w:r>
      <w:r w:rsidRPr="00DD780E">
        <w:t>B</w:t>
      </w:r>
      <w:r w:rsidRPr="00DD780E">
        <w:t>、</w:t>
      </w:r>
      <w:r w:rsidRPr="00DD780E">
        <w:t>C</w:t>
      </w:r>
      <w:r w:rsidRPr="00DD780E">
        <w:t>方案的超限比例分别为</w:t>
      </w:r>
      <w:r w:rsidRPr="00DD780E">
        <w:t>7.42%</w:t>
      </w:r>
      <w:r w:rsidRPr="00DD780E">
        <w:t>、</w:t>
      </w:r>
      <w:r w:rsidRPr="00DD780E">
        <w:t>9.09%</w:t>
      </w:r>
      <w:r w:rsidRPr="00DD780E">
        <w:t>和</w:t>
      </w:r>
      <w:r w:rsidRPr="00DD780E">
        <w:t>6.31%</w:t>
      </w:r>
      <w:r w:rsidRPr="00DD780E">
        <w:t>；当阈值取</w:t>
      </w:r>
      <w:r w:rsidRPr="00DD780E">
        <w:t>0.70</w:t>
      </w:r>
      <w:r w:rsidRPr="00DD780E">
        <w:t>时，三者分别为</w:t>
      </w:r>
      <w:r w:rsidRPr="00DD780E">
        <w:t>0.44%</w:t>
      </w:r>
      <w:r w:rsidRPr="00DD780E">
        <w:t>、</w:t>
      </w:r>
      <w:r w:rsidRPr="00DD780E">
        <w:t>0.56%</w:t>
      </w:r>
      <w:r w:rsidRPr="00DD780E">
        <w:t>和</w:t>
      </w:r>
      <w:r w:rsidRPr="00DD780E">
        <w:t>1.22%</w:t>
      </w:r>
      <w:r w:rsidRPr="00DD780E">
        <w:t>；随着阈值进一步提高到</w:t>
      </w:r>
      <w:r w:rsidRPr="00DD780E">
        <w:t>0.75</w:t>
      </w:r>
      <w:r w:rsidRPr="00DD780E">
        <w:t>和</w:t>
      </w:r>
      <w:r w:rsidRPr="00DD780E">
        <w:t>0.80</w:t>
      </w:r>
      <w:r w:rsidRPr="00DD780E">
        <w:t>，</w:t>
      </w:r>
      <w:proofErr w:type="gramStart"/>
      <w:r w:rsidRPr="00DD780E">
        <w:t>各方案超阈值</w:t>
      </w:r>
      <w:proofErr w:type="gramEnd"/>
      <w:r w:rsidRPr="00DD780E">
        <w:t>暴露比例均明显下降，其中</w:t>
      </w:r>
      <w:r w:rsidRPr="00DD780E">
        <w:t>C</w:t>
      </w:r>
      <w:r w:rsidRPr="00DD780E">
        <w:t>方案在四组阈值下对应的超限率分别为</w:t>
      </w:r>
      <w:r w:rsidRPr="00DD780E">
        <w:t>6.31%</w:t>
      </w:r>
      <w:r w:rsidRPr="00DD780E">
        <w:t>、</w:t>
      </w:r>
      <w:r w:rsidRPr="00DD780E">
        <w:t>1.22%</w:t>
      </w:r>
      <w:r w:rsidRPr="00DD780E">
        <w:t>、</w:t>
      </w:r>
      <w:r w:rsidRPr="00DD780E">
        <w:t>0.13%</w:t>
      </w:r>
      <w:r w:rsidRPr="00DD780E">
        <w:t>和</w:t>
      </w:r>
      <w:r w:rsidRPr="00DD780E">
        <w:t>0.00%</w:t>
      </w:r>
      <w:r w:rsidRPr="00DD780E">
        <w:t>。这一结果说明，超阈值比例对统计阈值具有较高敏感性，单独使用某一阈值下的暴露比例并不足以稳定表征方案优劣。</w:t>
      </w:r>
    </w:p>
    <w:p w14:paraId="1845FD25" w14:textId="290E3F01" w:rsidR="00DD780E" w:rsidRPr="00DD780E" w:rsidRDefault="00DD780E" w:rsidP="00DD780E">
      <w:pPr>
        <w:pStyle w:val="100"/>
        <w:ind w:firstLine="420"/>
      </w:pPr>
      <w:r w:rsidRPr="00DD780E">
        <w:t>从对比结果可以看出，</w:t>
      </w:r>
      <w:r w:rsidRPr="00DD780E">
        <w:t>C</w:t>
      </w:r>
      <w:r w:rsidRPr="00DD780E">
        <w:t>方案并不是在所有阈值下都表现为</w:t>
      </w:r>
      <w:r w:rsidRPr="00DD780E">
        <w:t>“</w:t>
      </w:r>
      <w:r w:rsidRPr="00DD780E">
        <w:t>超限比例最小</w:t>
      </w:r>
      <w:r w:rsidRPr="00DD780E">
        <w:t>”</w:t>
      </w:r>
      <w:r w:rsidRPr="00DD780E">
        <w:t>的方案。尤其在阈值取</w:t>
      </w:r>
      <w:r w:rsidRPr="00DD780E">
        <w:t>0.70</w:t>
      </w:r>
      <w:r w:rsidRPr="00DD780E">
        <w:t>时，</w:t>
      </w:r>
      <w:r w:rsidRPr="00DD780E">
        <w:t>A</w:t>
      </w:r>
      <w:r w:rsidRPr="00DD780E">
        <w:t>方案和</w:t>
      </w:r>
      <w:r w:rsidRPr="00DD780E">
        <w:t>B</w:t>
      </w:r>
      <w:r w:rsidRPr="00DD780E">
        <w:t>方案的超限比例均低于</w:t>
      </w:r>
      <w:r w:rsidRPr="00DD780E">
        <w:t>C</w:t>
      </w:r>
      <w:r w:rsidRPr="00DD780E">
        <w:t>方案；但与此同时，</w:t>
      </w:r>
      <w:r w:rsidRPr="00DD780E">
        <w:t>C</w:t>
      </w:r>
      <w:r w:rsidRPr="00DD780E">
        <w:t>方案的扰动均值和</w:t>
      </w:r>
      <w:r w:rsidRPr="00DD780E">
        <w:t>90%</w:t>
      </w:r>
      <w:r w:rsidRPr="00DD780E">
        <w:t>分位数仍低于</w:t>
      </w:r>
      <w:r w:rsidRPr="00DD780E">
        <w:t>A</w:t>
      </w:r>
      <w:r w:rsidRPr="00DD780E">
        <w:t>、</w:t>
      </w:r>
      <w:r w:rsidRPr="00DD780E">
        <w:t>B</w:t>
      </w:r>
      <w:r w:rsidRPr="00DD780E">
        <w:t>方案。由此可见，不同阈值下的超限比例更多反映的是方案对某一特定分割线的敏感程度，而不能完整代表总体扰动水平和高值尾部风险。也正因为如此，本文不以单一阈值下的最小超限比例作为低扰动候选的唯一判据，而是采用均值、</w:t>
      </w:r>
      <w:r w:rsidRPr="00DD780E">
        <w:t>90%</w:t>
      </w:r>
      <w:r w:rsidRPr="00DD780E">
        <w:t>分位数和风险综合得分的联</w:t>
      </w:r>
      <w:r w:rsidRPr="00DD780E">
        <w:t>合判据。</w:t>
      </w:r>
    </w:p>
    <w:p w14:paraId="500D4271" w14:textId="77777777" w:rsidR="00DD780E" w:rsidRPr="00DD780E" w:rsidRDefault="00DD780E" w:rsidP="00DD780E">
      <w:pPr>
        <w:pStyle w:val="130"/>
      </w:pPr>
      <w:r w:rsidRPr="00DD780E">
        <w:t xml:space="preserve">2.4.2 </w:t>
      </w:r>
      <w:r w:rsidRPr="00DD780E">
        <w:t>权重敏感性分析</w:t>
      </w:r>
    </w:p>
    <w:p w14:paraId="27BAC643" w14:textId="0527F951" w:rsidR="00DD780E" w:rsidRPr="00DD780E" w:rsidRDefault="00DD780E" w:rsidP="00DD780E">
      <w:pPr>
        <w:pStyle w:val="100"/>
        <w:ind w:firstLine="420"/>
      </w:pPr>
      <w:r w:rsidRPr="00DD780E">
        <w:t>在权重敏感性分析中，本文考察了基准权重、地表沉陷分量</w:t>
      </w:r>
      <w:r w:rsidRPr="00DD780E">
        <w:t>±10%</w:t>
      </w:r>
      <w:r w:rsidRPr="00DD780E">
        <w:t>、含水层扰动分量</w:t>
      </w:r>
      <w:r w:rsidRPr="00DD780E">
        <w:t>±10%</w:t>
      </w:r>
      <w:r w:rsidRPr="00DD780E">
        <w:t>、上行开采分量</w:t>
      </w:r>
      <w:r w:rsidRPr="00DD780E">
        <w:t>±10%</w:t>
      </w:r>
      <w:r w:rsidRPr="00DD780E">
        <w:t>以及上行开采专项权重等情景下</w:t>
      </w:r>
      <w:r w:rsidRPr="00DD780E">
        <w:t>A</w:t>
      </w:r>
      <w:r w:rsidRPr="00DD780E">
        <w:t>、</w:t>
      </w:r>
      <w:r w:rsidRPr="00DD780E">
        <w:t>B</w:t>
      </w:r>
      <w:r w:rsidRPr="00DD780E">
        <w:t>、</w:t>
      </w:r>
      <w:r w:rsidRPr="00DD780E">
        <w:t>C</w:t>
      </w:r>
      <w:r w:rsidRPr="00DD780E">
        <w:t>三类方案风险综合得分的变化。结果表明，在所有权重情景中，</w:t>
      </w:r>
      <w:r w:rsidRPr="00DD780E">
        <w:t>C</w:t>
      </w:r>
      <w:r w:rsidRPr="00DD780E">
        <w:t>方案的风险综合得分始终低于</w:t>
      </w:r>
      <w:r w:rsidRPr="00DD780E">
        <w:t>A</w:t>
      </w:r>
      <w:r w:rsidRPr="00DD780E">
        <w:t>、</w:t>
      </w:r>
      <w:r w:rsidRPr="00DD780E">
        <w:t>B</w:t>
      </w:r>
      <w:r w:rsidRPr="00DD780E">
        <w:t>方案。基准权重下，</w:t>
      </w:r>
      <w:r w:rsidRPr="00DD780E">
        <w:t>A</w:t>
      </w:r>
      <w:r w:rsidRPr="00DD780E">
        <w:t>、</w:t>
      </w:r>
      <w:r w:rsidRPr="00DD780E">
        <w:t>B</w:t>
      </w:r>
      <w:r w:rsidRPr="00DD780E">
        <w:t>、</w:t>
      </w:r>
      <w:r w:rsidRPr="00DD780E">
        <w:t>C</w:t>
      </w:r>
      <w:r w:rsidRPr="00DD780E">
        <w:t>方案的风险综合得分分别为</w:t>
      </w:r>
      <w:r w:rsidRPr="00DD780E">
        <w:t>0.4481</w:t>
      </w:r>
      <w:r w:rsidRPr="00DD780E">
        <w:t>、</w:t>
      </w:r>
      <w:r w:rsidRPr="00DD780E">
        <w:t>0.4546</w:t>
      </w:r>
      <w:r w:rsidRPr="00DD780E">
        <w:t>和</w:t>
      </w:r>
      <w:r w:rsidRPr="00DD780E">
        <w:t>0.4449</w:t>
      </w:r>
      <w:r w:rsidRPr="00DD780E">
        <w:t>；在上行开采专项权重</w:t>
      </w:r>
      <w:r w:rsidRPr="00DD780E">
        <w:t>0.15/0.25/0.60</w:t>
      </w:r>
      <w:r w:rsidRPr="00DD780E">
        <w:t>条件下，三者分别为</w:t>
      </w:r>
      <w:r w:rsidRPr="00DD780E">
        <w:t>0.4505</w:t>
      </w:r>
      <w:r w:rsidRPr="00DD780E">
        <w:t>、</w:t>
      </w:r>
      <w:r w:rsidRPr="00DD780E">
        <w:t>0.4564</w:t>
      </w:r>
      <w:r w:rsidRPr="00DD780E">
        <w:t>和</w:t>
      </w:r>
      <w:r w:rsidRPr="00DD780E">
        <w:t>0.4498</w:t>
      </w:r>
      <w:r w:rsidRPr="00DD780E">
        <w:t>。整体上，虽然不同权重组合会引起风险综合得分数值上的小幅变化，但并未改变</w:t>
      </w:r>
      <w:r w:rsidRPr="00DD780E">
        <w:t>C</w:t>
      </w:r>
      <w:r w:rsidRPr="00DD780E">
        <w:t>方案优于</w:t>
      </w:r>
      <w:r w:rsidRPr="00DD780E">
        <w:t>A</w:t>
      </w:r>
      <w:r w:rsidRPr="00DD780E">
        <w:t>、</w:t>
      </w:r>
      <w:r w:rsidRPr="00DD780E">
        <w:t>B</w:t>
      </w:r>
      <w:r w:rsidRPr="00DD780E">
        <w:t>方案的基本排序关系。</w:t>
      </w:r>
    </w:p>
    <w:p w14:paraId="4354D0AE" w14:textId="77777777" w:rsidR="00DD780E" w:rsidRPr="00DD780E" w:rsidRDefault="00DD780E" w:rsidP="00DD780E">
      <w:pPr>
        <w:pStyle w:val="100"/>
        <w:ind w:firstLine="420"/>
      </w:pPr>
      <w:r w:rsidRPr="00DD780E">
        <w:t>这一结果表明，在当前候选集合和扰动范围内，</w:t>
      </w:r>
      <w:r w:rsidRPr="00DD780E">
        <w:t>C</w:t>
      </w:r>
      <w:r w:rsidRPr="00DD780E">
        <w:t>方案的联合判据排序具有较好的内部稳定性。需要指出的是，这里的权重敏感性分析所揭示的是样例内部排序对权重调整的响应，而不是</w:t>
      </w:r>
      <w:proofErr w:type="gramStart"/>
      <w:r w:rsidRPr="00DD780E">
        <w:t>说明覆岩扰动</w:t>
      </w:r>
      <w:proofErr w:type="gramEnd"/>
      <w:r w:rsidRPr="00DD780E">
        <w:t>各分量权重具有跨矿区普适常数属性。换言之，本文所采用的权重体系主要服务于当前研究区样例中的统一风险组织和方案比较；当研究对象、保护目标或工程背景发生变化时，权重仍需结合现场条件重新标定。</w:t>
      </w:r>
    </w:p>
    <w:p w14:paraId="27D682F9" w14:textId="77777777" w:rsidR="00DD780E" w:rsidRPr="00DD780E" w:rsidRDefault="00DD780E" w:rsidP="00DD780E">
      <w:pPr>
        <w:pStyle w:val="130"/>
      </w:pPr>
      <w:r w:rsidRPr="00DD780E">
        <w:t xml:space="preserve">2.4.3 </w:t>
      </w:r>
      <w:r w:rsidRPr="00DD780E">
        <w:t>敏感性分析结果讨论</w:t>
      </w:r>
    </w:p>
    <w:p w14:paraId="6B6B432D" w14:textId="76E648F8" w:rsidR="00DD780E" w:rsidRPr="00DD780E" w:rsidRDefault="00DD780E" w:rsidP="00DD780E">
      <w:pPr>
        <w:pStyle w:val="100"/>
        <w:ind w:firstLine="420"/>
      </w:pPr>
      <w:r w:rsidRPr="00DD780E">
        <w:t>综合阈值敏感性和权重敏感性结果可知，</w:t>
      </w:r>
      <w:r w:rsidRPr="00DD780E">
        <w:t>C</w:t>
      </w:r>
      <w:r w:rsidRPr="00DD780E">
        <w:t>方案并不是覆盖率最大、也不是在所有阈值下超</w:t>
      </w:r>
      <w:proofErr w:type="gramStart"/>
      <w:r w:rsidRPr="00DD780E">
        <w:t>限比例</w:t>
      </w:r>
      <w:proofErr w:type="gramEnd"/>
      <w:r w:rsidRPr="00DD780E">
        <w:t>都最低的方案，但它在扰动均值、</w:t>
      </w:r>
      <w:r w:rsidRPr="00DD780E">
        <w:t>90%</w:t>
      </w:r>
      <w:r w:rsidRPr="00DD780E">
        <w:t>分位数和风险综合得分</w:t>
      </w:r>
      <w:r w:rsidRPr="00DD780E">
        <w:t>3</w:t>
      </w:r>
      <w:r w:rsidRPr="00DD780E">
        <w:t>个维度上均表现较优，且这一优势在不同阈值分组和不同权重情景下保持了较好的稳定性。由此说明，本文提出的联合判据能够较好地避免单一统计指标对方案优选的主导作用，使低扰动候选的识别建立在更加全面和稳健的风险比较基础之上。</w:t>
      </w:r>
    </w:p>
    <w:p w14:paraId="7DBD724D" w14:textId="77777777" w:rsidR="00874FDE" w:rsidRDefault="00DD780E" w:rsidP="00874FDE">
      <w:pPr>
        <w:pStyle w:val="100"/>
        <w:ind w:firstLine="420"/>
      </w:pPr>
      <w:r w:rsidRPr="00DD780E">
        <w:t>综上，研究区样例表明，统一</w:t>
      </w:r>
      <w:proofErr w:type="gramStart"/>
      <w:r w:rsidRPr="00DD780E">
        <w:t>覆岩扰动场不仅</w:t>
      </w:r>
      <w:proofErr w:type="gramEnd"/>
      <w:r w:rsidRPr="00DD780E">
        <w:t>能够生成候选方案的扰动均值、</w:t>
      </w:r>
      <w:r w:rsidRPr="00DD780E">
        <w:t>90%</w:t>
      </w:r>
      <w:r w:rsidRPr="00DD780E">
        <w:t>分位数和超阈值暴露比例，还能够支持阈值敏感性和权重敏感性复核。敏感性分析进一步强化了本文方法的核心作用，即将不同目标偏好的方案置于同一风险统计框架中比较，并将单一指标难以揭示的风险</w:t>
      </w:r>
      <w:r w:rsidRPr="00DD780E">
        <w:t>—</w:t>
      </w:r>
      <w:r w:rsidRPr="00DD780E">
        <w:t>收益权衡关系显式呈现出来。</w:t>
      </w:r>
    </w:p>
    <w:p w14:paraId="27399A48" w14:textId="222F21CA" w:rsidR="00351EC4" w:rsidRPr="00DD780E" w:rsidRDefault="00351EC4" w:rsidP="00DD780E">
      <w:pPr>
        <w:pStyle w:val="11"/>
      </w:pPr>
      <w:r w:rsidRPr="00DD780E">
        <w:t xml:space="preserve">3 </w:t>
      </w:r>
      <w:r w:rsidR="00DD780E" w:rsidRPr="00DD780E">
        <w:t>方法讨论与工程启示</w:t>
      </w:r>
    </w:p>
    <w:p w14:paraId="209AA050" w14:textId="77777777" w:rsidR="00DD780E" w:rsidRPr="00DD780E" w:rsidRDefault="00DD780E" w:rsidP="00DD780E">
      <w:pPr>
        <w:pStyle w:val="12"/>
      </w:pPr>
      <w:r w:rsidRPr="00DD780E">
        <w:t xml:space="preserve">3.1 </w:t>
      </w:r>
      <w:r w:rsidRPr="00DD780E">
        <w:t>多</w:t>
      </w:r>
      <w:proofErr w:type="gramStart"/>
      <w:r w:rsidRPr="00DD780E">
        <w:t>场景覆岩扰动</w:t>
      </w:r>
      <w:proofErr w:type="gramEnd"/>
      <w:r w:rsidRPr="00DD780E">
        <w:t>前置约束对采区规划的作用</w:t>
      </w:r>
    </w:p>
    <w:p w14:paraId="6704EF1B" w14:textId="25E8EF5C" w:rsidR="00DD780E" w:rsidRPr="00DD780E" w:rsidRDefault="00DD780E" w:rsidP="00DD780E">
      <w:pPr>
        <w:pStyle w:val="100"/>
        <w:ind w:firstLine="420"/>
      </w:pPr>
      <w:r w:rsidRPr="00DD780E">
        <w:t>传统采区规划多采用</w:t>
      </w:r>
      <w:r w:rsidRPr="00DD780E">
        <w:t>“</w:t>
      </w:r>
      <w:r w:rsidRPr="00DD780E">
        <w:t>先形成布局方案、再开</w:t>
      </w:r>
      <w:r w:rsidRPr="00DD780E">
        <w:lastRenderedPageBreak/>
        <w:t>展风险校核</w:t>
      </w:r>
      <w:r w:rsidRPr="00DD780E">
        <w:t>”</w:t>
      </w:r>
      <w:r w:rsidRPr="00DD780E">
        <w:t>的串行流程。在这种流程下，地表沉陷、含水层扰动和上行开采等风险因素通常作为后验判据参与方案修正，而不是在方案形成阶段直接约束规划对象。其结果是，一方面容易出现方案生成与风险校核反复迭代的问题，增加规划周期；另一方面，不同风险场景由于评价指标、量纲和阈值口径不同，也会削弱方案比较的一致性。本文将多</w:t>
      </w:r>
      <w:proofErr w:type="gramStart"/>
      <w:r w:rsidRPr="00DD780E">
        <w:t>场景覆岩扰动</w:t>
      </w:r>
      <w:proofErr w:type="gramEnd"/>
      <w:r w:rsidRPr="00DD780E">
        <w:t>结果统一组织</w:t>
      </w:r>
      <w:proofErr w:type="gramStart"/>
      <w:r w:rsidRPr="00DD780E">
        <w:t>为覆岩</w:t>
      </w:r>
      <w:proofErr w:type="gramEnd"/>
      <w:r w:rsidRPr="00DD780E">
        <w:t>扰动指数，并以前</w:t>
      </w:r>
      <w:proofErr w:type="gramStart"/>
      <w:r w:rsidRPr="00DD780E">
        <w:t>置方式</w:t>
      </w:r>
      <w:proofErr w:type="gramEnd"/>
      <w:r w:rsidRPr="00DD780E">
        <w:t>嵌入候选方案生成与排序过程，其核心意义就在于把原本后置的风险校核转化为前置的空间约束和方案筛选条件，使风险控制由</w:t>
      </w:r>
      <w:r w:rsidRPr="00DD780E">
        <w:t>“</w:t>
      </w:r>
      <w:r w:rsidRPr="00DD780E">
        <w:t>布局完成后的修正</w:t>
      </w:r>
      <w:r w:rsidRPr="00DD780E">
        <w:t>”</w:t>
      </w:r>
      <w:r w:rsidRPr="00DD780E">
        <w:t>转变为</w:t>
      </w:r>
      <w:r w:rsidRPr="00DD780E">
        <w:t>“</w:t>
      </w:r>
      <w:r w:rsidRPr="00DD780E">
        <w:t>方案形成时的直接参与</w:t>
      </w:r>
      <w:r w:rsidRPr="00DD780E">
        <w:t>”</w:t>
      </w:r>
      <w:r w:rsidRPr="00DD780E">
        <w:t>。</w:t>
      </w:r>
    </w:p>
    <w:p w14:paraId="4355DB0A" w14:textId="74336879" w:rsidR="00DD780E" w:rsidRPr="00DD780E" w:rsidRDefault="00DD780E" w:rsidP="00DD780E">
      <w:pPr>
        <w:pStyle w:val="100"/>
        <w:ind w:firstLine="420"/>
      </w:pPr>
      <w:r w:rsidRPr="00DD780E">
        <w:t>从研究区样例结果看，前置约束的作用并不是简单增加了一幅风险分布图，而是改变了候选方案的形成逻辑。连续</w:t>
      </w:r>
      <w:proofErr w:type="gramStart"/>
      <w:r w:rsidRPr="00DD780E">
        <w:t>参数场</w:t>
      </w:r>
      <w:proofErr w:type="gramEnd"/>
      <w:r w:rsidRPr="00DD780E">
        <w:t>和综合</w:t>
      </w:r>
      <w:proofErr w:type="gramStart"/>
      <w:r w:rsidRPr="00DD780E">
        <w:t>扰动场建立</w:t>
      </w:r>
      <w:proofErr w:type="gramEnd"/>
      <w:r w:rsidRPr="00DD780E">
        <w:t>后，高扰动敏感区能够在候选池构建阶段即被识别，并通过阈值约束、统计排序或目标惩罚等方式降低其进入优选结果的概率；相对低扰动区域则更容易进入后续比选过程。这样一来，规划方案之间的差异不再只体现在几何覆盖率或资源回收水平上，而能够同时体现不同方案在扰动暴露程度上的差别。对于采区规划这类受地质条件、资源赋存、保护约束和工程组织共同作用的前端决策问题而言，这种</w:t>
      </w:r>
      <w:r w:rsidRPr="00DD780E">
        <w:t>“</w:t>
      </w:r>
      <w:r w:rsidRPr="00DD780E">
        <w:t>风险前置</w:t>
      </w:r>
      <w:r w:rsidRPr="00DD780E">
        <w:t>”</w:t>
      </w:r>
      <w:r w:rsidRPr="00DD780E">
        <w:t>机制有助于提高方案比选的统一性、可解释性和工程合理性。</w:t>
      </w:r>
    </w:p>
    <w:p w14:paraId="4FC0EE9E" w14:textId="1ECFD346" w:rsidR="00DD780E" w:rsidRPr="00DD780E" w:rsidRDefault="00DD780E" w:rsidP="00DD780E">
      <w:pPr>
        <w:pStyle w:val="100"/>
        <w:ind w:firstLine="420"/>
      </w:pPr>
      <w:r w:rsidRPr="00DD780E">
        <w:t>进一步看，多</w:t>
      </w:r>
      <w:proofErr w:type="gramStart"/>
      <w:r w:rsidRPr="00DD780E">
        <w:t>场景覆岩扰动</w:t>
      </w:r>
      <w:proofErr w:type="gramEnd"/>
      <w:r w:rsidRPr="00DD780E">
        <w:t>前置约束的价值还体现在统一风险口径上。本文并不是将单一</w:t>
      </w:r>
      <w:proofErr w:type="gramStart"/>
      <w:r w:rsidRPr="00DD780E">
        <w:t>风险图层直接</w:t>
      </w:r>
      <w:proofErr w:type="gramEnd"/>
      <w:r w:rsidRPr="00DD780E">
        <w:t>用于布局避让，而是将地表沉陷、含水层扰动和上行开采等异构风险统一转化为可比较的综合扰动指标，并通过扰动均值、</w:t>
      </w:r>
      <w:r w:rsidRPr="00DD780E">
        <w:t>90%</w:t>
      </w:r>
      <w:r w:rsidRPr="00DD780E">
        <w:t>分位数和超阈值暴露比例形成</w:t>
      </w:r>
      <w:proofErr w:type="gramStart"/>
      <w:r w:rsidRPr="00DD780E">
        <w:t>方案级统计</w:t>
      </w:r>
      <w:proofErr w:type="gramEnd"/>
      <w:r w:rsidRPr="00DD780E">
        <w:t>结果。研究区样例表明，在同一</w:t>
      </w:r>
      <w:proofErr w:type="gramStart"/>
      <w:r w:rsidRPr="00DD780E">
        <w:t>扰动场</w:t>
      </w:r>
      <w:proofErr w:type="gramEnd"/>
      <w:r w:rsidRPr="00DD780E">
        <w:t>和同一约束背景下，</w:t>
      </w:r>
      <w:r w:rsidRPr="00DD780E">
        <w:t>A</w:t>
      </w:r>
      <w:r w:rsidRPr="00DD780E">
        <w:t>、</w:t>
      </w:r>
      <w:r w:rsidRPr="00DD780E">
        <w:t>B</w:t>
      </w:r>
      <w:r w:rsidRPr="00DD780E">
        <w:t>、</w:t>
      </w:r>
      <w:r w:rsidRPr="00DD780E">
        <w:t>C</w:t>
      </w:r>
      <w:r w:rsidRPr="00DD780E">
        <w:t>三类方案在覆盖率与风险暴露之间表现出明显差异，其中联合判据下的低扰动候选并不等同</w:t>
      </w:r>
      <w:r w:rsidRPr="00DD780E">
        <w:t>于单一阈值下超</w:t>
      </w:r>
      <w:proofErr w:type="gramStart"/>
      <w:r w:rsidRPr="00DD780E">
        <w:t>限比例</w:t>
      </w:r>
      <w:proofErr w:type="gramEnd"/>
      <w:r w:rsidRPr="00DD780E">
        <w:t>最小的方案。这说明，只有将多场景扰动统一组织为</w:t>
      </w:r>
      <w:proofErr w:type="gramStart"/>
      <w:r w:rsidRPr="00DD780E">
        <w:t>方案级统计</w:t>
      </w:r>
      <w:proofErr w:type="gramEnd"/>
      <w:r w:rsidRPr="00DD780E">
        <w:t>指标，采区规划中的风险</w:t>
      </w:r>
      <w:r w:rsidRPr="00DD780E">
        <w:t>—</w:t>
      </w:r>
      <w:r w:rsidRPr="00DD780E">
        <w:t>收益权衡关系才能被更加完整地表达出来。</w:t>
      </w:r>
    </w:p>
    <w:p w14:paraId="378EF106" w14:textId="45BDD637" w:rsidR="00DD780E" w:rsidRPr="00DD780E" w:rsidRDefault="00DD780E" w:rsidP="00DD780E">
      <w:pPr>
        <w:pStyle w:val="100"/>
        <w:ind w:firstLine="420"/>
      </w:pPr>
      <w:r w:rsidRPr="00DD780E">
        <w:t>从方法链条角度看，前置约束还增强了规划结果的连续传递能力。</w:t>
      </w:r>
      <w:proofErr w:type="gramStart"/>
      <w:r w:rsidRPr="00DD780E">
        <w:t>由于覆岩扰动</w:t>
      </w:r>
      <w:proofErr w:type="gramEnd"/>
      <w:r w:rsidRPr="00DD780E">
        <w:t>在规划阶段已经形成统一的</w:t>
      </w:r>
      <w:proofErr w:type="gramStart"/>
      <w:r w:rsidRPr="00DD780E">
        <w:t>方案级统计</w:t>
      </w:r>
      <w:proofErr w:type="gramEnd"/>
      <w:r w:rsidRPr="00DD780E">
        <w:t>指标，因此它不仅可以用于候选方案筛选，还可以继续作为后续参数调控、采掘接续与工程评价的上游输入，而不需要在下游环节重新定义风险口径。也就是说，</w:t>
      </w:r>
      <w:proofErr w:type="gramStart"/>
      <w:r w:rsidRPr="00DD780E">
        <w:t>覆岩扰动</w:t>
      </w:r>
      <w:proofErr w:type="gramEnd"/>
      <w:r w:rsidRPr="00DD780E">
        <w:t>指数在本文框架中的作用并不仅限于</w:t>
      </w:r>
      <w:r w:rsidRPr="00DD780E">
        <w:t>“</w:t>
      </w:r>
      <w:r w:rsidRPr="00DD780E">
        <w:t>约束一个布局结果</w:t>
      </w:r>
      <w:r w:rsidRPr="00DD780E">
        <w:t>”</w:t>
      </w:r>
      <w:r w:rsidRPr="00DD780E">
        <w:t>，更承担了连接空间布局、过程调控和后续评价的统一接口功能。这一点也是本文方法区别于单一风险分析或单一几何优化研究的重要特点。</w:t>
      </w:r>
    </w:p>
    <w:p w14:paraId="01C153EB" w14:textId="62E9FDE3" w:rsidR="00DD780E" w:rsidRPr="00DD780E" w:rsidRDefault="00DD780E" w:rsidP="00DD780E">
      <w:pPr>
        <w:pStyle w:val="100"/>
        <w:ind w:firstLine="420"/>
      </w:pPr>
      <w:r w:rsidRPr="00DD780E">
        <w:t>需要指出的是，前置约束并不意味着用一个综合指标替代所有专项分析。综合扰动指标的优势在于统一表达和可比较性，但其本质上仍是对多场景风险的组织和压缩。在工程应用中，综合指标应与地表沉陷、含水层扰动和上行开采等分量结果配合使用，以避免局部高风险</w:t>
      </w:r>
      <w:proofErr w:type="gramStart"/>
      <w:r w:rsidRPr="00DD780E">
        <w:t>分量被总指标</w:t>
      </w:r>
      <w:proofErr w:type="gramEnd"/>
      <w:r w:rsidRPr="00DD780E">
        <w:t>平均化后弱化其工程意义。因此，前置约束的真正价值不在于</w:t>
      </w:r>
      <w:r w:rsidRPr="00DD780E">
        <w:t>“</w:t>
      </w:r>
      <w:r w:rsidRPr="00DD780E">
        <w:t>用一个指标代替所有问题</w:t>
      </w:r>
      <w:r w:rsidRPr="00DD780E">
        <w:t>”</w:t>
      </w:r>
      <w:r w:rsidRPr="00DD780E">
        <w:t>，而在于为采区规划建立一个统一、可计算、可比较的风险入口，在此基础上再结合具体场景开展分量复核和工程判断。</w:t>
      </w:r>
    </w:p>
    <w:p w14:paraId="70BCFE96" w14:textId="77777777" w:rsidR="00DD780E" w:rsidRPr="00DD780E" w:rsidRDefault="00DD780E" w:rsidP="00DD780E">
      <w:pPr>
        <w:pStyle w:val="100"/>
        <w:ind w:firstLine="420"/>
      </w:pPr>
      <w:r w:rsidRPr="00DD780E">
        <w:t>综上，本文所强调的多</w:t>
      </w:r>
      <w:proofErr w:type="gramStart"/>
      <w:r w:rsidRPr="00DD780E">
        <w:t>场景覆岩扰动</w:t>
      </w:r>
      <w:proofErr w:type="gramEnd"/>
      <w:r w:rsidRPr="00DD780E">
        <w:t>前置约束，本质上是对采区规划流程的一次重构：由</w:t>
      </w:r>
      <w:r w:rsidRPr="00DD780E">
        <w:t>“</w:t>
      </w:r>
      <w:r w:rsidRPr="00DD780E">
        <w:t>先布局、后校核</w:t>
      </w:r>
      <w:r w:rsidRPr="00DD780E">
        <w:t>”</w:t>
      </w:r>
      <w:r w:rsidRPr="00DD780E">
        <w:t>的串行模式，转向</w:t>
      </w:r>
      <w:r w:rsidRPr="00DD780E">
        <w:t>“</w:t>
      </w:r>
      <w:r w:rsidRPr="00DD780E">
        <w:t>风险约束、参数场和规划变量同步参与</w:t>
      </w:r>
      <w:r w:rsidRPr="00DD780E">
        <w:t>”</w:t>
      </w:r>
      <w:r w:rsidRPr="00DD780E">
        <w:t>的协同模式。研究区样例表明，这种重构能够把图层级风险信息转化为</w:t>
      </w:r>
      <w:proofErr w:type="gramStart"/>
      <w:r w:rsidRPr="00DD780E">
        <w:t>方案级统计</w:t>
      </w:r>
      <w:proofErr w:type="gramEnd"/>
      <w:r w:rsidRPr="00DD780E">
        <w:t>证据，并使不同目标偏好下的候选方案在统一口径下完成比较与优选，从而提升采区规划的定量化水平和决策透明度。</w:t>
      </w:r>
      <w:r w:rsidRPr="00DD780E">
        <w:t xml:space="preserve"> </w:t>
      </w:r>
    </w:p>
    <w:p w14:paraId="3CD0B3B7" w14:textId="77777777" w:rsidR="00A202FB" w:rsidRDefault="00A202FB" w:rsidP="00DD780E">
      <w:pPr>
        <w:pStyle w:val="100"/>
        <w:keepNext/>
        <w:ind w:firstLineChars="0" w:firstLine="0"/>
        <w:sectPr w:rsidR="00A202FB" w:rsidSect="00A07DBF">
          <w:type w:val="continuous"/>
          <w:pgSz w:w="11906" w:h="16838"/>
          <w:pgMar w:top="1418" w:right="1134" w:bottom="1134" w:left="1134" w:header="720" w:footer="720" w:gutter="0"/>
          <w:cols w:num="2" w:space="720"/>
          <w:docGrid w:linePitch="598"/>
        </w:sectPr>
      </w:pPr>
    </w:p>
    <w:p w14:paraId="46FAA18E" w14:textId="77777777" w:rsidR="00694DA6" w:rsidRPr="00694DA6" w:rsidRDefault="00694DA6" w:rsidP="00694DA6">
      <w:pPr>
        <w:pStyle w:val="12"/>
      </w:pPr>
      <w:r w:rsidRPr="00694DA6">
        <w:t xml:space="preserve">3.2 </w:t>
      </w:r>
      <w:r w:rsidRPr="00694DA6">
        <w:t>方法适用边界与工程推广方向</w:t>
      </w:r>
    </w:p>
    <w:p w14:paraId="18149DAE" w14:textId="77777777" w:rsidR="00694DA6" w:rsidRPr="00694DA6" w:rsidRDefault="00694DA6" w:rsidP="00694DA6">
      <w:pPr>
        <w:pStyle w:val="100"/>
        <w:ind w:firstLine="420"/>
      </w:pPr>
      <w:r w:rsidRPr="00694DA6">
        <w:t>尽管研究区样例表明，本文方法能够实现从采区边界、钻孔样点和连续参数场，到</w:t>
      </w:r>
      <w:proofErr w:type="gramStart"/>
      <w:r w:rsidRPr="00694DA6">
        <w:t>综合覆岩扰动</w:t>
      </w:r>
      <w:proofErr w:type="gramEnd"/>
      <w:r w:rsidRPr="00694DA6">
        <w:t>场、候选方案集合及</w:t>
      </w:r>
      <w:proofErr w:type="gramStart"/>
      <w:r w:rsidRPr="00694DA6">
        <w:t>方案级统计</w:t>
      </w:r>
      <w:proofErr w:type="gramEnd"/>
      <w:r w:rsidRPr="00694DA6">
        <w:t>结果的连续组织，并支持</w:t>
      </w:r>
      <w:r w:rsidRPr="00694DA6">
        <w:t>A</w:t>
      </w:r>
      <w:r w:rsidRPr="00694DA6">
        <w:t>、</w:t>
      </w:r>
      <w:r w:rsidRPr="00694DA6">
        <w:t>B</w:t>
      </w:r>
      <w:r w:rsidRPr="00694DA6">
        <w:t>、</w:t>
      </w:r>
      <w:r w:rsidRPr="00694DA6">
        <w:t>C</w:t>
      </w:r>
      <w:r w:rsidRPr="00694DA6">
        <w:t>三类方案在统一口径下的比较，但当前结果仍主要属于样</w:t>
      </w:r>
      <w:proofErr w:type="gramStart"/>
      <w:r w:rsidRPr="00694DA6">
        <w:t>例条件</w:t>
      </w:r>
      <w:proofErr w:type="gramEnd"/>
      <w:r w:rsidRPr="00694DA6">
        <w:t>下的方法验证。也就是说，本文已经证明多</w:t>
      </w:r>
      <w:proofErr w:type="gramStart"/>
      <w:r w:rsidRPr="00694DA6">
        <w:t>场景覆岩扰动</w:t>
      </w:r>
      <w:proofErr w:type="gramEnd"/>
      <w:r w:rsidRPr="00694DA6">
        <w:t>约束能够进入采区规划过程，并转化为可比较、可复核的</w:t>
      </w:r>
      <w:proofErr w:type="gramStart"/>
      <w:r w:rsidRPr="00694DA6">
        <w:t>方案级</w:t>
      </w:r>
      <w:proofErr w:type="gramEnd"/>
      <w:r w:rsidRPr="00694DA6">
        <w:t>指标；但这一结果尚不足以直接等同于真实矿井条件下的</w:t>
      </w:r>
      <w:proofErr w:type="gramStart"/>
      <w:r w:rsidRPr="00694DA6">
        <w:t>最终工程</w:t>
      </w:r>
      <w:proofErr w:type="gramEnd"/>
      <w:r w:rsidRPr="00694DA6">
        <w:t>优选。对这一</w:t>
      </w:r>
      <w:r w:rsidRPr="00694DA6">
        <w:t>边界的明确，有助于将本文方法定位为</w:t>
      </w:r>
      <w:r w:rsidRPr="00694DA6">
        <w:t>“</w:t>
      </w:r>
      <w:r w:rsidRPr="00694DA6">
        <w:t>规划方法与决策支撑工具</w:t>
      </w:r>
      <w:r w:rsidRPr="00694DA6">
        <w:t>”</w:t>
      </w:r>
      <w:r w:rsidRPr="00694DA6">
        <w:t>，而不是</w:t>
      </w:r>
      <w:r w:rsidRPr="00694DA6">
        <w:t>“</w:t>
      </w:r>
      <w:r w:rsidRPr="00694DA6">
        <w:t>直接替代矿井定案设计的单次求解结果</w:t>
      </w:r>
      <w:r w:rsidRPr="00694DA6">
        <w:t>”</w:t>
      </w:r>
      <w:r w:rsidRPr="00694DA6">
        <w:t>。</w:t>
      </w:r>
      <w:r w:rsidRPr="00694DA6">
        <w:t xml:space="preserve"> </w:t>
      </w:r>
    </w:p>
    <w:p w14:paraId="69F1CE8F" w14:textId="77777777" w:rsidR="00694DA6" w:rsidRPr="00694DA6" w:rsidRDefault="00694DA6" w:rsidP="00694DA6">
      <w:pPr>
        <w:pStyle w:val="100"/>
        <w:ind w:firstLine="420"/>
      </w:pPr>
      <w:r w:rsidRPr="00694DA6">
        <w:t>本文方法的适用边界主要体现在</w:t>
      </w:r>
      <w:r w:rsidRPr="00694DA6">
        <w:t>3</w:t>
      </w:r>
      <w:r w:rsidRPr="00694DA6">
        <w:t>个方面。首先，</w:t>
      </w:r>
      <w:proofErr w:type="gramStart"/>
      <w:r w:rsidRPr="00694DA6">
        <w:t>综合覆岩扰动</w:t>
      </w:r>
      <w:proofErr w:type="gramEnd"/>
      <w:r w:rsidRPr="00694DA6">
        <w:t>指数中的分量权重和统计阈值虽然能够在</w:t>
      </w:r>
      <w:proofErr w:type="gramStart"/>
      <w:r w:rsidRPr="00694DA6">
        <w:t>当前样</w:t>
      </w:r>
      <w:proofErr w:type="gramEnd"/>
      <w:r w:rsidRPr="00694DA6">
        <w:t>例中支持统一比较，但其本质上仍依赖具体工程背景。不同矿区在水文地质条件、保护对象等级、历史沉陷观测和安全制度方面存在明显差异，因此权重与阈值不宜被理解为跨矿区普适常数，而应在工程应用中结合现场</w:t>
      </w:r>
      <w:r w:rsidRPr="00694DA6">
        <w:lastRenderedPageBreak/>
        <w:t>资料重新标定。换言之，本文提出的是统一组织风险的评价框架，而不是为所有矿井预先给出一组固定不变的经验参数。</w:t>
      </w:r>
      <w:r w:rsidRPr="00694DA6">
        <w:t xml:space="preserve"> </w:t>
      </w:r>
    </w:p>
    <w:p w14:paraId="7C8E468C" w14:textId="77777777" w:rsidR="00694DA6" w:rsidRPr="00694DA6" w:rsidRDefault="00694DA6" w:rsidP="00694DA6">
      <w:pPr>
        <w:pStyle w:val="100"/>
        <w:ind w:firstLine="420"/>
      </w:pPr>
      <w:r w:rsidRPr="00694DA6">
        <w:t>其次，当前候选方案集合虽然已经纳入边界煤柱、区段煤柱、工作面宽度、推进长度校核阈值和推进方向等关键约束，但尚未完整纳入断层展布、既有巷道系统、通风运输能力、设备能力和生产制度等现场闭环条件。对于真实矿井而言，这些因素往往会直接影响工作面可实施性、组织强度和接续合理性。因此，本文方法更适合作为</w:t>
      </w:r>
      <w:r w:rsidRPr="00694DA6">
        <w:t>“</w:t>
      </w:r>
      <w:r w:rsidRPr="00694DA6">
        <w:t>初步方案生成与比选</w:t>
      </w:r>
      <w:r w:rsidRPr="00694DA6">
        <w:t>”</w:t>
      </w:r>
      <w:r w:rsidRPr="00694DA6">
        <w:t>的上游工具，而在工程定案阶段，仍需将其与现场生产系统约束进一步耦合，以形成更贴近生产组织实际的规划结果。</w:t>
      </w:r>
      <w:r w:rsidRPr="00694DA6">
        <w:t xml:space="preserve"> </w:t>
      </w:r>
    </w:p>
    <w:p w14:paraId="793559B3" w14:textId="77777777" w:rsidR="00694DA6" w:rsidRPr="00694DA6" w:rsidRDefault="00694DA6" w:rsidP="00694DA6">
      <w:pPr>
        <w:pStyle w:val="100"/>
        <w:ind w:firstLine="420"/>
      </w:pPr>
      <w:r w:rsidRPr="00694DA6">
        <w:t>再次，本文保留了规划结果向接续分析和经济评价传递的接口，但并未在样例结果中展开独立的</w:t>
      </w:r>
      <w:proofErr w:type="gramStart"/>
      <w:r w:rsidRPr="00694DA6">
        <w:t>接续排程和</w:t>
      </w:r>
      <w:proofErr w:type="gramEnd"/>
      <w:r w:rsidRPr="00694DA6">
        <w:t>现金流优选。这意味着，当前研究已经说明规划对象、扰动统计量和后续评价输入之间具有可传递关系，但尚未形成由真实煤价、成本、税费、投资和风险停产参数支撑的经济优选结论。因此，本文中的</w:t>
      </w:r>
      <w:r w:rsidRPr="00694DA6">
        <w:t>“</w:t>
      </w:r>
      <w:r w:rsidRPr="00694DA6">
        <w:t>后续评价输入</w:t>
      </w:r>
      <w:r w:rsidRPr="00694DA6">
        <w:t>”</w:t>
      </w:r>
      <w:r w:rsidRPr="00694DA6">
        <w:t>应理解为方法链条的延展方向，而不是本次样例验证中的直接结论。</w:t>
      </w:r>
      <w:r w:rsidRPr="00694DA6">
        <w:t xml:space="preserve"> </w:t>
      </w:r>
    </w:p>
    <w:p w14:paraId="0EBF1726" w14:textId="77777777" w:rsidR="00694DA6" w:rsidRPr="00694DA6" w:rsidRDefault="00694DA6" w:rsidP="00694DA6">
      <w:pPr>
        <w:pStyle w:val="100"/>
        <w:ind w:firstLine="420"/>
      </w:pPr>
      <w:r w:rsidRPr="00694DA6">
        <w:t>除上述工程边界外，连续</w:t>
      </w:r>
      <w:proofErr w:type="gramStart"/>
      <w:r w:rsidRPr="00694DA6">
        <w:t>参数场本身</w:t>
      </w:r>
      <w:proofErr w:type="gramEnd"/>
      <w:r w:rsidRPr="00694DA6">
        <w:t>的构建质量也会影响规划结果的稳定性。</w:t>
      </w:r>
      <w:proofErr w:type="gramStart"/>
      <w:r w:rsidRPr="00694DA6">
        <w:t>当前样</w:t>
      </w:r>
      <w:proofErr w:type="gramEnd"/>
      <w:r w:rsidRPr="00694DA6">
        <w:t>例以煤层厚度场作为主要展示对象，岩石硬度、瓦斯含量和涌水量等属性尚未作为</w:t>
      </w:r>
      <w:proofErr w:type="gramStart"/>
      <w:r w:rsidRPr="00694DA6">
        <w:t>独立图层展开</w:t>
      </w:r>
      <w:proofErr w:type="gramEnd"/>
      <w:r w:rsidRPr="00694DA6">
        <w:t>验证；同时，钻孔数量、空间分布、插值方法、网格尺度和异常值处理均可能改变</w:t>
      </w:r>
      <w:proofErr w:type="gramStart"/>
      <w:r w:rsidRPr="00694DA6">
        <w:t>参数场</w:t>
      </w:r>
      <w:proofErr w:type="gramEnd"/>
      <w:r w:rsidRPr="00694DA6">
        <w:t>形态，进而影响覆盖率、资源回收评分和</w:t>
      </w:r>
      <w:proofErr w:type="gramStart"/>
      <w:r w:rsidRPr="00694DA6">
        <w:t>覆岩</w:t>
      </w:r>
      <w:proofErr w:type="gramEnd"/>
      <w:r w:rsidRPr="00694DA6">
        <w:t>扰动统计结果。因此，在后续工程推广中，还应补充交叉验证、插值误差分析、网格尺度敏感性分析，以及不同插值方法对方案排序影响的对照，以进一步提高方法在复杂矿区条件下的稳健性。</w:t>
      </w:r>
      <w:r w:rsidRPr="00694DA6">
        <w:t xml:space="preserve"> </w:t>
      </w:r>
    </w:p>
    <w:p w14:paraId="53E7CEAA" w14:textId="77777777" w:rsidR="00694DA6" w:rsidRPr="00694DA6" w:rsidRDefault="00694DA6" w:rsidP="00694DA6">
      <w:pPr>
        <w:pStyle w:val="100"/>
        <w:ind w:firstLine="420"/>
      </w:pPr>
      <w:r w:rsidRPr="00694DA6">
        <w:t>从工程推广方向看，本文方法后续可沿两个层面深化。一方面，应从</w:t>
      </w:r>
      <w:proofErr w:type="gramStart"/>
      <w:r w:rsidRPr="00694DA6">
        <w:t>单一样例</w:t>
      </w:r>
      <w:proofErr w:type="gramEnd"/>
      <w:r w:rsidRPr="00694DA6">
        <w:t>验证转向多矿井对照验证，补充传统经验方案、</w:t>
      </w:r>
      <w:proofErr w:type="gramStart"/>
      <w:r w:rsidRPr="00694DA6">
        <w:t>无综合</w:t>
      </w:r>
      <w:proofErr w:type="gramEnd"/>
      <w:r w:rsidRPr="00694DA6">
        <w:t>扰动约束方案以及不同</w:t>
      </w:r>
      <w:proofErr w:type="gramStart"/>
      <w:r w:rsidRPr="00694DA6">
        <w:t>参数场</w:t>
      </w:r>
      <w:proofErr w:type="gramEnd"/>
      <w:r w:rsidRPr="00694DA6">
        <w:t>构建方案之间的基准比较，以检验本文方法在不同地质条件和约束背景下的适用性与优势范围。另一方面，应将</w:t>
      </w:r>
      <w:proofErr w:type="gramStart"/>
      <w:r w:rsidRPr="00694DA6">
        <w:t>统一覆岩扰动</w:t>
      </w:r>
      <w:proofErr w:type="gramEnd"/>
      <w:r w:rsidRPr="00694DA6">
        <w:t>约束进一步嵌入真实接续排程、参数调控和经济评价流程，考察其对风险暴露、资源回收水平和组织效率的综合影响，使本文方法由</w:t>
      </w:r>
      <w:r w:rsidRPr="00694DA6">
        <w:t>“</w:t>
      </w:r>
      <w:r w:rsidRPr="00694DA6">
        <w:t>可复核的规划链路</w:t>
      </w:r>
      <w:r w:rsidRPr="00694DA6">
        <w:t>”</w:t>
      </w:r>
      <w:r w:rsidRPr="00694DA6">
        <w:t>进一步发展为</w:t>
      </w:r>
      <w:r w:rsidRPr="00694DA6">
        <w:t>“</w:t>
      </w:r>
      <w:r w:rsidRPr="00694DA6">
        <w:t>可辅助工程方案论证的决策工具</w:t>
      </w:r>
      <w:r w:rsidRPr="00694DA6">
        <w:t>”</w:t>
      </w:r>
      <w:r w:rsidRPr="00694DA6">
        <w:t>。</w:t>
      </w:r>
      <w:r w:rsidRPr="00694DA6">
        <w:t xml:space="preserve"> </w:t>
      </w:r>
    </w:p>
    <w:p w14:paraId="7EF042FE" w14:textId="77777777" w:rsidR="00694DA6" w:rsidRPr="00694DA6" w:rsidRDefault="00694DA6" w:rsidP="00694DA6">
      <w:pPr>
        <w:pStyle w:val="100"/>
        <w:ind w:firstLine="420"/>
      </w:pPr>
      <w:r w:rsidRPr="00694DA6">
        <w:t>综上，本文方法的当前价值主要在于：将采区</w:t>
      </w:r>
      <w:r w:rsidRPr="00694DA6">
        <w:t>规划中分散的地质参数、扰动约束和候选方案比较问题，统一转化为可计算、可比较、可复核的规划对象链。其工程推广并不取决于是否一次性输出</w:t>
      </w:r>
      <w:r w:rsidRPr="00694DA6">
        <w:t>“</w:t>
      </w:r>
      <w:r w:rsidRPr="00694DA6">
        <w:t>最终最优方案</w:t>
      </w:r>
      <w:r w:rsidRPr="00694DA6">
        <w:t>”</w:t>
      </w:r>
      <w:r w:rsidRPr="00694DA6">
        <w:t>，而取决于能否在不同矿区和不同约束背景下，持续提供统一、透明且可验证的方案比较依据。对于采区规划这类前端决策问题而言，这一能力本身就具有重要的工程意义。</w:t>
      </w:r>
    </w:p>
    <w:p w14:paraId="6A4B7F7C" w14:textId="77777777" w:rsidR="00694DA6" w:rsidRPr="00694DA6" w:rsidRDefault="00694DA6" w:rsidP="00694DA6">
      <w:pPr>
        <w:pStyle w:val="11"/>
      </w:pPr>
      <w:r w:rsidRPr="00694DA6">
        <w:t xml:space="preserve">4 </w:t>
      </w:r>
      <w:r w:rsidRPr="00694DA6">
        <w:t>结论</w:t>
      </w:r>
    </w:p>
    <w:p w14:paraId="6D669CAC" w14:textId="77777777" w:rsidR="00694DA6" w:rsidRPr="00694DA6" w:rsidRDefault="00694DA6" w:rsidP="00694DA6">
      <w:pPr>
        <w:pStyle w:val="100"/>
        <w:ind w:firstLine="420"/>
      </w:pPr>
      <w:r w:rsidRPr="00694DA6">
        <w:t>1</w:t>
      </w:r>
      <w:r w:rsidRPr="00694DA6">
        <w:t>）针对采区规划中地质信息离散、风险约束异构以及方案比较口径不统一等问题，本文提出了一种多</w:t>
      </w:r>
      <w:proofErr w:type="gramStart"/>
      <w:r w:rsidRPr="00694DA6">
        <w:t>场景覆岩扰动</w:t>
      </w:r>
      <w:proofErr w:type="gramEnd"/>
      <w:r w:rsidRPr="00694DA6">
        <w:t>约束下采区协同规划方法，构建了</w:t>
      </w:r>
      <w:r w:rsidRPr="00694DA6">
        <w:t>“</w:t>
      </w:r>
      <w:r w:rsidRPr="00694DA6">
        <w:t>有效布置域</w:t>
      </w:r>
      <w:r w:rsidRPr="00694DA6">
        <w:t>—</w:t>
      </w:r>
      <w:r w:rsidRPr="00694DA6">
        <w:t>连续参数场</w:t>
      </w:r>
      <w:r w:rsidRPr="00694DA6">
        <w:t>—</w:t>
      </w:r>
      <w:r w:rsidRPr="00694DA6">
        <w:t>综合覆岩扰动场</w:t>
      </w:r>
      <w:r w:rsidRPr="00694DA6">
        <w:t>—</w:t>
      </w:r>
      <w:r w:rsidRPr="00694DA6">
        <w:t>候选方案集合</w:t>
      </w:r>
      <w:r w:rsidRPr="00694DA6">
        <w:t>—</w:t>
      </w:r>
      <w:r w:rsidRPr="00694DA6">
        <w:t>方案级统计比较</w:t>
      </w:r>
      <w:r w:rsidRPr="00694DA6">
        <w:t>”</w:t>
      </w:r>
      <w:r w:rsidRPr="00694DA6">
        <w:t>的方法链路，实现</w:t>
      </w:r>
      <w:proofErr w:type="gramStart"/>
      <w:r w:rsidRPr="00694DA6">
        <w:t>了覆岩扰动</w:t>
      </w:r>
      <w:proofErr w:type="gramEnd"/>
      <w:r w:rsidRPr="00694DA6">
        <w:t>评价结果向采区规划约束的前置转化。</w:t>
      </w:r>
    </w:p>
    <w:p w14:paraId="14957084" w14:textId="77777777" w:rsidR="00694DA6" w:rsidRPr="00694DA6" w:rsidRDefault="00694DA6" w:rsidP="00694DA6">
      <w:pPr>
        <w:pStyle w:val="100"/>
        <w:ind w:firstLine="420"/>
      </w:pPr>
      <w:r w:rsidRPr="00694DA6">
        <w:t>2</w:t>
      </w:r>
      <w:r w:rsidRPr="00694DA6">
        <w:t>）通过将地表沉陷、含水层扰动和上行开采等多场景风险统一组织</w:t>
      </w:r>
      <w:proofErr w:type="gramStart"/>
      <w:r w:rsidRPr="00694DA6">
        <w:t>为覆岩</w:t>
      </w:r>
      <w:proofErr w:type="gramEnd"/>
      <w:r w:rsidRPr="00694DA6">
        <w:t>扰动指数，明确了风险分量归一化、权重聚合、阈值统计以及</w:t>
      </w:r>
      <w:proofErr w:type="gramStart"/>
      <w:r w:rsidRPr="00694DA6">
        <w:t>方案级</w:t>
      </w:r>
      <w:proofErr w:type="gramEnd"/>
      <w:r w:rsidRPr="00694DA6">
        <w:t>扰动均值、</w:t>
      </w:r>
      <w:r w:rsidRPr="00694DA6">
        <w:t>90%</w:t>
      </w:r>
      <w:r w:rsidRPr="00694DA6">
        <w:t>分位数和超阈值暴露比例等计算口径，为异构风险进入采区规划比选提供了统一表达框架。</w:t>
      </w:r>
    </w:p>
    <w:p w14:paraId="440A3F82" w14:textId="77777777" w:rsidR="00694DA6" w:rsidRPr="00694DA6" w:rsidRDefault="00694DA6" w:rsidP="00694DA6">
      <w:pPr>
        <w:pStyle w:val="100"/>
        <w:ind w:firstLine="420"/>
      </w:pPr>
      <w:r w:rsidRPr="00694DA6">
        <w:t>3</w:t>
      </w:r>
      <w:r w:rsidRPr="00694DA6">
        <w:t>）研究区样例结果表明，在同</w:t>
      </w:r>
      <w:proofErr w:type="gramStart"/>
      <w:r w:rsidRPr="00694DA6">
        <w:t>一基础</w:t>
      </w:r>
      <w:proofErr w:type="gramEnd"/>
      <w:r w:rsidRPr="00694DA6">
        <w:t>输入、同一几何底线约束和同一综合</w:t>
      </w:r>
      <w:proofErr w:type="gramStart"/>
      <w:r w:rsidRPr="00694DA6">
        <w:t>覆岩扰动场</w:t>
      </w:r>
      <w:proofErr w:type="gramEnd"/>
      <w:r w:rsidRPr="00694DA6">
        <w:t>条件下，不同目标偏好对应的候选方案在覆盖率、资源利用和扰动暴露之间存在明显权衡。工程效率优先方案</w:t>
      </w:r>
      <w:r w:rsidRPr="00694DA6">
        <w:t>A</w:t>
      </w:r>
      <w:r w:rsidRPr="00694DA6">
        <w:t>、资源回收优先方案</w:t>
      </w:r>
      <w:r w:rsidRPr="00694DA6">
        <w:t>B</w:t>
      </w:r>
      <w:r w:rsidRPr="00694DA6">
        <w:t>和联合判据下低扰动候选方案</w:t>
      </w:r>
      <w:r w:rsidRPr="00694DA6">
        <w:t>C</w:t>
      </w:r>
      <w:r w:rsidRPr="00694DA6">
        <w:t>的扰动均值分别为</w:t>
      </w:r>
      <w:r w:rsidRPr="00694DA6">
        <w:t>0.4463</w:t>
      </w:r>
      <w:r w:rsidRPr="00694DA6">
        <w:t>、</w:t>
      </w:r>
      <w:r w:rsidRPr="00694DA6">
        <w:t>0.4552</w:t>
      </w:r>
      <w:r w:rsidRPr="00694DA6">
        <w:t>和</w:t>
      </w:r>
      <w:r w:rsidRPr="00694DA6">
        <w:t>0.4416</w:t>
      </w:r>
      <w:r w:rsidRPr="00694DA6">
        <w:t>，</w:t>
      </w:r>
      <w:r w:rsidRPr="00694DA6">
        <w:t>90%</w:t>
      </w:r>
      <w:r w:rsidRPr="00694DA6">
        <w:t>分位数分别为</w:t>
      </w:r>
      <w:r w:rsidRPr="00694DA6">
        <w:t>0.6407</w:t>
      </w:r>
      <w:r w:rsidRPr="00694DA6">
        <w:t>、</w:t>
      </w:r>
      <w:r w:rsidRPr="00694DA6">
        <w:t>0.6462</w:t>
      </w:r>
      <w:r w:rsidRPr="00694DA6">
        <w:t>和</w:t>
      </w:r>
      <w:r w:rsidRPr="00694DA6">
        <w:t>0.6353</w:t>
      </w:r>
      <w:r w:rsidRPr="00694DA6">
        <w:t>，</w:t>
      </w:r>
      <w:proofErr w:type="gramStart"/>
      <w:r w:rsidRPr="00694DA6">
        <w:t>扰动值</w:t>
      </w:r>
      <w:proofErr w:type="gramEnd"/>
      <w:r w:rsidRPr="00694DA6">
        <w:t>大于</w:t>
      </w:r>
      <w:r w:rsidRPr="00694DA6">
        <w:t>0.70</w:t>
      </w:r>
      <w:r w:rsidRPr="00694DA6">
        <w:t>的比例分别为</w:t>
      </w:r>
      <w:r w:rsidRPr="00694DA6">
        <w:t>0.44%</w:t>
      </w:r>
      <w:r w:rsidRPr="00694DA6">
        <w:t>、</w:t>
      </w:r>
      <w:r w:rsidRPr="00694DA6">
        <w:t>0.56%</w:t>
      </w:r>
      <w:r w:rsidRPr="00694DA6">
        <w:t>和</w:t>
      </w:r>
      <w:r w:rsidRPr="00694DA6">
        <w:t>1.22%</w:t>
      </w:r>
      <w:r w:rsidRPr="00694DA6">
        <w:t>。其中，低扰动候选的判定依据为扰动均值、</w:t>
      </w:r>
      <w:r w:rsidRPr="00694DA6">
        <w:t>90%</w:t>
      </w:r>
      <w:r w:rsidRPr="00694DA6">
        <w:t>分位数和风险综合得分的联合判据，而非单一阈值下超</w:t>
      </w:r>
      <w:proofErr w:type="gramStart"/>
      <w:r w:rsidRPr="00694DA6">
        <w:t>限比例</w:t>
      </w:r>
      <w:proofErr w:type="gramEnd"/>
      <w:r w:rsidRPr="00694DA6">
        <w:t>最小。</w:t>
      </w:r>
    </w:p>
    <w:p w14:paraId="583349F9" w14:textId="77777777" w:rsidR="00694DA6" w:rsidRPr="00694DA6" w:rsidRDefault="00694DA6" w:rsidP="00694DA6">
      <w:pPr>
        <w:pStyle w:val="100"/>
        <w:ind w:firstLine="420"/>
      </w:pPr>
      <w:r w:rsidRPr="00694DA6">
        <w:t>4</w:t>
      </w:r>
      <w:r w:rsidRPr="00694DA6">
        <w:t>）阈值敏感性和权重敏感性分析表明，超阈值暴露比例对统计阈值设定较为敏感，不能脱离扰动均值和</w:t>
      </w:r>
      <w:r w:rsidRPr="00694DA6">
        <w:t>90%</w:t>
      </w:r>
      <w:r w:rsidRPr="00694DA6">
        <w:t>分位数单独作为优选依据；在</w:t>
      </w:r>
      <w:proofErr w:type="gramStart"/>
      <w:r w:rsidRPr="00694DA6">
        <w:t>当前样</w:t>
      </w:r>
      <w:proofErr w:type="gramEnd"/>
      <w:r w:rsidRPr="00694DA6">
        <w:t>例和候选集合范围内，</w:t>
      </w:r>
      <w:r w:rsidRPr="00694DA6">
        <w:t>C</w:t>
      </w:r>
      <w:r w:rsidRPr="00694DA6">
        <w:t>方案在不同权重情景下的风险综合得分始终低于</w:t>
      </w:r>
      <w:r w:rsidRPr="00694DA6">
        <w:t>A</w:t>
      </w:r>
      <w:r w:rsidRPr="00694DA6">
        <w:t>、</w:t>
      </w:r>
      <w:r w:rsidRPr="00694DA6">
        <w:t>B</w:t>
      </w:r>
      <w:r w:rsidRPr="00694DA6">
        <w:t>方案，表明联合判据下的低扰动候选具有较好的内部稳定性。</w:t>
      </w:r>
    </w:p>
    <w:p w14:paraId="42A9B6F0" w14:textId="77777777" w:rsidR="00694DA6" w:rsidRPr="00694DA6" w:rsidRDefault="00694DA6" w:rsidP="00694DA6">
      <w:pPr>
        <w:pStyle w:val="100"/>
        <w:ind w:firstLine="420"/>
      </w:pPr>
      <w:r w:rsidRPr="00694DA6">
        <w:t>5</w:t>
      </w:r>
      <w:r w:rsidRPr="00694DA6">
        <w:t>）本文结果主要说明，多</w:t>
      </w:r>
      <w:proofErr w:type="gramStart"/>
      <w:r w:rsidRPr="00694DA6">
        <w:t>场景覆岩扰动</w:t>
      </w:r>
      <w:proofErr w:type="gramEnd"/>
      <w:r w:rsidRPr="00694DA6">
        <w:t>前置约束能够将图层级风险信息转化为可复核的</w:t>
      </w:r>
      <w:proofErr w:type="gramStart"/>
      <w:r w:rsidRPr="00694DA6">
        <w:t>方案级统计</w:t>
      </w:r>
      <w:proofErr w:type="gramEnd"/>
      <w:r w:rsidRPr="00694DA6">
        <w:t>指标，并支撑采区规划中不同偏好方案的统一比较与优选。当前研究仍属于方法验证和样例应用阶段，真实矿井条件下的工程推广还需进一步结合现场约束、多矿井对照验证以及接续与</w:t>
      </w:r>
      <w:r w:rsidRPr="00694DA6">
        <w:lastRenderedPageBreak/>
        <w:t>经济评价过程开展深化研究。</w:t>
      </w:r>
    </w:p>
    <w:p w14:paraId="7E52FE41" w14:textId="77777777" w:rsidR="00351EC4" w:rsidRPr="00351EC4" w:rsidRDefault="00351EC4" w:rsidP="00351EC4">
      <w:pPr>
        <w:pStyle w:val="11"/>
      </w:pPr>
      <w:r w:rsidRPr="00351EC4">
        <w:t>参考文献</w:t>
      </w:r>
    </w:p>
    <w:p w14:paraId="50F10C0F" w14:textId="77777777" w:rsidR="00351EC4" w:rsidRPr="00351EC4" w:rsidRDefault="00351EC4" w:rsidP="00351EC4">
      <w:pPr>
        <w:pStyle w:val="17"/>
      </w:pPr>
      <w:bookmarkStart w:id="18" w:name="REF_001"/>
      <w:r w:rsidRPr="00351EC4">
        <w:t>[1]</w:t>
      </w:r>
      <w:r w:rsidRPr="00351EC4">
        <w:tab/>
        <w:t xml:space="preserve">WU </w:t>
      </w:r>
      <w:proofErr w:type="spellStart"/>
      <w:r w:rsidRPr="00351EC4">
        <w:t>Xuefei</w:t>
      </w:r>
      <w:proofErr w:type="spellEnd"/>
      <w:r w:rsidRPr="00351EC4">
        <w:t xml:space="preserve">, LI </w:t>
      </w:r>
      <w:proofErr w:type="spellStart"/>
      <w:r w:rsidRPr="00351EC4">
        <w:t>Hongxia</w:t>
      </w:r>
      <w:proofErr w:type="spellEnd"/>
      <w:r w:rsidRPr="00351EC4">
        <w:t>, WANG Baoli, et al. Review on improvements to the safety level of coal mines by applying intelligent coal mining[J]. Sustainability, 2022, 14(24): 16400. DOI: 10.3390/su142416400.</w:t>
      </w:r>
      <w:bookmarkEnd w:id="18"/>
    </w:p>
    <w:p w14:paraId="4A686C72" w14:textId="77777777" w:rsidR="00351EC4" w:rsidRPr="00351EC4" w:rsidRDefault="00351EC4" w:rsidP="00351EC4">
      <w:pPr>
        <w:pStyle w:val="17"/>
      </w:pPr>
      <w:bookmarkStart w:id="19" w:name="REF_002"/>
      <w:r w:rsidRPr="00351EC4">
        <w:t>[2]</w:t>
      </w:r>
      <w:r w:rsidRPr="00351EC4">
        <w:tab/>
        <w:t xml:space="preserve">WANG </w:t>
      </w:r>
      <w:proofErr w:type="spellStart"/>
      <w:r w:rsidRPr="00351EC4">
        <w:t>Guofa</w:t>
      </w:r>
      <w:proofErr w:type="spellEnd"/>
      <w:r w:rsidRPr="00351EC4">
        <w:t xml:space="preserve">, REN </w:t>
      </w:r>
      <w:proofErr w:type="spellStart"/>
      <w:r w:rsidRPr="00351EC4">
        <w:t>Huaiwei</w:t>
      </w:r>
      <w:proofErr w:type="spellEnd"/>
      <w:r w:rsidRPr="00351EC4">
        <w:t>, ZHAO Guorui, et al. Research and practice of intelligent coal mine technology systems in China[J]. International Journal of Coal Science &amp; Technology, 2022, 9(1). DOI: 10.1007/s40789-022-00491-3.</w:t>
      </w:r>
      <w:bookmarkEnd w:id="19"/>
    </w:p>
    <w:p w14:paraId="231538D1" w14:textId="77777777" w:rsidR="00351EC4" w:rsidRPr="00351EC4" w:rsidRDefault="00351EC4" w:rsidP="00351EC4">
      <w:pPr>
        <w:pStyle w:val="17"/>
      </w:pPr>
      <w:bookmarkStart w:id="20" w:name="REF_003"/>
      <w:r w:rsidRPr="00351EC4">
        <w:t>[3]</w:t>
      </w:r>
      <w:r w:rsidRPr="00351EC4">
        <w:tab/>
        <w:t xml:space="preserve">ZHANG </w:t>
      </w:r>
      <w:proofErr w:type="spellStart"/>
      <w:r w:rsidRPr="00351EC4">
        <w:t>Kexue</w:t>
      </w:r>
      <w:proofErr w:type="spellEnd"/>
      <w:r w:rsidRPr="00351EC4">
        <w:t>, KANG Lei, CHEN Xuexi, et al. A review of intelligent unmanned mining current situation and development trend[J]. Energies, 2022, 15(2): 513. DOI: 10.3390/en15020513.</w:t>
      </w:r>
      <w:bookmarkEnd w:id="20"/>
    </w:p>
    <w:p w14:paraId="003176E2" w14:textId="77777777" w:rsidR="00351EC4" w:rsidRPr="00351EC4" w:rsidRDefault="00351EC4" w:rsidP="00351EC4">
      <w:pPr>
        <w:pStyle w:val="17"/>
      </w:pPr>
      <w:bookmarkStart w:id="21" w:name="REF_004"/>
      <w:r w:rsidRPr="00351EC4">
        <w:t>[4]</w:t>
      </w:r>
      <w:r w:rsidRPr="00351EC4">
        <w:tab/>
      </w:r>
      <w:r w:rsidRPr="00351EC4">
        <w:t>许家林</w:t>
      </w:r>
      <w:r w:rsidRPr="00351EC4">
        <w:t xml:space="preserve">. </w:t>
      </w:r>
      <w:r w:rsidRPr="00351EC4">
        <w:t>煤矿绿色开采</w:t>
      </w:r>
      <w:r w:rsidRPr="00351EC4">
        <w:t>20</w:t>
      </w:r>
      <w:r w:rsidRPr="00351EC4">
        <w:t>年研究及进展</w:t>
      </w:r>
      <w:r w:rsidRPr="00351EC4">
        <w:t xml:space="preserve">[J]. </w:t>
      </w:r>
      <w:r w:rsidRPr="00351EC4">
        <w:t>煤炭科学技术</w:t>
      </w:r>
      <w:r w:rsidRPr="00351EC4">
        <w:t>, 2020, 48(9): 1-15. DOI: 10.13199/j.cnki.cst.2020.09.001.</w:t>
      </w:r>
      <w:bookmarkEnd w:id="21"/>
    </w:p>
    <w:p w14:paraId="04AA5E1F" w14:textId="77777777" w:rsidR="00351EC4" w:rsidRPr="00351EC4" w:rsidRDefault="00351EC4" w:rsidP="00351EC4">
      <w:pPr>
        <w:pStyle w:val="17"/>
      </w:pPr>
      <w:bookmarkStart w:id="22" w:name="REF_005"/>
      <w:r w:rsidRPr="00351EC4">
        <w:t>[5]</w:t>
      </w:r>
      <w:r w:rsidRPr="00351EC4">
        <w:tab/>
      </w:r>
      <w:r w:rsidRPr="00351EC4">
        <w:t>王国法</w:t>
      </w:r>
      <w:r w:rsidRPr="00351EC4">
        <w:t xml:space="preserve">, </w:t>
      </w:r>
      <w:proofErr w:type="gramStart"/>
      <w:r w:rsidRPr="00351EC4">
        <w:t>杜毅博</w:t>
      </w:r>
      <w:proofErr w:type="gramEnd"/>
      <w:r w:rsidRPr="00351EC4">
        <w:t xml:space="preserve">. </w:t>
      </w:r>
      <w:r w:rsidRPr="00351EC4">
        <w:t>煤矿智能化标准体系框架与建设思路</w:t>
      </w:r>
      <w:r w:rsidRPr="00351EC4">
        <w:t xml:space="preserve">[J]. </w:t>
      </w:r>
      <w:r w:rsidRPr="00351EC4">
        <w:t>煤炭科学技术</w:t>
      </w:r>
      <w:r w:rsidRPr="00351EC4">
        <w:t>, 2020, 48(1): 1-9. DOI: 10.13199/j.cnki.cst.2020.01.001.</w:t>
      </w:r>
      <w:bookmarkEnd w:id="22"/>
    </w:p>
    <w:p w14:paraId="16E99093" w14:textId="77777777" w:rsidR="00351EC4" w:rsidRPr="00351EC4" w:rsidRDefault="00351EC4" w:rsidP="00351EC4">
      <w:pPr>
        <w:pStyle w:val="17"/>
      </w:pPr>
      <w:bookmarkStart w:id="23" w:name="REF_006"/>
      <w:r w:rsidRPr="00351EC4">
        <w:t>[6]</w:t>
      </w:r>
      <w:r w:rsidRPr="00351EC4">
        <w:tab/>
      </w:r>
      <w:r w:rsidRPr="00351EC4">
        <w:t>王国法</w:t>
      </w:r>
      <w:r w:rsidRPr="00351EC4">
        <w:t xml:space="preserve">, </w:t>
      </w:r>
      <w:proofErr w:type="gramStart"/>
      <w:r w:rsidRPr="00351EC4">
        <w:t>任怀伟</w:t>
      </w:r>
      <w:proofErr w:type="gramEnd"/>
      <w:r w:rsidRPr="00351EC4">
        <w:t xml:space="preserve">, </w:t>
      </w:r>
      <w:r w:rsidRPr="00351EC4">
        <w:t>庞义辉</w:t>
      </w:r>
      <w:r w:rsidRPr="00351EC4">
        <w:t xml:space="preserve">, </w:t>
      </w:r>
      <w:r w:rsidRPr="00351EC4">
        <w:t>等</w:t>
      </w:r>
      <w:r w:rsidRPr="00351EC4">
        <w:t xml:space="preserve">. </w:t>
      </w:r>
      <w:r w:rsidRPr="00351EC4">
        <w:t>煤矿智能化</w:t>
      </w:r>
      <w:r w:rsidRPr="00351EC4">
        <w:t>(</w:t>
      </w:r>
      <w:r w:rsidRPr="00351EC4">
        <w:t>初级阶段</w:t>
      </w:r>
      <w:r w:rsidRPr="00351EC4">
        <w:t>)</w:t>
      </w:r>
      <w:r w:rsidRPr="00351EC4">
        <w:t>技术体系研究与工程进展</w:t>
      </w:r>
      <w:r w:rsidRPr="00351EC4">
        <w:t xml:space="preserve">[J]. </w:t>
      </w:r>
      <w:r w:rsidRPr="00351EC4">
        <w:t>煤炭科学技术</w:t>
      </w:r>
      <w:r w:rsidRPr="00351EC4">
        <w:t>, 2020, 48(7): 1-27. DOI: 10.13199/j.cnki.cst.2020.07.001.</w:t>
      </w:r>
      <w:bookmarkEnd w:id="23"/>
    </w:p>
    <w:p w14:paraId="195C19ED" w14:textId="77777777" w:rsidR="00351EC4" w:rsidRPr="00351EC4" w:rsidRDefault="00351EC4" w:rsidP="00351EC4">
      <w:pPr>
        <w:pStyle w:val="17"/>
      </w:pPr>
      <w:bookmarkStart w:id="24" w:name="REF_007"/>
      <w:r w:rsidRPr="00351EC4">
        <w:t>[7]</w:t>
      </w:r>
      <w:r w:rsidRPr="00351EC4">
        <w:tab/>
      </w:r>
      <w:proofErr w:type="gramStart"/>
      <w:r w:rsidRPr="00351EC4">
        <w:t>李首滨</w:t>
      </w:r>
      <w:proofErr w:type="gramEnd"/>
      <w:r w:rsidRPr="00351EC4">
        <w:t xml:space="preserve">. </w:t>
      </w:r>
      <w:r w:rsidRPr="00351EC4">
        <w:t>智能化开采研究进展与发展趋势</w:t>
      </w:r>
      <w:r w:rsidRPr="00351EC4">
        <w:t xml:space="preserve">[J]. </w:t>
      </w:r>
      <w:r w:rsidRPr="00351EC4">
        <w:t>煤炭科学技术</w:t>
      </w:r>
      <w:r w:rsidRPr="00351EC4">
        <w:t>, 2019, 47(10): 102-110. DOI: 10.13199/j.cnki.cst.2019.10.012.</w:t>
      </w:r>
      <w:bookmarkEnd w:id="24"/>
    </w:p>
    <w:p w14:paraId="7D5B676F" w14:textId="77777777" w:rsidR="00351EC4" w:rsidRPr="00351EC4" w:rsidRDefault="00351EC4" w:rsidP="00351EC4">
      <w:pPr>
        <w:pStyle w:val="17"/>
      </w:pPr>
      <w:bookmarkStart w:id="25" w:name="REF_008"/>
      <w:r w:rsidRPr="00351EC4">
        <w:t>[8]</w:t>
      </w:r>
      <w:r w:rsidRPr="00351EC4">
        <w:tab/>
      </w:r>
      <w:proofErr w:type="gramStart"/>
      <w:r w:rsidRPr="00351EC4">
        <w:t>王存飞</w:t>
      </w:r>
      <w:proofErr w:type="gramEnd"/>
      <w:r w:rsidRPr="00351EC4">
        <w:t xml:space="preserve">, </w:t>
      </w:r>
      <w:r w:rsidRPr="00351EC4">
        <w:t>荣耀</w:t>
      </w:r>
      <w:r w:rsidRPr="00351EC4">
        <w:t xml:space="preserve">. </w:t>
      </w:r>
      <w:r w:rsidRPr="00351EC4">
        <w:t>透明工作面的概念、架构与关键技术</w:t>
      </w:r>
      <w:r w:rsidRPr="00351EC4">
        <w:t xml:space="preserve">[J]. </w:t>
      </w:r>
      <w:r w:rsidRPr="00351EC4">
        <w:t>煤炭科学技术</w:t>
      </w:r>
      <w:r w:rsidRPr="00351EC4">
        <w:t>, 2019, 47(7): 156-163. DOI: 10.13199/j.cnki.cst.2019.07.019.</w:t>
      </w:r>
      <w:bookmarkEnd w:id="25"/>
    </w:p>
    <w:p w14:paraId="369BF6B6" w14:textId="77777777" w:rsidR="00351EC4" w:rsidRPr="00351EC4" w:rsidRDefault="00351EC4" w:rsidP="00351EC4">
      <w:pPr>
        <w:pStyle w:val="17"/>
      </w:pPr>
      <w:bookmarkStart w:id="26" w:name="REF_009"/>
      <w:r w:rsidRPr="00351EC4">
        <w:t>[9]</w:t>
      </w:r>
      <w:r w:rsidRPr="00351EC4">
        <w:tab/>
      </w:r>
      <w:proofErr w:type="gramStart"/>
      <w:r w:rsidRPr="00351EC4">
        <w:t>程建远</w:t>
      </w:r>
      <w:proofErr w:type="gramEnd"/>
      <w:r w:rsidRPr="00351EC4">
        <w:t xml:space="preserve">, </w:t>
      </w:r>
      <w:proofErr w:type="gramStart"/>
      <w:r w:rsidRPr="00351EC4">
        <w:t>朱梦博</w:t>
      </w:r>
      <w:proofErr w:type="gramEnd"/>
      <w:r w:rsidRPr="00351EC4">
        <w:t xml:space="preserve">, </w:t>
      </w:r>
      <w:proofErr w:type="gramStart"/>
      <w:r w:rsidRPr="00351EC4">
        <w:t>王云宏</w:t>
      </w:r>
      <w:proofErr w:type="gramEnd"/>
      <w:r w:rsidRPr="00351EC4">
        <w:t xml:space="preserve">, </w:t>
      </w:r>
      <w:r w:rsidRPr="00351EC4">
        <w:t>等</w:t>
      </w:r>
      <w:r w:rsidRPr="00351EC4">
        <w:t xml:space="preserve">. </w:t>
      </w:r>
      <w:r w:rsidRPr="00351EC4">
        <w:t>煤炭智能精准开采工作面地质模型梯级构建及其关键技术</w:t>
      </w:r>
      <w:r w:rsidRPr="00351EC4">
        <w:t xml:space="preserve">[J]. </w:t>
      </w:r>
      <w:r w:rsidRPr="00351EC4">
        <w:t>煤炭学报</w:t>
      </w:r>
      <w:r w:rsidRPr="00351EC4">
        <w:t>, 2019, 44(8): 2285-2295. DOI: 10.13225/j.cnki.jccs.KJ19.0510.</w:t>
      </w:r>
      <w:bookmarkEnd w:id="26"/>
    </w:p>
    <w:p w14:paraId="18547D36" w14:textId="77777777" w:rsidR="00351EC4" w:rsidRPr="00351EC4" w:rsidRDefault="00351EC4" w:rsidP="00351EC4">
      <w:pPr>
        <w:pStyle w:val="17"/>
      </w:pPr>
      <w:bookmarkStart w:id="27" w:name="REF_010"/>
      <w:r w:rsidRPr="00351EC4">
        <w:t>[10]</w:t>
      </w:r>
      <w:r w:rsidRPr="00351EC4">
        <w:tab/>
      </w:r>
      <w:r w:rsidRPr="00351EC4">
        <w:t>刘万里</w:t>
      </w:r>
      <w:r w:rsidRPr="00351EC4">
        <w:t xml:space="preserve">, </w:t>
      </w:r>
      <w:r w:rsidRPr="00351EC4">
        <w:t>张学亮</w:t>
      </w:r>
      <w:r w:rsidRPr="00351EC4">
        <w:t xml:space="preserve">, </w:t>
      </w:r>
      <w:r w:rsidRPr="00351EC4">
        <w:t>王</w:t>
      </w:r>
      <w:proofErr w:type="gramStart"/>
      <w:r w:rsidRPr="00351EC4">
        <w:t>世</w:t>
      </w:r>
      <w:proofErr w:type="gramEnd"/>
      <w:r w:rsidRPr="00351EC4">
        <w:t>博</w:t>
      </w:r>
      <w:r w:rsidRPr="00351EC4">
        <w:t xml:space="preserve">. </w:t>
      </w:r>
      <w:r w:rsidRPr="00351EC4">
        <w:t>采煤工作面煤层三维模型构建及动态修正技术</w:t>
      </w:r>
      <w:r w:rsidRPr="00351EC4">
        <w:t xml:space="preserve">[J]. </w:t>
      </w:r>
      <w:r w:rsidRPr="00351EC4">
        <w:t>煤炭学报</w:t>
      </w:r>
      <w:r w:rsidRPr="00351EC4">
        <w:t>, 2020, 45(6): 1973-1983. DOI: 10.13225/j.cnki.jccs.ZN20.0364.</w:t>
      </w:r>
      <w:bookmarkEnd w:id="27"/>
    </w:p>
    <w:p w14:paraId="7C5432F7" w14:textId="77777777" w:rsidR="00351EC4" w:rsidRPr="00351EC4" w:rsidRDefault="00351EC4" w:rsidP="00351EC4">
      <w:pPr>
        <w:pStyle w:val="17"/>
      </w:pPr>
      <w:bookmarkStart w:id="28" w:name="REF_011"/>
      <w:r w:rsidRPr="00351EC4">
        <w:t>[11]</w:t>
      </w:r>
      <w:r w:rsidRPr="00351EC4">
        <w:tab/>
        <w:t xml:space="preserve">YANG Yi, LI Yingchun, WANG </w:t>
      </w:r>
      <w:proofErr w:type="spellStart"/>
      <w:r w:rsidRPr="00351EC4">
        <w:t>Lujun</w:t>
      </w:r>
      <w:proofErr w:type="spellEnd"/>
      <w:r w:rsidRPr="00351EC4">
        <w:t>, et al. On strata damage and stress disturbance induced by coal mining based on physical similarity simulation experiments[J]. Scientific Reports, 2023, 13(1). DOI: 10.1038/s41598-023-42148-4.</w:t>
      </w:r>
      <w:bookmarkEnd w:id="28"/>
    </w:p>
    <w:p w14:paraId="45343055" w14:textId="77777777" w:rsidR="00351EC4" w:rsidRPr="00351EC4" w:rsidRDefault="00351EC4" w:rsidP="00351EC4">
      <w:pPr>
        <w:pStyle w:val="17"/>
      </w:pPr>
      <w:bookmarkStart w:id="29" w:name="REF_012"/>
      <w:r w:rsidRPr="00351EC4">
        <w:t>[12]</w:t>
      </w:r>
      <w:r w:rsidRPr="00351EC4">
        <w:tab/>
        <w:t>REN Yiwei, YUAN Qiang, CHEN Jie, et al. Evolution characteristics of mining-induced fractures in overburden strata under close-multi coal seams mining based on optical fiber monitoring[J]. Engineering Geology, 2024, 343: 107802. DOI: 10.1016/j.enggeo.2024.107802.</w:t>
      </w:r>
      <w:bookmarkEnd w:id="29"/>
    </w:p>
    <w:p w14:paraId="7E2EF76E" w14:textId="77777777" w:rsidR="00351EC4" w:rsidRPr="00351EC4" w:rsidRDefault="00351EC4" w:rsidP="00351EC4">
      <w:pPr>
        <w:pStyle w:val="17"/>
      </w:pPr>
      <w:bookmarkStart w:id="30" w:name="REF_013"/>
      <w:r w:rsidRPr="00351EC4">
        <w:t>[13]</w:t>
      </w:r>
      <w:r w:rsidRPr="00351EC4">
        <w:tab/>
        <w:t xml:space="preserve">YANG Xiao, SHI </w:t>
      </w:r>
      <w:proofErr w:type="spellStart"/>
      <w:r w:rsidRPr="00351EC4">
        <w:t>Longqing</w:t>
      </w:r>
      <w:proofErr w:type="spellEnd"/>
      <w:r w:rsidRPr="00351EC4">
        <w:t xml:space="preserve">, QIU Mei, et al. Spatiotemporal evolution patterns of mining-induced overburden damage based on </w:t>
      </w:r>
      <w:proofErr w:type="spellStart"/>
      <w:r w:rsidRPr="00351EC4">
        <w:t>microseismic</w:t>
      </w:r>
      <w:proofErr w:type="spellEnd"/>
      <w:r w:rsidRPr="00351EC4">
        <w:t xml:space="preserve"> event response analysis[J]. Journal of Applied Geophysics, 2025, 242: 105876. DOI: 10.1016/j.jappgeo.2025.105876.</w:t>
      </w:r>
      <w:bookmarkEnd w:id="30"/>
    </w:p>
    <w:p w14:paraId="6AD72CE5" w14:textId="77777777" w:rsidR="00351EC4" w:rsidRPr="00351EC4" w:rsidRDefault="00351EC4" w:rsidP="00351EC4">
      <w:pPr>
        <w:pStyle w:val="17"/>
      </w:pPr>
      <w:bookmarkStart w:id="31" w:name="REF_014"/>
      <w:r w:rsidRPr="00351EC4">
        <w:t>[14]</w:t>
      </w:r>
      <w:r w:rsidRPr="00351EC4">
        <w:tab/>
        <w:t>ZHANG Jie, WANG Li, YANG Tao, et al. Study on overburden failure characteristics and ground pressure behavior in shallow coal seam mining underneath the gully[J]. Frontiers in Earth Science, 2024, 12. DOI: 10.3389/feart.2024.1375979.</w:t>
      </w:r>
      <w:bookmarkEnd w:id="31"/>
    </w:p>
    <w:p w14:paraId="5BE249CC" w14:textId="77777777" w:rsidR="00351EC4" w:rsidRPr="00351EC4" w:rsidRDefault="00351EC4" w:rsidP="00351EC4">
      <w:pPr>
        <w:pStyle w:val="17"/>
      </w:pPr>
      <w:bookmarkStart w:id="32" w:name="REF_015"/>
      <w:r w:rsidRPr="00351EC4">
        <w:t>[15]</w:t>
      </w:r>
      <w:r w:rsidRPr="00351EC4">
        <w:tab/>
        <w:t xml:space="preserve">CAO Jian, HUANG </w:t>
      </w:r>
      <w:proofErr w:type="spellStart"/>
      <w:r w:rsidRPr="00351EC4">
        <w:t>Qingxiang</w:t>
      </w:r>
      <w:proofErr w:type="spellEnd"/>
      <w:r w:rsidRPr="00351EC4">
        <w:t xml:space="preserve">, GUO </w:t>
      </w:r>
      <w:proofErr w:type="spellStart"/>
      <w:r w:rsidRPr="00351EC4">
        <w:t>Lingfei</w:t>
      </w:r>
      <w:proofErr w:type="spellEnd"/>
      <w:r w:rsidRPr="00351EC4">
        <w:t>. Subsidence prediction of overburden strata and ground surface in shallow coal seam mining[J]. Scientific Reports, 2021, 11(1). DOI: 10.1038/s41598-021-98520-9.</w:t>
      </w:r>
      <w:bookmarkEnd w:id="32"/>
    </w:p>
    <w:p w14:paraId="1335F3A6" w14:textId="77777777" w:rsidR="00351EC4" w:rsidRPr="00351EC4" w:rsidRDefault="00351EC4" w:rsidP="00351EC4">
      <w:pPr>
        <w:pStyle w:val="17"/>
      </w:pPr>
      <w:bookmarkStart w:id="33" w:name="REF_016"/>
      <w:r w:rsidRPr="00351EC4">
        <w:t>[16]</w:t>
      </w:r>
      <w:r w:rsidRPr="00351EC4">
        <w:tab/>
        <w:t>PRAKASH Amar, BHARTI Abhay Kumar, VERMA Aniket. Unearthing underground mining-induced strata disturbance by electrical resistivity tomography interpretation[J]. Environmental &amp; Engineering Geoscience, 2022, 28(4): 361-369. DOI: 10.2113/eeg-d-21-00073.</w:t>
      </w:r>
      <w:bookmarkEnd w:id="33"/>
    </w:p>
    <w:p w14:paraId="17D0E74C" w14:textId="77777777" w:rsidR="00351EC4" w:rsidRPr="00351EC4" w:rsidRDefault="00351EC4" w:rsidP="00351EC4">
      <w:pPr>
        <w:pStyle w:val="17"/>
      </w:pPr>
      <w:bookmarkStart w:id="34" w:name="REF_017"/>
      <w:r w:rsidRPr="00351EC4">
        <w:t>[17]</w:t>
      </w:r>
      <w:r w:rsidRPr="00351EC4">
        <w:tab/>
        <w:t xml:space="preserve">SHI Xiuchang, ZHANG </w:t>
      </w:r>
      <w:proofErr w:type="spellStart"/>
      <w:r w:rsidRPr="00351EC4">
        <w:t>Jixing</w:t>
      </w:r>
      <w:proofErr w:type="spellEnd"/>
      <w:r w:rsidRPr="00351EC4">
        <w:t>. Characteristics of overburden failure and fracture evolution in shallow buried working face with large mining height[J]. Sustainability, 2021, 13(24): 13775. DOI: 10.3390/su132413775.</w:t>
      </w:r>
      <w:bookmarkEnd w:id="34"/>
    </w:p>
    <w:p w14:paraId="444606BB" w14:textId="77777777" w:rsidR="00351EC4" w:rsidRPr="00351EC4" w:rsidRDefault="00351EC4" w:rsidP="00351EC4">
      <w:pPr>
        <w:pStyle w:val="17"/>
      </w:pPr>
      <w:bookmarkStart w:id="35" w:name="REF_018"/>
      <w:r w:rsidRPr="00351EC4">
        <w:t>[18]</w:t>
      </w:r>
      <w:r w:rsidRPr="00351EC4">
        <w:tab/>
        <w:t>LIU Xiong, ZHENG Lulin, LIU Hao, et al. Evolution of overburden fractures and the water-conducting fracture zone in closely spaced coal mine seams under highly water-rich aquifers[J]. ACS Omega, 2025. DOI: 10.1021/acsomega.5c09774.</w:t>
      </w:r>
      <w:bookmarkEnd w:id="35"/>
    </w:p>
    <w:p w14:paraId="4D7D0FA5" w14:textId="77777777" w:rsidR="00351EC4" w:rsidRPr="00351EC4" w:rsidRDefault="00351EC4" w:rsidP="00351EC4">
      <w:pPr>
        <w:pStyle w:val="17"/>
      </w:pPr>
      <w:bookmarkStart w:id="36" w:name="REF_019"/>
      <w:r w:rsidRPr="00351EC4">
        <w:t>[19]</w:t>
      </w:r>
      <w:r w:rsidRPr="00351EC4">
        <w:tab/>
        <w:t xml:space="preserve">XUE Sen, WANG </w:t>
      </w:r>
      <w:proofErr w:type="spellStart"/>
      <w:r w:rsidRPr="00351EC4">
        <w:t>Qiqing</w:t>
      </w:r>
      <w:proofErr w:type="spellEnd"/>
      <w:r w:rsidRPr="00351EC4">
        <w:t>, SONG Zhen. Analysis of water-permeable fractured zone in weakly cemented overburden considering rock strain-softening[J]. Scientific Reports, 2026, 16(1). DOI: 10.1038/s41598-026-45413-4.</w:t>
      </w:r>
      <w:bookmarkEnd w:id="36"/>
    </w:p>
    <w:p w14:paraId="51CE135E" w14:textId="77777777" w:rsidR="00351EC4" w:rsidRPr="00351EC4" w:rsidRDefault="00351EC4" w:rsidP="00351EC4">
      <w:pPr>
        <w:pStyle w:val="17"/>
      </w:pPr>
      <w:bookmarkStart w:id="37" w:name="REF_020"/>
      <w:r w:rsidRPr="00351EC4">
        <w:t>[20]</w:t>
      </w:r>
      <w:r w:rsidRPr="00351EC4">
        <w:tab/>
        <w:t>ZHU Xiaojun, ZHA Feng, GUO Guangli, et al. Mechanical prediction method of strata movement and surface subsidence in backfill-strip mining[J]. Scientific Reports, 2024, 14(1). DOI: 10.1038/s41598-024-82761-5.</w:t>
      </w:r>
      <w:bookmarkEnd w:id="37"/>
    </w:p>
    <w:p w14:paraId="69C9E299" w14:textId="77777777" w:rsidR="00351EC4" w:rsidRPr="00351EC4" w:rsidRDefault="00351EC4" w:rsidP="00351EC4">
      <w:pPr>
        <w:pStyle w:val="17"/>
      </w:pPr>
      <w:bookmarkStart w:id="38" w:name="REF_021"/>
      <w:r w:rsidRPr="00351EC4">
        <w:t>[21]</w:t>
      </w:r>
      <w:r w:rsidRPr="00351EC4">
        <w:tab/>
        <w:t>KRATZSCH Helmut. Strata movement at the mining horizon[</w:t>
      </w:r>
      <w:proofErr w:type="gramStart"/>
      <w:r w:rsidRPr="00351EC4">
        <w:t>M]/</w:t>
      </w:r>
      <w:proofErr w:type="gramEnd"/>
      <w:r w:rsidRPr="00351EC4">
        <w:t>/Mining Subsidence Engineering. Berlin</w:t>
      </w:r>
      <w:proofErr w:type="gramStart"/>
      <w:r w:rsidRPr="00351EC4">
        <w:t>, ,</w:t>
      </w:r>
      <w:proofErr w:type="gramEnd"/>
      <w:r w:rsidRPr="00351EC4">
        <w:t xml:space="preserve"> Heidelberg: Springer, 1983: 7-40. DOI: 10.1007/978-3-642-81923-0_2.</w:t>
      </w:r>
      <w:bookmarkEnd w:id="38"/>
    </w:p>
    <w:p w14:paraId="0107058A" w14:textId="77777777" w:rsidR="00351EC4" w:rsidRPr="00351EC4" w:rsidRDefault="00351EC4" w:rsidP="00351EC4">
      <w:pPr>
        <w:pStyle w:val="17"/>
      </w:pPr>
      <w:bookmarkStart w:id="39" w:name="REF_022"/>
      <w:r w:rsidRPr="00351EC4">
        <w:t>[22]</w:t>
      </w:r>
      <w:r w:rsidRPr="00351EC4">
        <w:tab/>
      </w:r>
      <w:r w:rsidRPr="00351EC4">
        <w:t>徐智敏</w:t>
      </w:r>
      <w:r w:rsidRPr="00351EC4">
        <w:t xml:space="preserve">, </w:t>
      </w:r>
      <w:r w:rsidRPr="00351EC4">
        <w:t>孙亚军</w:t>
      </w:r>
      <w:r w:rsidRPr="00351EC4">
        <w:t xml:space="preserve">, </w:t>
      </w:r>
      <w:r w:rsidRPr="00351EC4">
        <w:t>高尚</w:t>
      </w:r>
      <w:r w:rsidRPr="00351EC4">
        <w:t xml:space="preserve">, </w:t>
      </w:r>
      <w:r w:rsidRPr="00351EC4">
        <w:t>等</w:t>
      </w:r>
      <w:r w:rsidRPr="00351EC4">
        <w:t xml:space="preserve">. </w:t>
      </w:r>
      <w:r w:rsidRPr="00351EC4">
        <w:t>干旱</w:t>
      </w:r>
      <w:proofErr w:type="gramStart"/>
      <w:r w:rsidRPr="00351EC4">
        <w:t>矿区采动顶板</w:t>
      </w:r>
      <w:proofErr w:type="gramEnd"/>
      <w:r w:rsidRPr="00351EC4">
        <w:t>导水裂隙的演化规律及保</w:t>
      </w:r>
      <w:proofErr w:type="gramStart"/>
      <w:r w:rsidRPr="00351EC4">
        <w:t>水采煤意义</w:t>
      </w:r>
      <w:proofErr w:type="gramEnd"/>
      <w:r w:rsidRPr="00351EC4">
        <w:t xml:space="preserve">[J]. </w:t>
      </w:r>
      <w:r w:rsidRPr="00351EC4">
        <w:t>煤炭学报</w:t>
      </w:r>
      <w:r w:rsidRPr="00351EC4">
        <w:t>, 2019, 44(3): 767-776. DOI: 10.13225/j.cnki.jccs.2018.6041.</w:t>
      </w:r>
      <w:bookmarkEnd w:id="39"/>
    </w:p>
    <w:p w14:paraId="056C3F93" w14:textId="77777777" w:rsidR="00351EC4" w:rsidRPr="00351EC4" w:rsidRDefault="00351EC4" w:rsidP="00351EC4">
      <w:pPr>
        <w:pStyle w:val="17"/>
      </w:pPr>
      <w:bookmarkStart w:id="40" w:name="REF_023"/>
      <w:r w:rsidRPr="00351EC4">
        <w:t>[23]</w:t>
      </w:r>
      <w:r w:rsidRPr="00351EC4">
        <w:tab/>
      </w:r>
      <w:r w:rsidRPr="00351EC4">
        <w:t>曹志国</w:t>
      </w:r>
      <w:r w:rsidRPr="00351EC4">
        <w:t xml:space="preserve">, </w:t>
      </w:r>
      <w:r w:rsidRPr="00351EC4">
        <w:t>鞠金峰</w:t>
      </w:r>
      <w:r w:rsidRPr="00351EC4">
        <w:t xml:space="preserve">, </w:t>
      </w:r>
      <w:r w:rsidRPr="00351EC4">
        <w:t>许家林</w:t>
      </w:r>
      <w:r w:rsidRPr="00351EC4">
        <w:t xml:space="preserve">. </w:t>
      </w:r>
      <w:proofErr w:type="gramStart"/>
      <w:r w:rsidRPr="00351EC4">
        <w:t>采动覆岩</w:t>
      </w:r>
      <w:proofErr w:type="gramEnd"/>
      <w:r w:rsidRPr="00351EC4">
        <w:t>导水裂隙主通道分布模型及其水流动特性</w:t>
      </w:r>
      <w:r w:rsidRPr="00351EC4">
        <w:t xml:space="preserve">[J]. </w:t>
      </w:r>
      <w:r w:rsidRPr="00351EC4">
        <w:t>煤炭学报</w:t>
      </w:r>
      <w:r w:rsidRPr="00351EC4">
        <w:t>, 2019, 44(12): 3719-3728. DOI: 10.13225/j.cnki.jccs.SH19.0446.</w:t>
      </w:r>
      <w:bookmarkEnd w:id="40"/>
    </w:p>
    <w:p w14:paraId="24CFA5F9" w14:textId="77777777" w:rsidR="00351EC4" w:rsidRPr="00351EC4" w:rsidRDefault="00351EC4" w:rsidP="00351EC4">
      <w:pPr>
        <w:pStyle w:val="17"/>
      </w:pPr>
      <w:bookmarkStart w:id="41" w:name="REF_024"/>
      <w:r w:rsidRPr="00351EC4">
        <w:t>[24]</w:t>
      </w:r>
      <w:r w:rsidRPr="00351EC4">
        <w:tab/>
      </w:r>
      <w:r w:rsidRPr="00351EC4">
        <w:t>郭文兵</w:t>
      </w:r>
      <w:r w:rsidRPr="00351EC4">
        <w:t xml:space="preserve">, </w:t>
      </w:r>
      <w:r w:rsidRPr="00351EC4">
        <w:t>娄高中</w:t>
      </w:r>
      <w:r w:rsidRPr="00351EC4">
        <w:t xml:space="preserve">. </w:t>
      </w:r>
      <w:proofErr w:type="gramStart"/>
      <w:r w:rsidRPr="00351EC4">
        <w:t>覆岩破坏</w:t>
      </w:r>
      <w:proofErr w:type="gramEnd"/>
      <w:r w:rsidRPr="00351EC4">
        <w:t>充分采动程度定义及判别方法</w:t>
      </w:r>
      <w:r w:rsidRPr="00351EC4">
        <w:t xml:space="preserve">[J]. </w:t>
      </w:r>
      <w:r w:rsidRPr="00351EC4">
        <w:t>煤炭学报</w:t>
      </w:r>
      <w:r w:rsidRPr="00351EC4">
        <w:t>, 2019, 44(3): 755-766. DOI: 10.13225/j.cnki.jccs.2018.6038.</w:t>
      </w:r>
      <w:bookmarkEnd w:id="41"/>
    </w:p>
    <w:p w14:paraId="4D1F0FF0" w14:textId="77777777" w:rsidR="00351EC4" w:rsidRPr="00351EC4" w:rsidRDefault="00351EC4" w:rsidP="00351EC4">
      <w:pPr>
        <w:pStyle w:val="17"/>
      </w:pPr>
      <w:bookmarkStart w:id="42" w:name="REF_025"/>
      <w:r w:rsidRPr="00351EC4">
        <w:t>[25]</w:t>
      </w:r>
      <w:r w:rsidRPr="00351EC4">
        <w:tab/>
      </w:r>
      <w:r w:rsidRPr="00351EC4">
        <w:t>鞠金峰</w:t>
      </w:r>
      <w:r w:rsidRPr="00351EC4">
        <w:t xml:space="preserve">, </w:t>
      </w:r>
      <w:r w:rsidRPr="00351EC4">
        <w:t>马祥</w:t>
      </w:r>
      <w:r w:rsidRPr="00351EC4">
        <w:t xml:space="preserve">, </w:t>
      </w:r>
      <w:r w:rsidRPr="00351EC4">
        <w:t>赵富强</w:t>
      </w:r>
      <w:r w:rsidRPr="00351EC4">
        <w:t xml:space="preserve">, </w:t>
      </w:r>
      <w:r w:rsidRPr="00351EC4">
        <w:t>等</w:t>
      </w:r>
      <w:r w:rsidRPr="00351EC4">
        <w:t xml:space="preserve">. </w:t>
      </w:r>
      <w:r w:rsidRPr="00351EC4">
        <w:t>东胜煤田导水裂缝发育及其分区特征研究</w:t>
      </w:r>
      <w:r w:rsidRPr="00351EC4">
        <w:t xml:space="preserve">[J]. </w:t>
      </w:r>
      <w:r w:rsidRPr="00351EC4">
        <w:t>煤炭科学技术</w:t>
      </w:r>
      <w:r w:rsidRPr="00351EC4">
        <w:t>, 2022, 50(2): 202-212. DOI: 10.13199/j.cnki.cst.2021-0169.</w:t>
      </w:r>
      <w:bookmarkEnd w:id="42"/>
    </w:p>
    <w:p w14:paraId="3BB359DE" w14:textId="77777777" w:rsidR="00351EC4" w:rsidRPr="00351EC4" w:rsidRDefault="00351EC4" w:rsidP="00351EC4">
      <w:pPr>
        <w:pStyle w:val="17"/>
      </w:pPr>
      <w:bookmarkStart w:id="43" w:name="REF_026"/>
      <w:r w:rsidRPr="00351EC4">
        <w:t>[26]</w:t>
      </w:r>
      <w:r w:rsidRPr="00351EC4">
        <w:tab/>
      </w:r>
      <w:r w:rsidRPr="00351EC4">
        <w:t>郭小铭</w:t>
      </w:r>
      <w:r w:rsidRPr="00351EC4">
        <w:t xml:space="preserve">, </w:t>
      </w:r>
      <w:r w:rsidRPr="00351EC4">
        <w:t>王皓</w:t>
      </w:r>
      <w:r w:rsidRPr="00351EC4">
        <w:t xml:space="preserve">, </w:t>
      </w:r>
      <w:r w:rsidRPr="00351EC4">
        <w:t>周麟晟</w:t>
      </w:r>
      <w:r w:rsidRPr="00351EC4">
        <w:t xml:space="preserve">. </w:t>
      </w:r>
      <w:r w:rsidRPr="00351EC4">
        <w:t>煤层顶板巨厚基岩含水层空间富水性评价</w:t>
      </w:r>
      <w:r w:rsidRPr="00351EC4">
        <w:t xml:space="preserve">[J]. </w:t>
      </w:r>
      <w:r w:rsidRPr="00351EC4">
        <w:t>煤炭科学技术</w:t>
      </w:r>
      <w:r w:rsidRPr="00351EC4">
        <w:t>, 2021, 49(9): 167-175. DOI: 10.13199/j.cnki.cst.2021.09.024.</w:t>
      </w:r>
      <w:bookmarkEnd w:id="43"/>
    </w:p>
    <w:p w14:paraId="6A8B7C8D" w14:textId="77777777" w:rsidR="00351EC4" w:rsidRPr="00351EC4" w:rsidRDefault="00351EC4" w:rsidP="00351EC4">
      <w:pPr>
        <w:pStyle w:val="17"/>
      </w:pPr>
      <w:bookmarkStart w:id="44" w:name="REF_027"/>
      <w:r w:rsidRPr="00351EC4">
        <w:t>[27]</w:t>
      </w:r>
      <w:r w:rsidRPr="00351EC4">
        <w:tab/>
      </w:r>
      <w:r w:rsidRPr="00351EC4">
        <w:t>王玉涛</w:t>
      </w:r>
      <w:r w:rsidRPr="00351EC4">
        <w:t xml:space="preserve">, </w:t>
      </w:r>
      <w:r w:rsidRPr="00351EC4">
        <w:t>刘震</w:t>
      </w:r>
      <w:r w:rsidRPr="00351EC4">
        <w:t xml:space="preserve">. </w:t>
      </w:r>
      <w:r w:rsidRPr="00351EC4">
        <w:t>深部煤层非充分采动下</w:t>
      </w:r>
      <w:proofErr w:type="gramStart"/>
      <w:r w:rsidRPr="00351EC4">
        <w:t>覆岩裂隙场</w:t>
      </w:r>
      <w:proofErr w:type="gramEnd"/>
      <w:r w:rsidRPr="00351EC4">
        <w:t>可视化探测研究</w:t>
      </w:r>
      <w:r w:rsidRPr="00351EC4">
        <w:t xml:space="preserve">[J]. </w:t>
      </w:r>
      <w:r w:rsidRPr="00351EC4">
        <w:t>煤炭科学技术</w:t>
      </w:r>
      <w:r w:rsidRPr="00351EC4">
        <w:t>, 2020, 48(3): 197-204. DOI: 10.13199/j.cnki.cst.2020.03.024.</w:t>
      </w:r>
      <w:bookmarkEnd w:id="44"/>
    </w:p>
    <w:p w14:paraId="04362470" w14:textId="77777777" w:rsidR="00351EC4" w:rsidRPr="00351EC4" w:rsidRDefault="00351EC4" w:rsidP="00351EC4">
      <w:pPr>
        <w:pStyle w:val="17"/>
      </w:pPr>
      <w:bookmarkStart w:id="45" w:name="REF_028"/>
      <w:r w:rsidRPr="00351EC4">
        <w:t>[28]</w:t>
      </w:r>
      <w:r w:rsidRPr="00351EC4">
        <w:tab/>
      </w:r>
      <w:r w:rsidRPr="00351EC4">
        <w:t>董江鑫</w:t>
      </w:r>
      <w:r w:rsidRPr="00351EC4">
        <w:t xml:space="preserve">, </w:t>
      </w:r>
      <w:r w:rsidRPr="00351EC4">
        <w:t>王飞</w:t>
      </w:r>
      <w:r w:rsidRPr="00351EC4">
        <w:t xml:space="preserve">. </w:t>
      </w:r>
      <w:r w:rsidRPr="00351EC4">
        <w:t>地质雷达和高密度电法联合探测底板含水性的应用</w:t>
      </w:r>
      <w:r w:rsidRPr="00351EC4">
        <w:t xml:space="preserve">[J]. </w:t>
      </w:r>
      <w:r w:rsidRPr="00351EC4">
        <w:t>煤炭科学技术</w:t>
      </w:r>
      <w:r w:rsidRPr="00351EC4">
        <w:t>, 2022, 50(5): 222-231. DOI: 10.13199/j.cnki.cst.2020-0418.</w:t>
      </w:r>
      <w:bookmarkEnd w:id="45"/>
    </w:p>
    <w:p w14:paraId="2C208FCA" w14:textId="77777777" w:rsidR="00351EC4" w:rsidRPr="00351EC4" w:rsidRDefault="00351EC4" w:rsidP="00351EC4">
      <w:pPr>
        <w:pStyle w:val="17"/>
      </w:pPr>
      <w:bookmarkStart w:id="46" w:name="REF_029"/>
      <w:r w:rsidRPr="00351EC4">
        <w:t>[29]</w:t>
      </w:r>
      <w:r w:rsidRPr="00351EC4">
        <w:tab/>
      </w:r>
      <w:r w:rsidRPr="00351EC4">
        <w:t>张玉军</w:t>
      </w:r>
      <w:r w:rsidRPr="00351EC4">
        <w:t xml:space="preserve">, </w:t>
      </w:r>
      <w:proofErr w:type="gramStart"/>
      <w:r w:rsidRPr="00351EC4">
        <w:t>宋业杰</w:t>
      </w:r>
      <w:proofErr w:type="gramEnd"/>
      <w:r w:rsidRPr="00351EC4">
        <w:t xml:space="preserve">, </w:t>
      </w:r>
      <w:r w:rsidRPr="00351EC4">
        <w:t>樊振丽</w:t>
      </w:r>
      <w:r w:rsidRPr="00351EC4">
        <w:t xml:space="preserve">, </w:t>
      </w:r>
      <w:r w:rsidRPr="00351EC4">
        <w:t>等</w:t>
      </w:r>
      <w:r w:rsidRPr="00351EC4">
        <w:t xml:space="preserve">. </w:t>
      </w:r>
      <w:r w:rsidRPr="00351EC4">
        <w:t>鄂尔多斯盆地侏罗系煤田保水开采技术与应用</w:t>
      </w:r>
      <w:r w:rsidRPr="00351EC4">
        <w:t xml:space="preserve">[J]. </w:t>
      </w:r>
      <w:r w:rsidRPr="00351EC4">
        <w:t>煤炭科学技术</w:t>
      </w:r>
      <w:r w:rsidRPr="00351EC4">
        <w:t>, 2021, 49(4): 159-168. DOI: 10.13199/j.cnki.cst.2021.04.019.</w:t>
      </w:r>
      <w:bookmarkEnd w:id="46"/>
    </w:p>
    <w:p w14:paraId="78390D93" w14:textId="77777777" w:rsidR="00351EC4" w:rsidRPr="00351EC4" w:rsidRDefault="00351EC4" w:rsidP="00351EC4">
      <w:pPr>
        <w:pStyle w:val="17"/>
      </w:pPr>
      <w:bookmarkStart w:id="47" w:name="REF_030"/>
      <w:r w:rsidRPr="00351EC4">
        <w:t>[30]</w:t>
      </w:r>
      <w:r w:rsidRPr="00351EC4">
        <w:tab/>
      </w:r>
      <w:proofErr w:type="gramStart"/>
      <w:r w:rsidRPr="00351EC4">
        <w:t>董书宁</w:t>
      </w:r>
      <w:proofErr w:type="gramEnd"/>
      <w:r w:rsidRPr="00351EC4">
        <w:t xml:space="preserve">, </w:t>
      </w:r>
      <w:r w:rsidRPr="00351EC4">
        <w:t>姬亚东</w:t>
      </w:r>
      <w:r w:rsidRPr="00351EC4">
        <w:t xml:space="preserve">, </w:t>
      </w:r>
      <w:r w:rsidRPr="00351EC4">
        <w:t>王皓</w:t>
      </w:r>
      <w:r w:rsidRPr="00351EC4">
        <w:t xml:space="preserve">, </w:t>
      </w:r>
      <w:r w:rsidRPr="00351EC4">
        <w:t>等</w:t>
      </w:r>
      <w:r w:rsidRPr="00351EC4">
        <w:t xml:space="preserve">. </w:t>
      </w:r>
      <w:r w:rsidRPr="00351EC4">
        <w:t>鄂尔多斯盆地侏罗纪煤田典型顶板水害防控技术与应用</w:t>
      </w:r>
      <w:r w:rsidRPr="00351EC4">
        <w:t xml:space="preserve">[J]. </w:t>
      </w:r>
      <w:r w:rsidRPr="00351EC4">
        <w:t>煤炭学报</w:t>
      </w:r>
      <w:r w:rsidRPr="00351EC4">
        <w:t>, 2020, 45(7): 2367-2375. DOI: 10.13225/j.cnki.jccs.DZ20.0697.</w:t>
      </w:r>
      <w:bookmarkEnd w:id="47"/>
    </w:p>
    <w:p w14:paraId="3FCAAE66" w14:textId="77777777" w:rsidR="00351EC4" w:rsidRPr="00351EC4" w:rsidRDefault="00351EC4" w:rsidP="00351EC4">
      <w:pPr>
        <w:pStyle w:val="17"/>
      </w:pPr>
      <w:bookmarkStart w:id="48" w:name="REF_031"/>
      <w:r w:rsidRPr="00351EC4">
        <w:t>[31]</w:t>
      </w:r>
      <w:r w:rsidRPr="00351EC4">
        <w:tab/>
      </w:r>
      <w:r w:rsidRPr="00351EC4">
        <w:t>范立民</w:t>
      </w:r>
      <w:r w:rsidRPr="00351EC4">
        <w:t xml:space="preserve">, </w:t>
      </w:r>
      <w:proofErr w:type="gramStart"/>
      <w:r w:rsidRPr="00351EC4">
        <w:t>马雄德</w:t>
      </w:r>
      <w:proofErr w:type="gramEnd"/>
      <w:r w:rsidRPr="00351EC4">
        <w:t xml:space="preserve">, </w:t>
      </w:r>
      <w:r w:rsidRPr="00351EC4">
        <w:t>蒋泽泉</w:t>
      </w:r>
      <w:r w:rsidRPr="00351EC4">
        <w:t xml:space="preserve">, </w:t>
      </w:r>
      <w:r w:rsidRPr="00351EC4">
        <w:t>等</w:t>
      </w:r>
      <w:r w:rsidRPr="00351EC4">
        <w:t xml:space="preserve">. </w:t>
      </w:r>
      <w:r w:rsidRPr="00351EC4">
        <w:t>保</w:t>
      </w:r>
      <w:proofErr w:type="gramStart"/>
      <w:r w:rsidRPr="00351EC4">
        <w:t>水采煤研究</w:t>
      </w:r>
      <w:proofErr w:type="gramEnd"/>
      <w:r w:rsidRPr="00351EC4">
        <w:t>30</w:t>
      </w:r>
      <w:r w:rsidRPr="00351EC4">
        <w:t>年回顾与展望</w:t>
      </w:r>
      <w:r w:rsidRPr="00351EC4">
        <w:t xml:space="preserve">[J]. </w:t>
      </w:r>
      <w:r w:rsidRPr="00351EC4">
        <w:t>煤炭科学技术</w:t>
      </w:r>
      <w:r w:rsidRPr="00351EC4">
        <w:t>, 2019, 47(7): 1-30. DOI: 10.13199/j.cnki.cst.2019.07.001.</w:t>
      </w:r>
      <w:bookmarkEnd w:id="48"/>
    </w:p>
    <w:p w14:paraId="5D914B68" w14:textId="77777777" w:rsidR="00351EC4" w:rsidRPr="00351EC4" w:rsidRDefault="00351EC4" w:rsidP="00351EC4">
      <w:pPr>
        <w:pStyle w:val="17"/>
      </w:pPr>
      <w:bookmarkStart w:id="49" w:name="REF_032"/>
      <w:r w:rsidRPr="00351EC4">
        <w:lastRenderedPageBreak/>
        <w:t>[32]</w:t>
      </w:r>
      <w:r w:rsidRPr="00351EC4">
        <w:tab/>
      </w:r>
      <w:r w:rsidRPr="00351EC4">
        <w:t>许家林</w:t>
      </w:r>
      <w:r w:rsidRPr="00351EC4">
        <w:t xml:space="preserve">, </w:t>
      </w:r>
      <w:r w:rsidRPr="00351EC4">
        <w:t>朱卫兵</w:t>
      </w:r>
      <w:r w:rsidRPr="00351EC4">
        <w:t xml:space="preserve">, </w:t>
      </w:r>
      <w:proofErr w:type="gramStart"/>
      <w:r w:rsidRPr="00351EC4">
        <w:t>王晓振</w:t>
      </w:r>
      <w:proofErr w:type="gramEnd"/>
      <w:r w:rsidRPr="00351EC4">
        <w:t xml:space="preserve">. </w:t>
      </w:r>
      <w:r w:rsidRPr="00351EC4">
        <w:t>基于关键层位置的导水裂隙带高度预计方法</w:t>
      </w:r>
      <w:r w:rsidRPr="00351EC4">
        <w:t xml:space="preserve">[J]. </w:t>
      </w:r>
      <w:r w:rsidRPr="00351EC4">
        <w:t>煤炭学报</w:t>
      </w:r>
      <w:r w:rsidRPr="00351EC4">
        <w:t>, 2012, 37(5): 762-769. DOI: 10.13225/j.cnki.jccs.2012.05.002.</w:t>
      </w:r>
      <w:bookmarkEnd w:id="49"/>
    </w:p>
    <w:p w14:paraId="2A06B225" w14:textId="77777777" w:rsidR="00351EC4" w:rsidRPr="00351EC4" w:rsidRDefault="00351EC4" w:rsidP="00351EC4">
      <w:pPr>
        <w:pStyle w:val="17"/>
      </w:pPr>
      <w:bookmarkStart w:id="50" w:name="REF_033"/>
      <w:r w:rsidRPr="00351EC4">
        <w:t>[33]</w:t>
      </w:r>
      <w:r w:rsidRPr="00351EC4">
        <w:tab/>
      </w:r>
      <w:r w:rsidRPr="00351EC4">
        <w:t>郭小铭</w:t>
      </w:r>
      <w:r w:rsidRPr="00351EC4">
        <w:t xml:space="preserve">, </w:t>
      </w:r>
      <w:proofErr w:type="gramStart"/>
      <w:r w:rsidRPr="00351EC4">
        <w:t>董书宁</w:t>
      </w:r>
      <w:proofErr w:type="gramEnd"/>
      <w:r w:rsidRPr="00351EC4">
        <w:t xml:space="preserve">. </w:t>
      </w:r>
      <w:r w:rsidRPr="00351EC4">
        <w:t>深埋煤层开采顶板基岩含水层渗流规律及保水技术</w:t>
      </w:r>
      <w:r w:rsidRPr="00351EC4">
        <w:t xml:space="preserve">[J]. </w:t>
      </w:r>
      <w:r w:rsidRPr="00351EC4">
        <w:t>煤炭学报</w:t>
      </w:r>
      <w:r w:rsidRPr="00351EC4">
        <w:t>, 2019, 44(3): 804-811. DOI: 10.13225/j.cnki.jccs.2018.6025.</w:t>
      </w:r>
      <w:bookmarkEnd w:id="50"/>
    </w:p>
    <w:p w14:paraId="5DECF55B" w14:textId="77777777" w:rsidR="00351EC4" w:rsidRPr="00351EC4" w:rsidRDefault="00351EC4" w:rsidP="00351EC4">
      <w:pPr>
        <w:pStyle w:val="17"/>
      </w:pPr>
      <w:bookmarkStart w:id="51" w:name="REF_034"/>
      <w:r w:rsidRPr="00351EC4">
        <w:t>[34]</w:t>
      </w:r>
      <w:r w:rsidRPr="00351EC4">
        <w:tab/>
        <w:t xml:space="preserve">FOROUGHI </w:t>
      </w:r>
      <w:proofErr w:type="spellStart"/>
      <w:r w:rsidRPr="00351EC4">
        <w:t>Sorayya</w:t>
      </w:r>
      <w:proofErr w:type="spellEnd"/>
      <w:r w:rsidRPr="00351EC4">
        <w:t>, HAMIDI Jafar Khademi, MONJEZI Masoud, et al. The integrated optimization of underground stope layout designing and production scheduling incorporating a non-dominated sorting genetic algorithm (NSGA-</w:t>
      </w:r>
      <w:proofErr w:type="gramStart"/>
      <w:r w:rsidRPr="00351EC4">
        <w:t>II)[</w:t>
      </w:r>
      <w:proofErr w:type="gramEnd"/>
      <w:r w:rsidRPr="00351EC4">
        <w:t>J]. Resources Policy, 2019, 63: 101408. DOI: 10.1016/j.resourpol.2019.101408.</w:t>
      </w:r>
      <w:bookmarkEnd w:id="51"/>
    </w:p>
    <w:p w14:paraId="668D7B93" w14:textId="77777777" w:rsidR="00351EC4" w:rsidRPr="00351EC4" w:rsidRDefault="00351EC4" w:rsidP="00351EC4">
      <w:pPr>
        <w:pStyle w:val="17"/>
      </w:pPr>
      <w:bookmarkStart w:id="52" w:name="REF_035"/>
      <w:r w:rsidRPr="00351EC4">
        <w:t>[35]</w:t>
      </w:r>
      <w:r w:rsidRPr="00351EC4">
        <w:tab/>
        <w:t xml:space="preserve">SHAN Yang, KE Li, XIANG Jun, et al. </w:t>
      </w:r>
      <w:proofErr w:type="gramStart"/>
      <w:r w:rsidRPr="00351EC4">
        <w:t>Multi-objective</w:t>
      </w:r>
      <w:proofErr w:type="gramEnd"/>
      <w:r w:rsidRPr="00351EC4">
        <w:t xml:space="preserve"> </w:t>
      </w:r>
      <w:proofErr w:type="spellStart"/>
      <w:r w:rsidRPr="00351EC4">
        <w:t>optimisation</w:t>
      </w:r>
      <w:proofErr w:type="spellEnd"/>
      <w:r w:rsidRPr="00351EC4">
        <w:t xml:space="preserve"> based on NSGA-II of mine cut-off grade from the perspective of resource security[J]. International Journal of Mining, Reclamation and Environment, 2025: 1-20. DOI: 10.1080/17480930.2025.2532460.</w:t>
      </w:r>
      <w:bookmarkEnd w:id="52"/>
    </w:p>
    <w:p w14:paraId="5CCA963C" w14:textId="77777777" w:rsidR="00351EC4" w:rsidRPr="00351EC4" w:rsidRDefault="00351EC4" w:rsidP="00351EC4">
      <w:pPr>
        <w:pStyle w:val="17"/>
      </w:pPr>
      <w:bookmarkStart w:id="53" w:name="REF_036"/>
      <w:r w:rsidRPr="00351EC4">
        <w:t>[36]</w:t>
      </w:r>
      <w:r w:rsidRPr="00351EC4">
        <w:tab/>
        <w:t xml:space="preserve">GU Xiaowei, WANG </w:t>
      </w:r>
      <w:proofErr w:type="spellStart"/>
      <w:r w:rsidRPr="00351EC4">
        <w:t>Xunhong</w:t>
      </w:r>
      <w:proofErr w:type="spellEnd"/>
      <w:r w:rsidRPr="00351EC4">
        <w:t xml:space="preserve">, LIU </w:t>
      </w:r>
      <w:proofErr w:type="spellStart"/>
      <w:r w:rsidRPr="00351EC4">
        <w:t>Zaobao</w:t>
      </w:r>
      <w:proofErr w:type="spellEnd"/>
      <w:r w:rsidRPr="00351EC4">
        <w:t>, et al. A multi-objective optimization model using improved NSGA-II for optimizing metal mines production process[J]. IEEE Access, 2020, 8: 28847-28858. DOI: 10.1109/access.2020.2972018.</w:t>
      </w:r>
      <w:bookmarkEnd w:id="53"/>
    </w:p>
    <w:p w14:paraId="62F261D9" w14:textId="77777777" w:rsidR="00351EC4" w:rsidRPr="00351EC4" w:rsidRDefault="00351EC4" w:rsidP="00351EC4">
      <w:pPr>
        <w:pStyle w:val="17"/>
      </w:pPr>
      <w:bookmarkStart w:id="54" w:name="REF_037"/>
      <w:r w:rsidRPr="00351EC4">
        <w:t>[37]</w:t>
      </w:r>
      <w:r w:rsidRPr="00351EC4">
        <w:tab/>
        <w:t>NESBITT Peter, BLAKE Lewis R., LAMAS Patricio, et al. Underground mine scheduling under uncertainty[J]. European Journal of Operational Research, 2021, 294(1): 340-352. DOI: 10.1016/j.ejor.2021.01.011.</w:t>
      </w:r>
      <w:bookmarkEnd w:id="54"/>
    </w:p>
    <w:p w14:paraId="07A0AACF" w14:textId="77777777" w:rsidR="00351EC4" w:rsidRPr="00351EC4" w:rsidRDefault="00351EC4" w:rsidP="00351EC4">
      <w:pPr>
        <w:pStyle w:val="17"/>
      </w:pPr>
      <w:bookmarkStart w:id="55" w:name="REF_038"/>
      <w:r w:rsidRPr="00351EC4">
        <w:t>[38]</w:t>
      </w:r>
      <w:r w:rsidRPr="00351EC4">
        <w:tab/>
        <w:t>PATHIRANAGE Ishara Hewa, NEUMANN Aneta. Multi-objective evolutionary optimization for large-scale open pit mine scheduling[C]//2024 IEEE Congress on Evolutionary Computation (CEC). 2024: 1-8. DOI: 10.1109/CEC60901.2024.10612008.</w:t>
      </w:r>
      <w:bookmarkEnd w:id="55"/>
    </w:p>
    <w:p w14:paraId="39C58D08" w14:textId="77777777" w:rsidR="00351EC4" w:rsidRPr="00351EC4" w:rsidRDefault="00351EC4" w:rsidP="00351EC4">
      <w:pPr>
        <w:pStyle w:val="17"/>
      </w:pPr>
      <w:bookmarkStart w:id="56" w:name="REF_039"/>
      <w:r w:rsidRPr="00351EC4">
        <w:t>[39]</w:t>
      </w:r>
      <w:r w:rsidRPr="00351EC4">
        <w:tab/>
      </w:r>
      <w:r w:rsidRPr="00351EC4">
        <w:t>王苏健</w:t>
      </w:r>
      <w:r w:rsidRPr="00351EC4">
        <w:t xml:space="preserve">, </w:t>
      </w:r>
      <w:r w:rsidRPr="00351EC4">
        <w:t>金声尧</w:t>
      </w:r>
      <w:r w:rsidRPr="00351EC4">
        <w:t xml:space="preserve">. </w:t>
      </w:r>
      <w:r w:rsidRPr="00351EC4">
        <w:t>类孤岛工作面复采方案优选分析研究</w:t>
      </w:r>
      <w:r w:rsidRPr="00351EC4">
        <w:t xml:space="preserve">[J]. </w:t>
      </w:r>
      <w:r w:rsidRPr="00351EC4">
        <w:t>煤炭科学技术</w:t>
      </w:r>
      <w:r w:rsidRPr="00351EC4">
        <w:t>, 2021, 49(9): 9-16. DOI: 10.13199/j.cnki.cst.2021.09.002.</w:t>
      </w:r>
      <w:bookmarkEnd w:id="56"/>
    </w:p>
    <w:p w14:paraId="6AC050D5" w14:textId="77777777" w:rsidR="00351EC4" w:rsidRPr="00351EC4" w:rsidRDefault="00351EC4" w:rsidP="00351EC4">
      <w:pPr>
        <w:pStyle w:val="17"/>
      </w:pPr>
      <w:bookmarkStart w:id="57" w:name="REF_040"/>
      <w:r w:rsidRPr="00351EC4">
        <w:t>[40]</w:t>
      </w:r>
      <w:r w:rsidRPr="00351EC4">
        <w:tab/>
        <w:t>ZHANG Xuhui, LV Xinyuan, WANG Yan, et al. Production process management for intelligent coal mining based on digital twin[M]//Digital Twin Driven Service. 2022: 251-277. DOI: 10.1016/B978-0-323-91300-3.00008-5.</w:t>
      </w:r>
      <w:bookmarkEnd w:id="57"/>
    </w:p>
    <w:p w14:paraId="6EE9EEEA" w14:textId="77777777" w:rsidR="00351EC4" w:rsidRPr="00351EC4" w:rsidRDefault="00351EC4" w:rsidP="00351EC4">
      <w:pPr>
        <w:pStyle w:val="17"/>
      </w:pPr>
      <w:bookmarkStart w:id="58" w:name="REF_041"/>
      <w:r w:rsidRPr="00351EC4">
        <w:t>[41]</w:t>
      </w:r>
      <w:r w:rsidRPr="00351EC4">
        <w:tab/>
        <w:t xml:space="preserve">QU </w:t>
      </w:r>
      <w:proofErr w:type="spellStart"/>
      <w:r w:rsidRPr="00351EC4">
        <w:t>Juncong</w:t>
      </w:r>
      <w:proofErr w:type="spellEnd"/>
      <w:r w:rsidRPr="00351EC4">
        <w:t xml:space="preserve">, KIZIL Mehmet S., YAHYAEI Mohsen, et al. Digital twins in the minerals industry: a comprehensive review[J]. Mining </w:t>
      </w:r>
      <w:r w:rsidRPr="00351EC4">
        <w:t>Technology, 2023, 132(4): 267-289. DOI: 10.1080/25726668.2023.2257479.</w:t>
      </w:r>
      <w:bookmarkEnd w:id="58"/>
    </w:p>
    <w:p w14:paraId="1F7F8AA9" w14:textId="77777777" w:rsidR="00351EC4" w:rsidRPr="00351EC4" w:rsidRDefault="00351EC4" w:rsidP="00351EC4">
      <w:pPr>
        <w:pStyle w:val="17"/>
      </w:pPr>
      <w:bookmarkStart w:id="59" w:name="REF_042"/>
      <w:r w:rsidRPr="00351EC4">
        <w:t>[42]</w:t>
      </w:r>
      <w:r w:rsidRPr="00351EC4">
        <w:tab/>
        <w:t xml:space="preserve">PAN </w:t>
      </w:r>
      <w:proofErr w:type="spellStart"/>
      <w:r w:rsidRPr="00351EC4">
        <w:t>Dongdong</w:t>
      </w:r>
      <w:proofErr w:type="spellEnd"/>
      <w:r w:rsidRPr="00351EC4">
        <w:t xml:space="preserve">, XU </w:t>
      </w:r>
      <w:proofErr w:type="spellStart"/>
      <w:r w:rsidRPr="00351EC4">
        <w:t>Zhenhao</w:t>
      </w:r>
      <w:proofErr w:type="spellEnd"/>
      <w:r w:rsidRPr="00351EC4">
        <w:t xml:space="preserve">, LU </w:t>
      </w:r>
      <w:proofErr w:type="spellStart"/>
      <w:r w:rsidRPr="00351EC4">
        <w:t>Xinming</w:t>
      </w:r>
      <w:proofErr w:type="spellEnd"/>
      <w:r w:rsidRPr="00351EC4">
        <w:t>, et al. 3D scene and geological modeling using integrated multi-source spatial data: methodology, challenges, and suggestions[J]. Tunnelling and Underground Space Technology, 2020, 100: 103393. DOI: 10.1016/j.tust.2020.103393.</w:t>
      </w:r>
      <w:bookmarkEnd w:id="59"/>
    </w:p>
    <w:p w14:paraId="7AF72E69" w14:textId="77777777" w:rsidR="00351EC4" w:rsidRPr="00351EC4" w:rsidRDefault="00351EC4" w:rsidP="00351EC4">
      <w:pPr>
        <w:pStyle w:val="17"/>
      </w:pPr>
      <w:bookmarkStart w:id="60" w:name="REF_043"/>
      <w:r w:rsidRPr="00351EC4">
        <w:t>[43]</w:t>
      </w:r>
      <w:r w:rsidRPr="00351EC4">
        <w:tab/>
        <w:t xml:space="preserve">AHMED Haitham M., ADEWUYI </w:t>
      </w:r>
      <w:proofErr w:type="spellStart"/>
      <w:r w:rsidRPr="00351EC4">
        <w:t>Sefiu</w:t>
      </w:r>
      <w:proofErr w:type="spellEnd"/>
      <w:r w:rsidRPr="00351EC4">
        <w:t>, AHMED Hussin M. A. Continuous cash flow modeling for economic evaluation and risk analysis in mine planning using Monte Carlo simulation[J]. Journal of King Abdulaziz University: Engineering Sciences, 2024, 34(2). DOI: 10.4197/eng.34-2.6.</w:t>
      </w:r>
      <w:bookmarkEnd w:id="60"/>
    </w:p>
    <w:p w14:paraId="77BC7B1C" w14:textId="77777777" w:rsidR="00351EC4" w:rsidRPr="00351EC4" w:rsidRDefault="00351EC4" w:rsidP="00351EC4">
      <w:pPr>
        <w:pStyle w:val="17"/>
      </w:pPr>
      <w:bookmarkStart w:id="61" w:name="REF_044"/>
      <w:r w:rsidRPr="00351EC4">
        <w:t>[44]</w:t>
      </w:r>
      <w:r w:rsidRPr="00351EC4">
        <w:tab/>
        <w:t xml:space="preserve">LI </w:t>
      </w:r>
      <w:proofErr w:type="spellStart"/>
      <w:r w:rsidRPr="00351EC4">
        <w:t>Jiaoqun</w:t>
      </w:r>
      <w:proofErr w:type="spellEnd"/>
      <w:r w:rsidRPr="00351EC4">
        <w:t xml:space="preserve">, WU Tong, LU </w:t>
      </w:r>
      <w:proofErr w:type="spellStart"/>
      <w:r w:rsidRPr="00351EC4">
        <w:t>Zengxiang</w:t>
      </w:r>
      <w:proofErr w:type="spellEnd"/>
      <w:r w:rsidRPr="00351EC4">
        <w:t xml:space="preserve">, et al. Investigation into mining economic evaluation approaches based on the </w:t>
      </w:r>
      <w:proofErr w:type="spellStart"/>
      <w:r w:rsidRPr="00351EC4">
        <w:t>Rosenblueth</w:t>
      </w:r>
      <w:proofErr w:type="spellEnd"/>
      <w:r w:rsidRPr="00351EC4">
        <w:t xml:space="preserve"> point estimate method[J]. Applied Sciences, 2023, 13(15): 9011. DOI: 10.3390/app13159011.</w:t>
      </w:r>
      <w:bookmarkEnd w:id="61"/>
    </w:p>
    <w:p w14:paraId="14CBE2E0" w14:textId="77777777" w:rsidR="00351EC4" w:rsidRPr="00351EC4" w:rsidRDefault="00351EC4" w:rsidP="00351EC4">
      <w:pPr>
        <w:pStyle w:val="17"/>
      </w:pPr>
      <w:bookmarkStart w:id="62" w:name="REF_045"/>
      <w:r w:rsidRPr="00351EC4">
        <w:t>[45]</w:t>
      </w:r>
      <w:r w:rsidRPr="00351EC4">
        <w:tab/>
        <w:t>DEHGHANI Hesam, ATAEE-POUR Majid, ESFAHANIPOUR Akbar. Evaluation of the mining projects under economic uncertainties using multidimensional binomial tree[J]. Resources Policy, 2014, 39: 124-133. DOI: 10.1016/j.resourpol.2014.01.003.</w:t>
      </w:r>
      <w:bookmarkEnd w:id="62"/>
    </w:p>
    <w:p w14:paraId="6CCB6F08" w14:textId="77777777" w:rsidR="00351EC4" w:rsidRPr="00351EC4" w:rsidRDefault="00351EC4" w:rsidP="00351EC4">
      <w:pPr>
        <w:pStyle w:val="17"/>
      </w:pPr>
      <w:bookmarkStart w:id="63" w:name="REF_046"/>
      <w:r w:rsidRPr="00351EC4">
        <w:t>[46]</w:t>
      </w:r>
      <w:r w:rsidRPr="00351EC4">
        <w:tab/>
      </w:r>
      <w:r w:rsidRPr="00351EC4">
        <w:t>刘晓丽</w:t>
      </w:r>
      <w:r w:rsidRPr="00351EC4">
        <w:t xml:space="preserve">, </w:t>
      </w:r>
      <w:r w:rsidRPr="00351EC4">
        <w:t>曹志国</w:t>
      </w:r>
      <w:r w:rsidRPr="00351EC4">
        <w:t xml:space="preserve">, </w:t>
      </w:r>
      <w:r w:rsidRPr="00351EC4">
        <w:t>陈苏社</w:t>
      </w:r>
      <w:r w:rsidRPr="00351EC4">
        <w:t xml:space="preserve">, </w:t>
      </w:r>
      <w:r w:rsidRPr="00351EC4">
        <w:t>等</w:t>
      </w:r>
      <w:r w:rsidRPr="00351EC4">
        <w:t xml:space="preserve">. </w:t>
      </w:r>
      <w:r w:rsidRPr="00351EC4">
        <w:t>煤矿分布式地下水库</w:t>
      </w:r>
      <w:proofErr w:type="gramStart"/>
      <w:r w:rsidRPr="00351EC4">
        <w:t>渗流场</w:t>
      </w:r>
      <w:proofErr w:type="gramEnd"/>
      <w:r w:rsidRPr="00351EC4">
        <w:t>分析及优化调度</w:t>
      </w:r>
      <w:r w:rsidRPr="00351EC4">
        <w:t xml:space="preserve">[J]. </w:t>
      </w:r>
      <w:r w:rsidRPr="00351EC4">
        <w:t>煤炭学报</w:t>
      </w:r>
      <w:r w:rsidRPr="00351EC4">
        <w:t>, 2019, 44(12): 3693-3699. DOI: 10.13225/j.cnki.jccs.SH19.1167.</w:t>
      </w:r>
      <w:bookmarkEnd w:id="63"/>
    </w:p>
    <w:p w14:paraId="536F86EF" w14:textId="77777777" w:rsidR="00351EC4" w:rsidRPr="00351EC4" w:rsidRDefault="00351EC4" w:rsidP="00351EC4">
      <w:pPr>
        <w:pStyle w:val="17"/>
      </w:pPr>
      <w:bookmarkStart w:id="64" w:name="REF_047"/>
      <w:r w:rsidRPr="00351EC4">
        <w:t>[47]</w:t>
      </w:r>
      <w:r w:rsidRPr="00351EC4">
        <w:tab/>
      </w:r>
      <w:r w:rsidRPr="00351EC4">
        <w:t>庞义辉</w:t>
      </w:r>
      <w:r w:rsidRPr="00351EC4">
        <w:t xml:space="preserve">, </w:t>
      </w:r>
      <w:r w:rsidRPr="00351EC4">
        <w:t>李全生</w:t>
      </w:r>
      <w:r w:rsidRPr="00351EC4">
        <w:t xml:space="preserve">, </w:t>
      </w:r>
      <w:r w:rsidRPr="00351EC4">
        <w:t>曹光明</w:t>
      </w:r>
      <w:r w:rsidRPr="00351EC4">
        <w:t xml:space="preserve">, </w:t>
      </w:r>
      <w:r w:rsidRPr="00351EC4">
        <w:t>等</w:t>
      </w:r>
      <w:r w:rsidRPr="00351EC4">
        <w:t xml:space="preserve">. </w:t>
      </w:r>
      <w:r w:rsidRPr="00351EC4">
        <w:t>煤矿地下水库储水空间构成分析及计算方法</w:t>
      </w:r>
      <w:r w:rsidRPr="00351EC4">
        <w:t xml:space="preserve">[J]. </w:t>
      </w:r>
      <w:r w:rsidRPr="00351EC4">
        <w:t>煤炭学报</w:t>
      </w:r>
      <w:r w:rsidRPr="00351EC4">
        <w:t>, 2019, 44(2): 557-566. DOI: 10.13225/j.cnki.jccs.2018.0417.</w:t>
      </w:r>
      <w:bookmarkEnd w:id="64"/>
    </w:p>
    <w:p w14:paraId="78985091" w14:textId="77777777" w:rsidR="00351EC4" w:rsidRPr="00351EC4" w:rsidRDefault="00351EC4" w:rsidP="00351EC4">
      <w:pPr>
        <w:pStyle w:val="17"/>
      </w:pPr>
      <w:bookmarkStart w:id="65" w:name="REF_048"/>
      <w:r w:rsidRPr="00351EC4">
        <w:t>[48]</w:t>
      </w:r>
      <w:r w:rsidRPr="00351EC4">
        <w:tab/>
      </w:r>
      <w:r w:rsidRPr="00351EC4">
        <w:t>李全生</w:t>
      </w:r>
      <w:r w:rsidRPr="00351EC4">
        <w:t xml:space="preserve">, </w:t>
      </w:r>
      <w:r w:rsidRPr="00351EC4">
        <w:t>鞠金峰</w:t>
      </w:r>
      <w:r w:rsidRPr="00351EC4">
        <w:t xml:space="preserve">, </w:t>
      </w:r>
      <w:r w:rsidRPr="00351EC4">
        <w:t>曹志国</w:t>
      </w:r>
      <w:r w:rsidRPr="00351EC4">
        <w:t xml:space="preserve">, </w:t>
      </w:r>
      <w:r w:rsidRPr="00351EC4">
        <w:t>等</w:t>
      </w:r>
      <w:r w:rsidRPr="00351EC4">
        <w:t xml:space="preserve">. </w:t>
      </w:r>
      <w:r w:rsidRPr="00351EC4">
        <w:t>基于导水裂隙带高度的地下水库适应性评价</w:t>
      </w:r>
      <w:r w:rsidRPr="00351EC4">
        <w:t xml:space="preserve">[J]. </w:t>
      </w:r>
      <w:r w:rsidRPr="00351EC4">
        <w:t>煤炭学报</w:t>
      </w:r>
      <w:r w:rsidRPr="00351EC4">
        <w:t>, 2017, 42(8): 2116-2124. DOI: 10.13225/j.cnki.jccs.2016.1871.</w:t>
      </w:r>
      <w:bookmarkEnd w:id="65"/>
    </w:p>
    <w:p w14:paraId="0657D167" w14:textId="77777777" w:rsidR="00351EC4" w:rsidRPr="00351EC4" w:rsidRDefault="00351EC4" w:rsidP="00351EC4">
      <w:pPr>
        <w:pStyle w:val="17"/>
      </w:pPr>
      <w:bookmarkStart w:id="66" w:name="REF_049"/>
      <w:r w:rsidRPr="00351EC4">
        <w:t>[49]</w:t>
      </w:r>
      <w:r w:rsidRPr="00351EC4">
        <w:tab/>
      </w:r>
      <w:r w:rsidRPr="00351EC4">
        <w:t>鞠金峰</w:t>
      </w:r>
      <w:r w:rsidRPr="00351EC4">
        <w:t xml:space="preserve">, </w:t>
      </w:r>
      <w:r w:rsidRPr="00351EC4">
        <w:t>许家林</w:t>
      </w:r>
      <w:r w:rsidRPr="00351EC4">
        <w:t xml:space="preserve">, </w:t>
      </w:r>
      <w:r w:rsidRPr="00351EC4">
        <w:t>朱卫兵</w:t>
      </w:r>
      <w:r w:rsidRPr="00351EC4">
        <w:t xml:space="preserve">. </w:t>
      </w:r>
      <w:r w:rsidRPr="00351EC4">
        <w:t>西部缺水矿区地下水库保水的库容研究</w:t>
      </w:r>
      <w:r w:rsidRPr="00351EC4">
        <w:t xml:space="preserve">[J]. </w:t>
      </w:r>
      <w:r w:rsidRPr="00351EC4">
        <w:t>煤炭学报</w:t>
      </w:r>
      <w:r w:rsidRPr="00351EC4">
        <w:t>, 2017, 42(2): 381-387. DOI: 10.13225/j.cnki.jccs.2016.6016.</w:t>
      </w:r>
      <w:bookmarkEnd w:id="66"/>
    </w:p>
    <w:p w14:paraId="7209004E" w14:textId="77777777" w:rsidR="00351EC4" w:rsidRPr="00351EC4" w:rsidRDefault="00351EC4" w:rsidP="00351EC4">
      <w:pPr>
        <w:pStyle w:val="17"/>
      </w:pPr>
      <w:bookmarkStart w:id="67" w:name="REF_050"/>
      <w:r w:rsidRPr="00351EC4">
        <w:t>[50]</w:t>
      </w:r>
      <w:r w:rsidRPr="00351EC4">
        <w:tab/>
      </w:r>
      <w:r w:rsidRPr="00351EC4">
        <w:t>徐智敏</w:t>
      </w:r>
      <w:r w:rsidRPr="00351EC4">
        <w:t xml:space="preserve">, </w:t>
      </w:r>
      <w:r w:rsidRPr="00351EC4">
        <w:t>高尚</w:t>
      </w:r>
      <w:r w:rsidRPr="00351EC4">
        <w:t xml:space="preserve">, </w:t>
      </w:r>
      <w:r w:rsidRPr="00351EC4">
        <w:t>孙亚军</w:t>
      </w:r>
      <w:r w:rsidRPr="00351EC4">
        <w:t xml:space="preserve">, </w:t>
      </w:r>
      <w:r w:rsidRPr="00351EC4">
        <w:t>等</w:t>
      </w:r>
      <w:r w:rsidRPr="00351EC4">
        <w:t xml:space="preserve">. </w:t>
      </w:r>
      <w:r w:rsidRPr="00351EC4">
        <w:t>西部典型侏罗系富煤区含水介质条件与水动力学特征</w:t>
      </w:r>
      <w:r w:rsidRPr="00351EC4">
        <w:t xml:space="preserve">[J]. </w:t>
      </w:r>
      <w:r w:rsidRPr="00351EC4">
        <w:t>煤炭学报</w:t>
      </w:r>
      <w:r w:rsidRPr="00351EC4">
        <w:t>, 2017, 42(2): 444-451. DOI: 10.13225/j.cnki.jccs.2016.6024.</w:t>
      </w:r>
      <w:bookmarkEnd w:id="67"/>
    </w:p>
    <w:p w14:paraId="4A70BFD4" w14:textId="77777777" w:rsidR="002A19C7" w:rsidRDefault="002A19C7" w:rsidP="00351EC4">
      <w:pPr>
        <w:spacing w:beforeLines="0" w:afterLines="0"/>
        <w:rPr>
          <w:rFonts w:eastAsia="黑体;SimHei"/>
        </w:rPr>
        <w:sectPr w:rsidR="002A19C7" w:rsidSect="00A07DBF">
          <w:type w:val="continuous"/>
          <w:pgSz w:w="11906" w:h="16838"/>
          <w:pgMar w:top="1418" w:right="1134" w:bottom="1134" w:left="1134" w:header="720" w:footer="720" w:gutter="0"/>
          <w:cols w:num="2" w:space="720"/>
          <w:docGrid w:linePitch="598"/>
        </w:sectPr>
      </w:pPr>
    </w:p>
    <w:p w14:paraId="5E09CA2F" w14:textId="77777777" w:rsidR="004F40A1" w:rsidRPr="00D81F89" w:rsidRDefault="004F40A1" w:rsidP="002711E2">
      <w:pPr>
        <w:pStyle w:val="100"/>
        <w:ind w:firstLine="420"/>
        <w:jc w:val="center"/>
        <w:rPr>
          <w:rFonts w:ascii="宋体" w:hAnsi="宋体" w:hint="eastAsia"/>
        </w:rPr>
      </w:pPr>
    </w:p>
    <w:sectPr w:rsidR="004F40A1" w:rsidRPr="00D81F89" w:rsidSect="00AD42AB">
      <w:type w:val="continuous"/>
      <w:pgSz w:w="11906" w:h="16838"/>
      <w:pgMar w:top="1418" w:right="1134" w:bottom="1134" w:left="1134" w:header="1418" w:footer="0" w:gutter="0"/>
      <w:cols w:num="2"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A19C17" w14:textId="77777777" w:rsidR="00585C35" w:rsidRDefault="00585C35" w:rsidP="00461D3E">
      <w:r>
        <w:separator/>
      </w:r>
    </w:p>
  </w:endnote>
  <w:endnote w:type="continuationSeparator" w:id="0">
    <w:p w14:paraId="0500D4B3" w14:textId="77777777" w:rsidR="00585C35" w:rsidRDefault="00585C35" w:rsidP="00461D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华文仿宋">
    <w:panose1 w:val="02010600040101010101"/>
    <w:charset w:val="86"/>
    <w:family w:val="auto"/>
    <w:pitch w:val="variable"/>
    <w:sig w:usb0="00000287" w:usb1="080F0000" w:usb2="00000010" w:usb3="00000000" w:csb0="000400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华文仿宋;华文仿宋">
    <w:altName w:val="宋体"/>
    <w:panose1 w:val="00000000000000000000"/>
    <w:charset w:val="86"/>
    <w:family w:val="roman"/>
    <w:notTrueType/>
    <w:pitch w:val="default"/>
  </w:font>
  <w:font w:name="宋体;SimSun">
    <w:altName w:val="宋体"/>
    <w:panose1 w:val="00000000000000000000"/>
    <w:charset w:val="86"/>
    <w:family w:val="roman"/>
    <w:notTrueType/>
    <w:pitch w:val="default"/>
  </w:font>
  <w:font w:name="黑体;SimHei">
    <w:altName w:val="宋体"/>
    <w:panose1 w:val="00000000000000000000"/>
    <w:charset w:val="86"/>
    <w:family w:val="roman"/>
    <w:notTrueType/>
    <w:pitch w:val="default"/>
  </w:font>
  <w:font w:name="Lucida Sans">
    <w:panose1 w:val="020B0602030504020204"/>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89C6A" w14:textId="77777777" w:rsidR="008D5B0E" w:rsidRDefault="008D5B0E">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6FC9E" w14:textId="77777777" w:rsidR="008D5B0E" w:rsidRDefault="008D5B0E">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405905" w14:textId="77777777" w:rsidR="00585C35" w:rsidRDefault="00585C35" w:rsidP="00461D3E">
      <w:r>
        <w:separator/>
      </w:r>
    </w:p>
  </w:footnote>
  <w:footnote w:type="continuationSeparator" w:id="0">
    <w:p w14:paraId="75A5E49B" w14:textId="77777777" w:rsidR="00585C35" w:rsidRDefault="00585C35" w:rsidP="00461D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F039E" w14:textId="77777777" w:rsidR="002711E2" w:rsidRDefault="002711E2" w:rsidP="002711E2">
    <w:pPr>
      <w:pStyle w:val="ac"/>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0A087B73"/>
    <w:multiLevelType w:val="multilevel"/>
    <w:tmpl w:val="0A087B73"/>
    <w:lvl w:ilvl="0">
      <w:start w:val="1"/>
      <w:numFmt w:val="decimal"/>
      <w:lvlText w:val="%1."/>
      <w:lvlJc w:val="left"/>
      <w:pPr>
        <w:tabs>
          <w:tab w:val="num" w:pos="360"/>
        </w:tabs>
        <w:ind w:left="360" w:hanging="360"/>
      </w:pPr>
      <w:rPr>
        <w:rFonts w:hint="default"/>
      </w:rPr>
    </w:lvl>
    <w:lvl w:ilvl="1">
      <w:start w:val="1"/>
      <w:numFmt w:val="bullet"/>
      <w:lvlText w:val=""/>
      <w:lvlJc w:val="left"/>
      <w:pPr>
        <w:tabs>
          <w:tab w:val="num" w:pos="840"/>
        </w:tabs>
        <w:ind w:left="840" w:hanging="420"/>
      </w:pPr>
      <w:rPr>
        <w:rFonts w:ascii="Wingdings" w:hAnsi="Wingdings" w:hint="default"/>
      </w:rPr>
    </w:lvl>
    <w:lvl w:ilvl="2">
      <w:start w:val="1"/>
      <w:numFmt w:val="decimal"/>
      <w:lvlText w:val="%3."/>
      <w:lvlJc w:val="left"/>
      <w:pPr>
        <w:tabs>
          <w:tab w:val="num" w:pos="1200"/>
        </w:tabs>
        <w:ind w:left="1200" w:hanging="360"/>
      </w:pPr>
      <w:rPr>
        <w:rFonts w:hint="default"/>
      </w:r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9" w15:restartNumberingAfterBreak="0">
    <w:nsid w:val="0C960AF4"/>
    <w:multiLevelType w:val="hybridMultilevel"/>
    <w:tmpl w:val="E81AC972"/>
    <w:lvl w:ilvl="0" w:tplc="1C08C20C">
      <w:start w:val="1"/>
      <w:numFmt w:val="decimal"/>
      <w:lvlText w:val="%1、"/>
      <w:lvlJc w:val="left"/>
      <w:pPr>
        <w:ind w:left="360" w:hanging="360"/>
      </w:pPr>
      <w:rPr>
        <w:rFonts w:ascii="华文仿宋" w:eastAsia="华文仿宋" w:hAnsi="华文仿宋" w:hint="default"/>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D9C16CE"/>
    <w:multiLevelType w:val="hybridMultilevel"/>
    <w:tmpl w:val="A94A093A"/>
    <w:lvl w:ilvl="0" w:tplc="A0C89362">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E77617F"/>
    <w:multiLevelType w:val="hybridMultilevel"/>
    <w:tmpl w:val="1DB870F8"/>
    <w:lvl w:ilvl="0" w:tplc="35EC0DAE">
      <w:start w:val="1"/>
      <w:numFmt w:val="decimal"/>
      <w:lvlText w:val="%1、"/>
      <w:lvlJc w:val="left"/>
      <w:pPr>
        <w:ind w:left="1450" w:hanging="360"/>
      </w:pPr>
      <w:rPr>
        <w:rFonts w:hint="default"/>
      </w:rPr>
    </w:lvl>
    <w:lvl w:ilvl="1" w:tplc="04090019">
      <w:start w:val="1"/>
      <w:numFmt w:val="lowerLetter"/>
      <w:lvlText w:val="%2)"/>
      <w:lvlJc w:val="left"/>
      <w:pPr>
        <w:ind w:left="1930" w:hanging="420"/>
      </w:pPr>
    </w:lvl>
    <w:lvl w:ilvl="2" w:tplc="0409001B" w:tentative="1">
      <w:start w:val="1"/>
      <w:numFmt w:val="lowerRoman"/>
      <w:lvlText w:val="%3."/>
      <w:lvlJc w:val="right"/>
      <w:pPr>
        <w:ind w:left="2350" w:hanging="420"/>
      </w:pPr>
    </w:lvl>
    <w:lvl w:ilvl="3" w:tplc="0409000F" w:tentative="1">
      <w:start w:val="1"/>
      <w:numFmt w:val="decimal"/>
      <w:lvlText w:val="%4."/>
      <w:lvlJc w:val="left"/>
      <w:pPr>
        <w:ind w:left="2770" w:hanging="420"/>
      </w:pPr>
    </w:lvl>
    <w:lvl w:ilvl="4" w:tplc="04090019" w:tentative="1">
      <w:start w:val="1"/>
      <w:numFmt w:val="lowerLetter"/>
      <w:lvlText w:val="%5)"/>
      <w:lvlJc w:val="left"/>
      <w:pPr>
        <w:ind w:left="3190" w:hanging="420"/>
      </w:pPr>
    </w:lvl>
    <w:lvl w:ilvl="5" w:tplc="0409001B" w:tentative="1">
      <w:start w:val="1"/>
      <w:numFmt w:val="lowerRoman"/>
      <w:lvlText w:val="%6."/>
      <w:lvlJc w:val="right"/>
      <w:pPr>
        <w:ind w:left="3610" w:hanging="420"/>
      </w:pPr>
    </w:lvl>
    <w:lvl w:ilvl="6" w:tplc="0409000F" w:tentative="1">
      <w:start w:val="1"/>
      <w:numFmt w:val="decimal"/>
      <w:lvlText w:val="%7."/>
      <w:lvlJc w:val="left"/>
      <w:pPr>
        <w:ind w:left="4030" w:hanging="420"/>
      </w:pPr>
    </w:lvl>
    <w:lvl w:ilvl="7" w:tplc="04090019" w:tentative="1">
      <w:start w:val="1"/>
      <w:numFmt w:val="lowerLetter"/>
      <w:lvlText w:val="%8)"/>
      <w:lvlJc w:val="left"/>
      <w:pPr>
        <w:ind w:left="4450" w:hanging="420"/>
      </w:pPr>
    </w:lvl>
    <w:lvl w:ilvl="8" w:tplc="0409001B" w:tentative="1">
      <w:start w:val="1"/>
      <w:numFmt w:val="lowerRoman"/>
      <w:lvlText w:val="%9."/>
      <w:lvlJc w:val="right"/>
      <w:pPr>
        <w:ind w:left="4870" w:hanging="420"/>
      </w:pPr>
    </w:lvl>
  </w:abstractNum>
  <w:abstractNum w:abstractNumId="12" w15:restartNumberingAfterBreak="0">
    <w:nsid w:val="200E7747"/>
    <w:multiLevelType w:val="hybridMultilevel"/>
    <w:tmpl w:val="0C545040"/>
    <w:lvl w:ilvl="0" w:tplc="4358D8A6">
      <w:start w:val="1"/>
      <w:numFmt w:val="decimalEnclosedCircle"/>
      <w:lvlText w:val="%1"/>
      <w:lvlJc w:val="left"/>
      <w:pPr>
        <w:ind w:left="780" w:hanging="360"/>
      </w:pPr>
      <w:rPr>
        <w:rFonts w:ascii="华文仿宋" w:eastAsia="华文仿宋" w:hAnsi="华文仿宋"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15:restartNumberingAfterBreak="0">
    <w:nsid w:val="22751A82"/>
    <w:multiLevelType w:val="multilevel"/>
    <w:tmpl w:val="22751A82"/>
    <w:lvl w:ilvl="0">
      <w:start w:val="1"/>
      <w:numFmt w:val="bullet"/>
      <w:lvlText w:val=""/>
      <w:lvlJc w:val="left"/>
      <w:pPr>
        <w:tabs>
          <w:tab w:val="num" w:pos="840"/>
        </w:tabs>
        <w:ind w:left="840" w:hanging="420"/>
      </w:pPr>
      <w:rPr>
        <w:rFonts w:ascii="Wingdings" w:hAnsi="Wingdings" w:hint="default"/>
      </w:rPr>
    </w:lvl>
    <w:lvl w:ilvl="1">
      <w:start w:val="1"/>
      <w:numFmt w:val="decimal"/>
      <w:lvlText w:val="%2."/>
      <w:lvlJc w:val="left"/>
      <w:pPr>
        <w:tabs>
          <w:tab w:val="num" w:pos="1200"/>
        </w:tabs>
        <w:ind w:left="1200" w:hanging="360"/>
      </w:pPr>
      <w:rPr>
        <w:rFonts w:hint="default"/>
      </w:rPr>
    </w:lvl>
    <w:lvl w:ilvl="2">
      <w:start w:val="1"/>
      <w:numFmt w:val="bullet"/>
      <w:lvlText w:val=""/>
      <w:lvlJc w:val="left"/>
      <w:pPr>
        <w:tabs>
          <w:tab w:val="num" w:pos="1680"/>
        </w:tabs>
        <w:ind w:left="1680" w:hanging="420"/>
      </w:pPr>
      <w:rPr>
        <w:rFonts w:ascii="Wingdings" w:hAnsi="Wingdings" w:hint="default"/>
      </w:rPr>
    </w:lvl>
    <w:lvl w:ilvl="3">
      <w:start w:val="1"/>
      <w:numFmt w:val="bullet"/>
      <w:lvlText w:val=""/>
      <w:lvlJc w:val="left"/>
      <w:pPr>
        <w:tabs>
          <w:tab w:val="num" w:pos="2100"/>
        </w:tabs>
        <w:ind w:left="2100" w:hanging="420"/>
      </w:pPr>
      <w:rPr>
        <w:rFonts w:ascii="Wingdings" w:hAnsi="Wingdings" w:hint="default"/>
      </w:rPr>
    </w:lvl>
    <w:lvl w:ilvl="4">
      <w:start w:val="1"/>
      <w:numFmt w:val="bullet"/>
      <w:lvlText w:val=""/>
      <w:lvlJc w:val="left"/>
      <w:pPr>
        <w:tabs>
          <w:tab w:val="num" w:pos="2520"/>
        </w:tabs>
        <w:ind w:left="2520" w:hanging="420"/>
      </w:pPr>
      <w:rPr>
        <w:rFonts w:ascii="Wingdings" w:hAnsi="Wingdings" w:hint="default"/>
      </w:rPr>
    </w:lvl>
    <w:lvl w:ilvl="5">
      <w:start w:val="1"/>
      <w:numFmt w:val="bullet"/>
      <w:lvlText w:val=""/>
      <w:lvlJc w:val="left"/>
      <w:pPr>
        <w:tabs>
          <w:tab w:val="num" w:pos="2940"/>
        </w:tabs>
        <w:ind w:left="2940" w:hanging="420"/>
      </w:pPr>
      <w:rPr>
        <w:rFonts w:ascii="Wingdings" w:hAnsi="Wingdings" w:hint="default"/>
      </w:rPr>
    </w:lvl>
    <w:lvl w:ilvl="6">
      <w:start w:val="1"/>
      <w:numFmt w:val="bullet"/>
      <w:lvlText w:val=""/>
      <w:lvlJc w:val="left"/>
      <w:pPr>
        <w:tabs>
          <w:tab w:val="num" w:pos="3360"/>
        </w:tabs>
        <w:ind w:left="3360" w:hanging="420"/>
      </w:pPr>
      <w:rPr>
        <w:rFonts w:ascii="Wingdings" w:hAnsi="Wingdings" w:hint="default"/>
      </w:rPr>
    </w:lvl>
    <w:lvl w:ilvl="7">
      <w:start w:val="1"/>
      <w:numFmt w:val="bullet"/>
      <w:lvlText w:val=""/>
      <w:lvlJc w:val="left"/>
      <w:pPr>
        <w:tabs>
          <w:tab w:val="num" w:pos="3780"/>
        </w:tabs>
        <w:ind w:left="3780" w:hanging="420"/>
      </w:pPr>
      <w:rPr>
        <w:rFonts w:ascii="Wingdings" w:hAnsi="Wingdings" w:hint="default"/>
      </w:rPr>
    </w:lvl>
    <w:lvl w:ilvl="8">
      <w:start w:val="1"/>
      <w:numFmt w:val="bullet"/>
      <w:lvlText w:val=""/>
      <w:lvlJc w:val="left"/>
      <w:pPr>
        <w:tabs>
          <w:tab w:val="num" w:pos="4200"/>
        </w:tabs>
        <w:ind w:left="4200" w:hanging="420"/>
      </w:pPr>
      <w:rPr>
        <w:rFonts w:ascii="Wingdings" w:hAnsi="Wingdings" w:hint="default"/>
      </w:rPr>
    </w:lvl>
  </w:abstractNum>
  <w:abstractNum w:abstractNumId="14" w15:restartNumberingAfterBreak="0">
    <w:nsid w:val="36E3570A"/>
    <w:multiLevelType w:val="hybridMultilevel"/>
    <w:tmpl w:val="AF3AECD6"/>
    <w:lvl w:ilvl="0" w:tplc="F830ECAE">
      <w:start w:val="2"/>
      <w:numFmt w:val="decimalEnclosedCircle"/>
      <w:lvlText w:val="%1"/>
      <w:lvlJc w:val="left"/>
      <w:pPr>
        <w:ind w:left="1460" w:hanging="360"/>
      </w:pPr>
      <w:rPr>
        <w:rFonts w:hint="default"/>
      </w:rPr>
    </w:lvl>
    <w:lvl w:ilvl="1" w:tplc="52E0B04A">
      <w:start w:val="1"/>
      <w:numFmt w:val="decimalEnclosedCircle"/>
      <w:lvlText w:val="%2"/>
      <w:lvlJc w:val="left"/>
      <w:pPr>
        <w:ind w:left="1880" w:hanging="360"/>
      </w:pPr>
      <w:rPr>
        <w:rFonts w:hint="default"/>
      </w:rPr>
    </w:lvl>
    <w:lvl w:ilvl="2" w:tplc="0409001B" w:tentative="1">
      <w:start w:val="1"/>
      <w:numFmt w:val="lowerRoman"/>
      <w:lvlText w:val="%3."/>
      <w:lvlJc w:val="right"/>
      <w:pPr>
        <w:ind w:left="2360" w:hanging="420"/>
      </w:pPr>
    </w:lvl>
    <w:lvl w:ilvl="3" w:tplc="0409000F" w:tentative="1">
      <w:start w:val="1"/>
      <w:numFmt w:val="decimal"/>
      <w:lvlText w:val="%4."/>
      <w:lvlJc w:val="left"/>
      <w:pPr>
        <w:ind w:left="2780" w:hanging="420"/>
      </w:pPr>
    </w:lvl>
    <w:lvl w:ilvl="4" w:tplc="04090019" w:tentative="1">
      <w:start w:val="1"/>
      <w:numFmt w:val="lowerLetter"/>
      <w:lvlText w:val="%5)"/>
      <w:lvlJc w:val="left"/>
      <w:pPr>
        <w:ind w:left="3200" w:hanging="420"/>
      </w:pPr>
    </w:lvl>
    <w:lvl w:ilvl="5" w:tplc="0409001B" w:tentative="1">
      <w:start w:val="1"/>
      <w:numFmt w:val="lowerRoman"/>
      <w:lvlText w:val="%6."/>
      <w:lvlJc w:val="right"/>
      <w:pPr>
        <w:ind w:left="3620" w:hanging="420"/>
      </w:pPr>
    </w:lvl>
    <w:lvl w:ilvl="6" w:tplc="0409000F" w:tentative="1">
      <w:start w:val="1"/>
      <w:numFmt w:val="decimal"/>
      <w:lvlText w:val="%7."/>
      <w:lvlJc w:val="left"/>
      <w:pPr>
        <w:ind w:left="4040" w:hanging="420"/>
      </w:pPr>
    </w:lvl>
    <w:lvl w:ilvl="7" w:tplc="04090019" w:tentative="1">
      <w:start w:val="1"/>
      <w:numFmt w:val="lowerLetter"/>
      <w:lvlText w:val="%8)"/>
      <w:lvlJc w:val="left"/>
      <w:pPr>
        <w:ind w:left="4460" w:hanging="420"/>
      </w:pPr>
    </w:lvl>
    <w:lvl w:ilvl="8" w:tplc="0409001B" w:tentative="1">
      <w:start w:val="1"/>
      <w:numFmt w:val="lowerRoman"/>
      <w:lvlText w:val="%9."/>
      <w:lvlJc w:val="right"/>
      <w:pPr>
        <w:ind w:left="4880" w:hanging="420"/>
      </w:pPr>
    </w:lvl>
  </w:abstractNum>
  <w:abstractNum w:abstractNumId="15" w15:restartNumberingAfterBreak="0">
    <w:nsid w:val="4A991712"/>
    <w:multiLevelType w:val="multilevel"/>
    <w:tmpl w:val="4A991712"/>
    <w:lvl w:ilvl="0">
      <w:start w:val="1"/>
      <w:numFmt w:val="bullet"/>
      <w:lvlText w:val=""/>
      <w:lvlJc w:val="left"/>
      <w:pPr>
        <w:tabs>
          <w:tab w:val="num" w:pos="840"/>
        </w:tabs>
        <w:ind w:left="840" w:hanging="420"/>
      </w:pPr>
      <w:rPr>
        <w:rFonts w:ascii="Wingdings" w:hAnsi="Wingdings" w:hint="default"/>
      </w:rPr>
    </w:lvl>
    <w:lvl w:ilvl="1">
      <w:start w:val="1"/>
      <w:numFmt w:val="bullet"/>
      <w:lvlText w:val=""/>
      <w:lvlJc w:val="left"/>
      <w:pPr>
        <w:tabs>
          <w:tab w:val="num" w:pos="1260"/>
        </w:tabs>
        <w:ind w:left="1260" w:hanging="420"/>
      </w:pPr>
      <w:rPr>
        <w:rFonts w:ascii="Wingdings" w:hAnsi="Wingdings" w:hint="default"/>
      </w:rPr>
    </w:lvl>
    <w:lvl w:ilvl="2">
      <w:start w:val="1"/>
      <w:numFmt w:val="bullet"/>
      <w:lvlText w:val=""/>
      <w:lvlJc w:val="left"/>
      <w:pPr>
        <w:tabs>
          <w:tab w:val="num" w:pos="1680"/>
        </w:tabs>
        <w:ind w:left="1680" w:hanging="420"/>
      </w:pPr>
      <w:rPr>
        <w:rFonts w:ascii="Wingdings" w:hAnsi="Wingdings" w:hint="default"/>
      </w:rPr>
    </w:lvl>
    <w:lvl w:ilvl="3">
      <w:start w:val="1"/>
      <w:numFmt w:val="bullet"/>
      <w:lvlText w:val=""/>
      <w:lvlJc w:val="left"/>
      <w:pPr>
        <w:tabs>
          <w:tab w:val="num" w:pos="2100"/>
        </w:tabs>
        <w:ind w:left="2100" w:hanging="420"/>
      </w:pPr>
      <w:rPr>
        <w:rFonts w:ascii="Wingdings" w:hAnsi="Wingdings" w:hint="default"/>
      </w:rPr>
    </w:lvl>
    <w:lvl w:ilvl="4">
      <w:start w:val="1"/>
      <w:numFmt w:val="bullet"/>
      <w:lvlText w:val=""/>
      <w:lvlJc w:val="left"/>
      <w:pPr>
        <w:tabs>
          <w:tab w:val="num" w:pos="2520"/>
        </w:tabs>
        <w:ind w:left="2520" w:hanging="420"/>
      </w:pPr>
      <w:rPr>
        <w:rFonts w:ascii="Wingdings" w:hAnsi="Wingdings" w:hint="default"/>
      </w:rPr>
    </w:lvl>
    <w:lvl w:ilvl="5">
      <w:start w:val="1"/>
      <w:numFmt w:val="bullet"/>
      <w:lvlText w:val=""/>
      <w:lvlJc w:val="left"/>
      <w:pPr>
        <w:tabs>
          <w:tab w:val="num" w:pos="2940"/>
        </w:tabs>
        <w:ind w:left="2940" w:hanging="420"/>
      </w:pPr>
      <w:rPr>
        <w:rFonts w:ascii="Wingdings" w:hAnsi="Wingdings" w:hint="default"/>
      </w:rPr>
    </w:lvl>
    <w:lvl w:ilvl="6">
      <w:start w:val="1"/>
      <w:numFmt w:val="bullet"/>
      <w:lvlText w:val=""/>
      <w:lvlJc w:val="left"/>
      <w:pPr>
        <w:tabs>
          <w:tab w:val="num" w:pos="3360"/>
        </w:tabs>
        <w:ind w:left="3360" w:hanging="420"/>
      </w:pPr>
      <w:rPr>
        <w:rFonts w:ascii="Wingdings" w:hAnsi="Wingdings" w:hint="default"/>
      </w:rPr>
    </w:lvl>
    <w:lvl w:ilvl="7">
      <w:start w:val="1"/>
      <w:numFmt w:val="bullet"/>
      <w:lvlText w:val=""/>
      <w:lvlJc w:val="left"/>
      <w:pPr>
        <w:tabs>
          <w:tab w:val="num" w:pos="3780"/>
        </w:tabs>
        <w:ind w:left="3780" w:hanging="420"/>
      </w:pPr>
      <w:rPr>
        <w:rFonts w:ascii="Wingdings" w:hAnsi="Wingdings" w:hint="default"/>
      </w:rPr>
    </w:lvl>
    <w:lvl w:ilvl="8">
      <w:start w:val="1"/>
      <w:numFmt w:val="bullet"/>
      <w:lvlText w:val=""/>
      <w:lvlJc w:val="left"/>
      <w:pPr>
        <w:tabs>
          <w:tab w:val="num" w:pos="4200"/>
        </w:tabs>
        <w:ind w:left="4200" w:hanging="420"/>
      </w:pPr>
      <w:rPr>
        <w:rFonts w:ascii="Wingdings" w:hAnsi="Wingdings" w:hint="default"/>
      </w:rPr>
    </w:lvl>
  </w:abstractNum>
  <w:abstractNum w:abstractNumId="16" w15:restartNumberingAfterBreak="0">
    <w:nsid w:val="52F84AA9"/>
    <w:multiLevelType w:val="hybridMultilevel"/>
    <w:tmpl w:val="BE7C2F32"/>
    <w:lvl w:ilvl="0" w:tplc="E946A0BA">
      <w:start w:val="1"/>
      <w:numFmt w:val="decimal"/>
      <w:lvlText w:val="%1、"/>
      <w:lvlJc w:val="left"/>
      <w:pPr>
        <w:ind w:left="420" w:hanging="420"/>
      </w:pPr>
      <w:rPr>
        <w:rFonts w:ascii="华文仿宋" w:eastAsia="华文仿宋" w:hAnsi="华文仿宋" w:cs="Times New Roman"/>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55EF7A2C"/>
    <w:multiLevelType w:val="multilevel"/>
    <w:tmpl w:val="55EF7A2C"/>
    <w:lvl w:ilvl="0">
      <w:start w:val="1"/>
      <w:numFmt w:val="bullet"/>
      <w:lvlText w:val=""/>
      <w:lvlJc w:val="left"/>
      <w:pPr>
        <w:tabs>
          <w:tab w:val="num" w:pos="840"/>
        </w:tabs>
        <w:ind w:left="840" w:hanging="420"/>
      </w:pPr>
      <w:rPr>
        <w:rFonts w:ascii="Wingdings" w:hAnsi="Wingdings" w:hint="default"/>
      </w:rPr>
    </w:lvl>
    <w:lvl w:ilvl="1">
      <w:start w:val="1"/>
      <w:numFmt w:val="bullet"/>
      <w:lvlText w:val=""/>
      <w:lvlJc w:val="left"/>
      <w:pPr>
        <w:tabs>
          <w:tab w:val="num" w:pos="1260"/>
        </w:tabs>
        <w:ind w:left="1260" w:hanging="420"/>
      </w:pPr>
      <w:rPr>
        <w:rFonts w:ascii="Wingdings" w:hAnsi="Wingdings" w:hint="default"/>
      </w:rPr>
    </w:lvl>
    <w:lvl w:ilvl="2">
      <w:start w:val="1"/>
      <w:numFmt w:val="bullet"/>
      <w:lvlText w:val=""/>
      <w:lvlJc w:val="left"/>
      <w:pPr>
        <w:tabs>
          <w:tab w:val="num" w:pos="1680"/>
        </w:tabs>
        <w:ind w:left="1680" w:hanging="420"/>
      </w:pPr>
      <w:rPr>
        <w:rFonts w:ascii="Wingdings" w:hAnsi="Wingdings" w:hint="default"/>
      </w:rPr>
    </w:lvl>
    <w:lvl w:ilvl="3">
      <w:start w:val="1"/>
      <w:numFmt w:val="bullet"/>
      <w:lvlText w:val=""/>
      <w:lvlJc w:val="left"/>
      <w:pPr>
        <w:tabs>
          <w:tab w:val="num" w:pos="2100"/>
        </w:tabs>
        <w:ind w:left="2100" w:hanging="420"/>
      </w:pPr>
      <w:rPr>
        <w:rFonts w:ascii="Wingdings" w:hAnsi="Wingdings" w:hint="default"/>
      </w:rPr>
    </w:lvl>
    <w:lvl w:ilvl="4">
      <w:start w:val="1"/>
      <w:numFmt w:val="bullet"/>
      <w:lvlText w:val=""/>
      <w:lvlJc w:val="left"/>
      <w:pPr>
        <w:tabs>
          <w:tab w:val="num" w:pos="2520"/>
        </w:tabs>
        <w:ind w:left="2520" w:hanging="420"/>
      </w:pPr>
      <w:rPr>
        <w:rFonts w:ascii="Wingdings" w:hAnsi="Wingdings" w:hint="default"/>
      </w:rPr>
    </w:lvl>
    <w:lvl w:ilvl="5">
      <w:start w:val="1"/>
      <w:numFmt w:val="bullet"/>
      <w:lvlText w:val=""/>
      <w:lvlJc w:val="left"/>
      <w:pPr>
        <w:tabs>
          <w:tab w:val="num" w:pos="2940"/>
        </w:tabs>
        <w:ind w:left="2940" w:hanging="420"/>
      </w:pPr>
      <w:rPr>
        <w:rFonts w:ascii="Wingdings" w:hAnsi="Wingdings" w:hint="default"/>
      </w:rPr>
    </w:lvl>
    <w:lvl w:ilvl="6">
      <w:start w:val="1"/>
      <w:numFmt w:val="bullet"/>
      <w:lvlText w:val=""/>
      <w:lvlJc w:val="left"/>
      <w:pPr>
        <w:tabs>
          <w:tab w:val="num" w:pos="3360"/>
        </w:tabs>
        <w:ind w:left="3360" w:hanging="420"/>
      </w:pPr>
      <w:rPr>
        <w:rFonts w:ascii="Wingdings" w:hAnsi="Wingdings" w:hint="default"/>
      </w:rPr>
    </w:lvl>
    <w:lvl w:ilvl="7">
      <w:start w:val="1"/>
      <w:numFmt w:val="bullet"/>
      <w:lvlText w:val=""/>
      <w:lvlJc w:val="left"/>
      <w:pPr>
        <w:tabs>
          <w:tab w:val="num" w:pos="3780"/>
        </w:tabs>
        <w:ind w:left="3780" w:hanging="420"/>
      </w:pPr>
      <w:rPr>
        <w:rFonts w:ascii="Wingdings" w:hAnsi="Wingdings" w:hint="default"/>
      </w:rPr>
    </w:lvl>
    <w:lvl w:ilvl="8">
      <w:start w:val="1"/>
      <w:numFmt w:val="bullet"/>
      <w:lvlText w:val=""/>
      <w:lvlJc w:val="left"/>
      <w:pPr>
        <w:tabs>
          <w:tab w:val="num" w:pos="4200"/>
        </w:tabs>
        <w:ind w:left="4200" w:hanging="420"/>
      </w:pPr>
      <w:rPr>
        <w:rFonts w:ascii="Wingdings" w:hAnsi="Wingdings" w:hint="default"/>
      </w:rPr>
    </w:lvl>
  </w:abstractNum>
  <w:abstractNum w:abstractNumId="18" w15:restartNumberingAfterBreak="0">
    <w:nsid w:val="570365A6"/>
    <w:multiLevelType w:val="singleLevel"/>
    <w:tmpl w:val="570365A6"/>
    <w:lvl w:ilvl="0">
      <w:start w:val="1"/>
      <w:numFmt w:val="decimalEnclosedCircleChinese"/>
      <w:suff w:val="nothing"/>
      <w:lvlText w:val="%1　"/>
      <w:lvlJc w:val="left"/>
      <w:pPr>
        <w:ind w:left="0" w:firstLine="400"/>
      </w:pPr>
      <w:rPr>
        <w:rFonts w:hint="eastAsia"/>
      </w:rPr>
    </w:lvl>
  </w:abstractNum>
  <w:abstractNum w:abstractNumId="19" w15:restartNumberingAfterBreak="0">
    <w:nsid w:val="7628265F"/>
    <w:multiLevelType w:val="hybridMultilevel"/>
    <w:tmpl w:val="6A720050"/>
    <w:lvl w:ilvl="0" w:tplc="43BE3CCA">
      <w:start w:val="1"/>
      <w:numFmt w:val="decimalEnclosedCircle"/>
      <w:lvlText w:val="%1"/>
      <w:lvlJc w:val="left"/>
      <w:pPr>
        <w:ind w:left="780" w:hanging="360"/>
      </w:pPr>
      <w:rPr>
        <w:rFonts w:ascii="宋体" w:hAnsi="宋体"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0" w15:restartNumberingAfterBreak="0">
    <w:nsid w:val="7DD811A7"/>
    <w:multiLevelType w:val="hybridMultilevel"/>
    <w:tmpl w:val="122C9756"/>
    <w:lvl w:ilvl="0" w:tplc="1C44A16A">
      <w:start w:val="2"/>
      <w:numFmt w:val="decimal"/>
      <w:lvlText w:val="%1、"/>
      <w:lvlJc w:val="left"/>
      <w:pPr>
        <w:ind w:left="1410" w:hanging="360"/>
      </w:pPr>
      <w:rPr>
        <w:rFonts w:hint="default"/>
      </w:rPr>
    </w:lvl>
    <w:lvl w:ilvl="1" w:tplc="04090019" w:tentative="1">
      <w:start w:val="1"/>
      <w:numFmt w:val="lowerLetter"/>
      <w:lvlText w:val="%2)"/>
      <w:lvlJc w:val="left"/>
      <w:pPr>
        <w:ind w:left="1890" w:hanging="420"/>
      </w:pPr>
    </w:lvl>
    <w:lvl w:ilvl="2" w:tplc="0409001B" w:tentative="1">
      <w:start w:val="1"/>
      <w:numFmt w:val="lowerRoman"/>
      <w:lvlText w:val="%3."/>
      <w:lvlJc w:val="right"/>
      <w:pPr>
        <w:ind w:left="2310" w:hanging="420"/>
      </w:pPr>
    </w:lvl>
    <w:lvl w:ilvl="3" w:tplc="0409000F" w:tentative="1">
      <w:start w:val="1"/>
      <w:numFmt w:val="decimal"/>
      <w:lvlText w:val="%4."/>
      <w:lvlJc w:val="left"/>
      <w:pPr>
        <w:ind w:left="2730" w:hanging="420"/>
      </w:pPr>
    </w:lvl>
    <w:lvl w:ilvl="4" w:tplc="04090019" w:tentative="1">
      <w:start w:val="1"/>
      <w:numFmt w:val="lowerLetter"/>
      <w:lvlText w:val="%5)"/>
      <w:lvlJc w:val="left"/>
      <w:pPr>
        <w:ind w:left="3150" w:hanging="420"/>
      </w:pPr>
    </w:lvl>
    <w:lvl w:ilvl="5" w:tplc="0409001B" w:tentative="1">
      <w:start w:val="1"/>
      <w:numFmt w:val="lowerRoman"/>
      <w:lvlText w:val="%6."/>
      <w:lvlJc w:val="right"/>
      <w:pPr>
        <w:ind w:left="3570" w:hanging="420"/>
      </w:pPr>
    </w:lvl>
    <w:lvl w:ilvl="6" w:tplc="0409000F" w:tentative="1">
      <w:start w:val="1"/>
      <w:numFmt w:val="decimal"/>
      <w:lvlText w:val="%7."/>
      <w:lvlJc w:val="left"/>
      <w:pPr>
        <w:ind w:left="3990" w:hanging="420"/>
      </w:pPr>
    </w:lvl>
    <w:lvl w:ilvl="7" w:tplc="04090019" w:tentative="1">
      <w:start w:val="1"/>
      <w:numFmt w:val="lowerLetter"/>
      <w:lvlText w:val="%8)"/>
      <w:lvlJc w:val="left"/>
      <w:pPr>
        <w:ind w:left="4410" w:hanging="420"/>
      </w:pPr>
    </w:lvl>
    <w:lvl w:ilvl="8" w:tplc="0409001B" w:tentative="1">
      <w:start w:val="1"/>
      <w:numFmt w:val="lowerRoman"/>
      <w:lvlText w:val="%9."/>
      <w:lvlJc w:val="right"/>
      <w:pPr>
        <w:ind w:left="4830" w:hanging="420"/>
      </w:pPr>
    </w:lvl>
  </w:abstractNum>
  <w:num w:numId="1" w16cid:durableId="578373140">
    <w:abstractNumId w:val="8"/>
  </w:num>
  <w:num w:numId="2" w16cid:durableId="816260861">
    <w:abstractNumId w:val="17"/>
  </w:num>
  <w:num w:numId="3" w16cid:durableId="1812209201">
    <w:abstractNumId w:val="18"/>
  </w:num>
  <w:num w:numId="4" w16cid:durableId="1746993786">
    <w:abstractNumId w:val="13"/>
  </w:num>
  <w:num w:numId="5" w16cid:durableId="622006188">
    <w:abstractNumId w:val="15"/>
  </w:num>
  <w:num w:numId="6" w16cid:durableId="1918975550">
    <w:abstractNumId w:val="16"/>
  </w:num>
  <w:num w:numId="7" w16cid:durableId="285475455">
    <w:abstractNumId w:val="9"/>
  </w:num>
  <w:num w:numId="8" w16cid:durableId="1700735404">
    <w:abstractNumId w:val="10"/>
  </w:num>
  <w:num w:numId="9" w16cid:durableId="1610042825">
    <w:abstractNumId w:val="20"/>
  </w:num>
  <w:num w:numId="10" w16cid:durableId="1679575612">
    <w:abstractNumId w:val="11"/>
  </w:num>
  <w:num w:numId="11" w16cid:durableId="716320642">
    <w:abstractNumId w:val="19"/>
  </w:num>
  <w:num w:numId="12" w16cid:durableId="1059864861">
    <w:abstractNumId w:val="12"/>
  </w:num>
  <w:num w:numId="13" w16cid:durableId="661811422">
    <w:abstractNumId w:val="14"/>
  </w:num>
  <w:num w:numId="14" w16cid:durableId="690880989">
    <w:abstractNumId w:val="6"/>
  </w:num>
  <w:num w:numId="15" w16cid:durableId="1668287682">
    <w:abstractNumId w:val="5"/>
  </w:num>
  <w:num w:numId="16" w16cid:durableId="1981423960">
    <w:abstractNumId w:val="4"/>
  </w:num>
  <w:num w:numId="17" w16cid:durableId="932972400">
    <w:abstractNumId w:val="7"/>
  </w:num>
  <w:num w:numId="18" w16cid:durableId="1274288007">
    <w:abstractNumId w:val="3"/>
  </w:num>
  <w:num w:numId="19" w16cid:durableId="1051229742">
    <w:abstractNumId w:val="2"/>
  </w:num>
  <w:num w:numId="20" w16cid:durableId="1622148553">
    <w:abstractNumId w:val="1"/>
  </w:num>
  <w:num w:numId="21" w16cid:durableId="515776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autoHyphenation/>
  <w:hyphenationZone w:val="357"/>
  <w:evenAndOddHeaders/>
  <w:drawingGridHorizontalSpacing w:val="142"/>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suppressBottomSpacing/>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68B"/>
    <w:rsid w:val="00001022"/>
    <w:rsid w:val="0000107B"/>
    <w:rsid w:val="00004AAD"/>
    <w:rsid w:val="00005024"/>
    <w:rsid w:val="000052FF"/>
    <w:rsid w:val="00015110"/>
    <w:rsid w:val="00016896"/>
    <w:rsid w:val="00020E1C"/>
    <w:rsid w:val="00021A7E"/>
    <w:rsid w:val="00026578"/>
    <w:rsid w:val="00030AFA"/>
    <w:rsid w:val="00031391"/>
    <w:rsid w:val="000313DF"/>
    <w:rsid w:val="00031561"/>
    <w:rsid w:val="00036BB5"/>
    <w:rsid w:val="00043947"/>
    <w:rsid w:val="0004426B"/>
    <w:rsid w:val="0004445C"/>
    <w:rsid w:val="000470AB"/>
    <w:rsid w:val="00052208"/>
    <w:rsid w:val="00053560"/>
    <w:rsid w:val="00054C86"/>
    <w:rsid w:val="00062A8B"/>
    <w:rsid w:val="00064AA9"/>
    <w:rsid w:val="0006636D"/>
    <w:rsid w:val="00066AF5"/>
    <w:rsid w:val="00072D3D"/>
    <w:rsid w:val="00074D15"/>
    <w:rsid w:val="0007589F"/>
    <w:rsid w:val="0007673A"/>
    <w:rsid w:val="000770EB"/>
    <w:rsid w:val="00077F3A"/>
    <w:rsid w:val="00082667"/>
    <w:rsid w:val="00086DBC"/>
    <w:rsid w:val="0009339D"/>
    <w:rsid w:val="00096896"/>
    <w:rsid w:val="000A2378"/>
    <w:rsid w:val="000A5903"/>
    <w:rsid w:val="000B03C1"/>
    <w:rsid w:val="000C0D33"/>
    <w:rsid w:val="000C18FC"/>
    <w:rsid w:val="000C19A7"/>
    <w:rsid w:val="000C5968"/>
    <w:rsid w:val="000D10E7"/>
    <w:rsid w:val="000D4F2A"/>
    <w:rsid w:val="000E3131"/>
    <w:rsid w:val="000E5F3E"/>
    <w:rsid w:val="000F094A"/>
    <w:rsid w:val="000F0DB4"/>
    <w:rsid w:val="000F224D"/>
    <w:rsid w:val="000F5D29"/>
    <w:rsid w:val="000F70E1"/>
    <w:rsid w:val="00100485"/>
    <w:rsid w:val="0010095D"/>
    <w:rsid w:val="0011036C"/>
    <w:rsid w:val="0011460D"/>
    <w:rsid w:val="00116204"/>
    <w:rsid w:val="00117D8E"/>
    <w:rsid w:val="00121592"/>
    <w:rsid w:val="00125915"/>
    <w:rsid w:val="001314C3"/>
    <w:rsid w:val="00137733"/>
    <w:rsid w:val="00140960"/>
    <w:rsid w:val="00141CD9"/>
    <w:rsid w:val="00146BD2"/>
    <w:rsid w:val="00153084"/>
    <w:rsid w:val="00162113"/>
    <w:rsid w:val="00162E31"/>
    <w:rsid w:val="0017092E"/>
    <w:rsid w:val="00171C57"/>
    <w:rsid w:val="001779BA"/>
    <w:rsid w:val="0018065B"/>
    <w:rsid w:val="0018173F"/>
    <w:rsid w:val="001833AF"/>
    <w:rsid w:val="0019414F"/>
    <w:rsid w:val="00195EA6"/>
    <w:rsid w:val="001A1FCC"/>
    <w:rsid w:val="001A24F2"/>
    <w:rsid w:val="001A6198"/>
    <w:rsid w:val="001B3FB2"/>
    <w:rsid w:val="001B4CF4"/>
    <w:rsid w:val="001C4AB2"/>
    <w:rsid w:val="001C4D34"/>
    <w:rsid w:val="001C6909"/>
    <w:rsid w:val="001D0F19"/>
    <w:rsid w:val="001D5817"/>
    <w:rsid w:val="001D7A08"/>
    <w:rsid w:val="001E2176"/>
    <w:rsid w:val="001E3E71"/>
    <w:rsid w:val="001E4640"/>
    <w:rsid w:val="001E555C"/>
    <w:rsid w:val="001E6134"/>
    <w:rsid w:val="001F2C0C"/>
    <w:rsid w:val="001F34C5"/>
    <w:rsid w:val="001F46DF"/>
    <w:rsid w:val="00202363"/>
    <w:rsid w:val="002030C1"/>
    <w:rsid w:val="002114BD"/>
    <w:rsid w:val="00214BA0"/>
    <w:rsid w:val="00217C00"/>
    <w:rsid w:val="002255A2"/>
    <w:rsid w:val="002270C4"/>
    <w:rsid w:val="00232EF5"/>
    <w:rsid w:val="00235E71"/>
    <w:rsid w:val="002376A5"/>
    <w:rsid w:val="00243011"/>
    <w:rsid w:val="0024334E"/>
    <w:rsid w:val="0024363D"/>
    <w:rsid w:val="00243AFF"/>
    <w:rsid w:val="00246620"/>
    <w:rsid w:val="00250A9F"/>
    <w:rsid w:val="00251090"/>
    <w:rsid w:val="00251574"/>
    <w:rsid w:val="0025360D"/>
    <w:rsid w:val="00254206"/>
    <w:rsid w:val="00256A2C"/>
    <w:rsid w:val="00256B91"/>
    <w:rsid w:val="00257BB0"/>
    <w:rsid w:val="00261737"/>
    <w:rsid w:val="002644E8"/>
    <w:rsid w:val="0026472A"/>
    <w:rsid w:val="002711E2"/>
    <w:rsid w:val="00273FD7"/>
    <w:rsid w:val="00275AA8"/>
    <w:rsid w:val="00277A82"/>
    <w:rsid w:val="00280366"/>
    <w:rsid w:val="00281072"/>
    <w:rsid w:val="0029344C"/>
    <w:rsid w:val="0029351E"/>
    <w:rsid w:val="0029648E"/>
    <w:rsid w:val="002A11C0"/>
    <w:rsid w:val="002A19C7"/>
    <w:rsid w:val="002A3BCC"/>
    <w:rsid w:val="002A3F07"/>
    <w:rsid w:val="002A423C"/>
    <w:rsid w:val="002A5A9D"/>
    <w:rsid w:val="002B1DE3"/>
    <w:rsid w:val="002B3402"/>
    <w:rsid w:val="002B5140"/>
    <w:rsid w:val="002C2B0F"/>
    <w:rsid w:val="002D0C40"/>
    <w:rsid w:val="002D4BEF"/>
    <w:rsid w:val="002D786A"/>
    <w:rsid w:val="002D7DF9"/>
    <w:rsid w:val="002E0BD3"/>
    <w:rsid w:val="002E2ADC"/>
    <w:rsid w:val="002E2DAC"/>
    <w:rsid w:val="002E7DA6"/>
    <w:rsid w:val="002F4656"/>
    <w:rsid w:val="002F6543"/>
    <w:rsid w:val="003102DA"/>
    <w:rsid w:val="003147FF"/>
    <w:rsid w:val="00324317"/>
    <w:rsid w:val="0032714A"/>
    <w:rsid w:val="00330600"/>
    <w:rsid w:val="0033403B"/>
    <w:rsid w:val="003368AC"/>
    <w:rsid w:val="00341B04"/>
    <w:rsid w:val="00341CAA"/>
    <w:rsid w:val="00346E14"/>
    <w:rsid w:val="003477D1"/>
    <w:rsid w:val="00350E11"/>
    <w:rsid w:val="00350E56"/>
    <w:rsid w:val="00351EC4"/>
    <w:rsid w:val="003527A6"/>
    <w:rsid w:val="00352BEA"/>
    <w:rsid w:val="0035485F"/>
    <w:rsid w:val="003575AE"/>
    <w:rsid w:val="003653D5"/>
    <w:rsid w:val="003678F2"/>
    <w:rsid w:val="00367C4C"/>
    <w:rsid w:val="003717F7"/>
    <w:rsid w:val="00372527"/>
    <w:rsid w:val="0037397B"/>
    <w:rsid w:val="00374454"/>
    <w:rsid w:val="003747C3"/>
    <w:rsid w:val="0037651B"/>
    <w:rsid w:val="003776C7"/>
    <w:rsid w:val="00381379"/>
    <w:rsid w:val="0038237C"/>
    <w:rsid w:val="0038368E"/>
    <w:rsid w:val="0038703A"/>
    <w:rsid w:val="00391ADC"/>
    <w:rsid w:val="003961B0"/>
    <w:rsid w:val="00396281"/>
    <w:rsid w:val="003969FB"/>
    <w:rsid w:val="00396BDE"/>
    <w:rsid w:val="00396C4C"/>
    <w:rsid w:val="003A1B77"/>
    <w:rsid w:val="003A40D9"/>
    <w:rsid w:val="003A6F7E"/>
    <w:rsid w:val="003B29E8"/>
    <w:rsid w:val="003B6C7F"/>
    <w:rsid w:val="003C1FF9"/>
    <w:rsid w:val="003C48A0"/>
    <w:rsid w:val="003D074C"/>
    <w:rsid w:val="003D0797"/>
    <w:rsid w:val="003D416D"/>
    <w:rsid w:val="003D5D3E"/>
    <w:rsid w:val="003E3332"/>
    <w:rsid w:val="003E3751"/>
    <w:rsid w:val="003F17C1"/>
    <w:rsid w:val="003F595F"/>
    <w:rsid w:val="003F67DC"/>
    <w:rsid w:val="00405278"/>
    <w:rsid w:val="004056D8"/>
    <w:rsid w:val="00412CBF"/>
    <w:rsid w:val="0042675C"/>
    <w:rsid w:val="00427253"/>
    <w:rsid w:val="004373AF"/>
    <w:rsid w:val="004460C7"/>
    <w:rsid w:val="004507A0"/>
    <w:rsid w:val="00456741"/>
    <w:rsid w:val="00457570"/>
    <w:rsid w:val="004615A4"/>
    <w:rsid w:val="00461D3E"/>
    <w:rsid w:val="00464360"/>
    <w:rsid w:val="00470E53"/>
    <w:rsid w:val="0047338F"/>
    <w:rsid w:val="004746E7"/>
    <w:rsid w:val="004864E4"/>
    <w:rsid w:val="00490F36"/>
    <w:rsid w:val="00490F8C"/>
    <w:rsid w:val="00491F01"/>
    <w:rsid w:val="00491F62"/>
    <w:rsid w:val="004954BD"/>
    <w:rsid w:val="004A118E"/>
    <w:rsid w:val="004A1FAD"/>
    <w:rsid w:val="004A29A7"/>
    <w:rsid w:val="004A699A"/>
    <w:rsid w:val="004B50B8"/>
    <w:rsid w:val="004B54C2"/>
    <w:rsid w:val="004C0EEE"/>
    <w:rsid w:val="004C0F25"/>
    <w:rsid w:val="004C4850"/>
    <w:rsid w:val="004D01F4"/>
    <w:rsid w:val="004D065A"/>
    <w:rsid w:val="004E0591"/>
    <w:rsid w:val="004E4545"/>
    <w:rsid w:val="004F1DE8"/>
    <w:rsid w:val="004F40A1"/>
    <w:rsid w:val="004F556C"/>
    <w:rsid w:val="00500687"/>
    <w:rsid w:val="00506CD4"/>
    <w:rsid w:val="005105E6"/>
    <w:rsid w:val="00513BE5"/>
    <w:rsid w:val="00514798"/>
    <w:rsid w:val="00516020"/>
    <w:rsid w:val="00516057"/>
    <w:rsid w:val="00517764"/>
    <w:rsid w:val="00521E39"/>
    <w:rsid w:val="00523B17"/>
    <w:rsid w:val="00524009"/>
    <w:rsid w:val="00531AEA"/>
    <w:rsid w:val="00532CD5"/>
    <w:rsid w:val="00534160"/>
    <w:rsid w:val="005356E9"/>
    <w:rsid w:val="0054152E"/>
    <w:rsid w:val="00545D38"/>
    <w:rsid w:val="00551567"/>
    <w:rsid w:val="0055182C"/>
    <w:rsid w:val="00552D46"/>
    <w:rsid w:val="00556823"/>
    <w:rsid w:val="005635AD"/>
    <w:rsid w:val="00564284"/>
    <w:rsid w:val="00567136"/>
    <w:rsid w:val="00572E2E"/>
    <w:rsid w:val="00573E87"/>
    <w:rsid w:val="00577773"/>
    <w:rsid w:val="00580D65"/>
    <w:rsid w:val="00581409"/>
    <w:rsid w:val="0058168B"/>
    <w:rsid w:val="00584924"/>
    <w:rsid w:val="00585C35"/>
    <w:rsid w:val="00586603"/>
    <w:rsid w:val="005920A9"/>
    <w:rsid w:val="00592BDF"/>
    <w:rsid w:val="0059662E"/>
    <w:rsid w:val="00597AD2"/>
    <w:rsid w:val="005A76A2"/>
    <w:rsid w:val="005B06C2"/>
    <w:rsid w:val="005B1146"/>
    <w:rsid w:val="005B31BA"/>
    <w:rsid w:val="005B47E8"/>
    <w:rsid w:val="005C1ACD"/>
    <w:rsid w:val="005C7CC2"/>
    <w:rsid w:val="005D4107"/>
    <w:rsid w:val="005D5A1A"/>
    <w:rsid w:val="005D65CA"/>
    <w:rsid w:val="005E2068"/>
    <w:rsid w:val="005E2995"/>
    <w:rsid w:val="005E631E"/>
    <w:rsid w:val="005F4D5C"/>
    <w:rsid w:val="005F6087"/>
    <w:rsid w:val="005F688A"/>
    <w:rsid w:val="00603EAC"/>
    <w:rsid w:val="006041C1"/>
    <w:rsid w:val="006050D2"/>
    <w:rsid w:val="00605DF5"/>
    <w:rsid w:val="00607AD3"/>
    <w:rsid w:val="00607C45"/>
    <w:rsid w:val="00610751"/>
    <w:rsid w:val="0061350B"/>
    <w:rsid w:val="00615876"/>
    <w:rsid w:val="00615D0B"/>
    <w:rsid w:val="006368C7"/>
    <w:rsid w:val="0064101C"/>
    <w:rsid w:val="006411B9"/>
    <w:rsid w:val="00644E0C"/>
    <w:rsid w:val="006536A9"/>
    <w:rsid w:val="00653A8F"/>
    <w:rsid w:val="00655631"/>
    <w:rsid w:val="00655AB3"/>
    <w:rsid w:val="0066034F"/>
    <w:rsid w:val="0066339D"/>
    <w:rsid w:val="00664392"/>
    <w:rsid w:val="00671096"/>
    <w:rsid w:val="006718CD"/>
    <w:rsid w:val="00671C85"/>
    <w:rsid w:val="00677730"/>
    <w:rsid w:val="00681FFC"/>
    <w:rsid w:val="006824D4"/>
    <w:rsid w:val="00690C68"/>
    <w:rsid w:val="00694DA6"/>
    <w:rsid w:val="0069583C"/>
    <w:rsid w:val="006A0D6F"/>
    <w:rsid w:val="006A1297"/>
    <w:rsid w:val="006A1C8A"/>
    <w:rsid w:val="006A2B8A"/>
    <w:rsid w:val="006A4C40"/>
    <w:rsid w:val="006A692B"/>
    <w:rsid w:val="006B3B77"/>
    <w:rsid w:val="006B4B0A"/>
    <w:rsid w:val="006C2B1B"/>
    <w:rsid w:val="006C6CB7"/>
    <w:rsid w:val="006C78DE"/>
    <w:rsid w:val="006D23FF"/>
    <w:rsid w:val="006D7ED2"/>
    <w:rsid w:val="006E3B1E"/>
    <w:rsid w:val="006E5F73"/>
    <w:rsid w:val="006E7D1D"/>
    <w:rsid w:val="006F06D7"/>
    <w:rsid w:val="006F06E5"/>
    <w:rsid w:val="006F22DD"/>
    <w:rsid w:val="006F7354"/>
    <w:rsid w:val="00701B79"/>
    <w:rsid w:val="00712631"/>
    <w:rsid w:val="0072764A"/>
    <w:rsid w:val="00732A1E"/>
    <w:rsid w:val="00734CB1"/>
    <w:rsid w:val="00741437"/>
    <w:rsid w:val="007506CF"/>
    <w:rsid w:val="00760B24"/>
    <w:rsid w:val="00761947"/>
    <w:rsid w:val="007620DC"/>
    <w:rsid w:val="00763240"/>
    <w:rsid w:val="00776421"/>
    <w:rsid w:val="007803F9"/>
    <w:rsid w:val="007814D1"/>
    <w:rsid w:val="00783248"/>
    <w:rsid w:val="00786498"/>
    <w:rsid w:val="00787C36"/>
    <w:rsid w:val="007A2087"/>
    <w:rsid w:val="007A3D13"/>
    <w:rsid w:val="007B3AA3"/>
    <w:rsid w:val="007C2A0A"/>
    <w:rsid w:val="007C54FD"/>
    <w:rsid w:val="007D252F"/>
    <w:rsid w:val="007D2A81"/>
    <w:rsid w:val="007D3AB0"/>
    <w:rsid w:val="007D6B1A"/>
    <w:rsid w:val="007F0716"/>
    <w:rsid w:val="007F7F8C"/>
    <w:rsid w:val="00800096"/>
    <w:rsid w:val="00801899"/>
    <w:rsid w:val="008074B1"/>
    <w:rsid w:val="00812B87"/>
    <w:rsid w:val="0081338D"/>
    <w:rsid w:val="008219C9"/>
    <w:rsid w:val="00826A87"/>
    <w:rsid w:val="0082780D"/>
    <w:rsid w:val="00827C7F"/>
    <w:rsid w:val="00834F41"/>
    <w:rsid w:val="008351C6"/>
    <w:rsid w:val="008359E6"/>
    <w:rsid w:val="0084217F"/>
    <w:rsid w:val="0084705F"/>
    <w:rsid w:val="0084722C"/>
    <w:rsid w:val="0084749A"/>
    <w:rsid w:val="0085005A"/>
    <w:rsid w:val="008522E8"/>
    <w:rsid w:val="00855284"/>
    <w:rsid w:val="0085562B"/>
    <w:rsid w:val="00862D63"/>
    <w:rsid w:val="0086423B"/>
    <w:rsid w:val="00874C14"/>
    <w:rsid w:val="00874FDE"/>
    <w:rsid w:val="0087572E"/>
    <w:rsid w:val="00875900"/>
    <w:rsid w:val="00876603"/>
    <w:rsid w:val="00880C18"/>
    <w:rsid w:val="008845B5"/>
    <w:rsid w:val="00884AA2"/>
    <w:rsid w:val="0088530C"/>
    <w:rsid w:val="00885EA2"/>
    <w:rsid w:val="00886A97"/>
    <w:rsid w:val="00887C3A"/>
    <w:rsid w:val="00893176"/>
    <w:rsid w:val="008B3DC5"/>
    <w:rsid w:val="008B42EC"/>
    <w:rsid w:val="008B6BEA"/>
    <w:rsid w:val="008C10FF"/>
    <w:rsid w:val="008C515D"/>
    <w:rsid w:val="008D0623"/>
    <w:rsid w:val="008D4178"/>
    <w:rsid w:val="008D5B0E"/>
    <w:rsid w:val="008E247D"/>
    <w:rsid w:val="008E2ED0"/>
    <w:rsid w:val="008F2042"/>
    <w:rsid w:val="008F39E6"/>
    <w:rsid w:val="008F3B06"/>
    <w:rsid w:val="0091220B"/>
    <w:rsid w:val="009130EB"/>
    <w:rsid w:val="00913156"/>
    <w:rsid w:val="00913AC3"/>
    <w:rsid w:val="0092199D"/>
    <w:rsid w:val="00925C6D"/>
    <w:rsid w:val="00932BA9"/>
    <w:rsid w:val="009352A2"/>
    <w:rsid w:val="009401EC"/>
    <w:rsid w:val="00940FF0"/>
    <w:rsid w:val="009424F4"/>
    <w:rsid w:val="009442F3"/>
    <w:rsid w:val="00952672"/>
    <w:rsid w:val="00954634"/>
    <w:rsid w:val="00955365"/>
    <w:rsid w:val="00956B4E"/>
    <w:rsid w:val="00957C93"/>
    <w:rsid w:val="00961FB5"/>
    <w:rsid w:val="00962A9C"/>
    <w:rsid w:val="0097006D"/>
    <w:rsid w:val="009717C8"/>
    <w:rsid w:val="00971C15"/>
    <w:rsid w:val="00972B6E"/>
    <w:rsid w:val="00975A1A"/>
    <w:rsid w:val="00976B74"/>
    <w:rsid w:val="009810DF"/>
    <w:rsid w:val="0098111B"/>
    <w:rsid w:val="00985945"/>
    <w:rsid w:val="0099470A"/>
    <w:rsid w:val="009A3286"/>
    <w:rsid w:val="009A3D73"/>
    <w:rsid w:val="009A6AEA"/>
    <w:rsid w:val="009B2978"/>
    <w:rsid w:val="009B7F28"/>
    <w:rsid w:val="009C06F7"/>
    <w:rsid w:val="009C4A00"/>
    <w:rsid w:val="009D0D79"/>
    <w:rsid w:val="009D1E28"/>
    <w:rsid w:val="009D3060"/>
    <w:rsid w:val="009D42EF"/>
    <w:rsid w:val="009D77C8"/>
    <w:rsid w:val="009E0D42"/>
    <w:rsid w:val="009E792C"/>
    <w:rsid w:val="009F0E19"/>
    <w:rsid w:val="009F1274"/>
    <w:rsid w:val="009F5FB1"/>
    <w:rsid w:val="009F5FDD"/>
    <w:rsid w:val="00A07DBF"/>
    <w:rsid w:val="00A10272"/>
    <w:rsid w:val="00A1398A"/>
    <w:rsid w:val="00A13B3B"/>
    <w:rsid w:val="00A202FB"/>
    <w:rsid w:val="00A26188"/>
    <w:rsid w:val="00A313C6"/>
    <w:rsid w:val="00A330EE"/>
    <w:rsid w:val="00A43BE5"/>
    <w:rsid w:val="00A565F4"/>
    <w:rsid w:val="00A75119"/>
    <w:rsid w:val="00A77E90"/>
    <w:rsid w:val="00A87581"/>
    <w:rsid w:val="00A904B5"/>
    <w:rsid w:val="00A90B4F"/>
    <w:rsid w:val="00A96424"/>
    <w:rsid w:val="00AA2548"/>
    <w:rsid w:val="00AA3DC3"/>
    <w:rsid w:val="00AA3FE2"/>
    <w:rsid w:val="00AA4B25"/>
    <w:rsid w:val="00AB2708"/>
    <w:rsid w:val="00AB2F3A"/>
    <w:rsid w:val="00AB73D7"/>
    <w:rsid w:val="00AD08C0"/>
    <w:rsid w:val="00AD42AB"/>
    <w:rsid w:val="00AD4816"/>
    <w:rsid w:val="00AD5594"/>
    <w:rsid w:val="00AD6A09"/>
    <w:rsid w:val="00AE49CC"/>
    <w:rsid w:val="00AE4D88"/>
    <w:rsid w:val="00AF0B7E"/>
    <w:rsid w:val="00AF23CC"/>
    <w:rsid w:val="00AF2681"/>
    <w:rsid w:val="00AF2A70"/>
    <w:rsid w:val="00AF596B"/>
    <w:rsid w:val="00AF5CA3"/>
    <w:rsid w:val="00B062E8"/>
    <w:rsid w:val="00B12D4D"/>
    <w:rsid w:val="00B16220"/>
    <w:rsid w:val="00B236DD"/>
    <w:rsid w:val="00B321BA"/>
    <w:rsid w:val="00B3276C"/>
    <w:rsid w:val="00B34064"/>
    <w:rsid w:val="00B347A2"/>
    <w:rsid w:val="00B36185"/>
    <w:rsid w:val="00B4210D"/>
    <w:rsid w:val="00B42A31"/>
    <w:rsid w:val="00B43F9E"/>
    <w:rsid w:val="00B44449"/>
    <w:rsid w:val="00B44D00"/>
    <w:rsid w:val="00B45345"/>
    <w:rsid w:val="00B4566A"/>
    <w:rsid w:val="00B50996"/>
    <w:rsid w:val="00B53E93"/>
    <w:rsid w:val="00B5624B"/>
    <w:rsid w:val="00B6347E"/>
    <w:rsid w:val="00B65A06"/>
    <w:rsid w:val="00B668B9"/>
    <w:rsid w:val="00B675E9"/>
    <w:rsid w:val="00B83A1A"/>
    <w:rsid w:val="00B84323"/>
    <w:rsid w:val="00B85640"/>
    <w:rsid w:val="00B909A2"/>
    <w:rsid w:val="00B931E7"/>
    <w:rsid w:val="00B93F48"/>
    <w:rsid w:val="00B9419E"/>
    <w:rsid w:val="00B942F3"/>
    <w:rsid w:val="00B96159"/>
    <w:rsid w:val="00BA1BEE"/>
    <w:rsid w:val="00BB3007"/>
    <w:rsid w:val="00BB3491"/>
    <w:rsid w:val="00BB680D"/>
    <w:rsid w:val="00BC2064"/>
    <w:rsid w:val="00BD05D4"/>
    <w:rsid w:val="00BD2B02"/>
    <w:rsid w:val="00BD3674"/>
    <w:rsid w:val="00BD3A38"/>
    <w:rsid w:val="00BE3C2D"/>
    <w:rsid w:val="00BE45FB"/>
    <w:rsid w:val="00BF4E5A"/>
    <w:rsid w:val="00C0094F"/>
    <w:rsid w:val="00C043BF"/>
    <w:rsid w:val="00C14274"/>
    <w:rsid w:val="00C14B2B"/>
    <w:rsid w:val="00C159B4"/>
    <w:rsid w:val="00C16FAD"/>
    <w:rsid w:val="00C26DB6"/>
    <w:rsid w:val="00C302E5"/>
    <w:rsid w:val="00C304D5"/>
    <w:rsid w:val="00C3768D"/>
    <w:rsid w:val="00C378CF"/>
    <w:rsid w:val="00C437B0"/>
    <w:rsid w:val="00C45554"/>
    <w:rsid w:val="00C47A65"/>
    <w:rsid w:val="00C52A50"/>
    <w:rsid w:val="00C61143"/>
    <w:rsid w:val="00C617D8"/>
    <w:rsid w:val="00C617DE"/>
    <w:rsid w:val="00C63A10"/>
    <w:rsid w:val="00C64E05"/>
    <w:rsid w:val="00C6636B"/>
    <w:rsid w:val="00C67593"/>
    <w:rsid w:val="00C72475"/>
    <w:rsid w:val="00C75004"/>
    <w:rsid w:val="00C863E6"/>
    <w:rsid w:val="00C90DB1"/>
    <w:rsid w:val="00C9766A"/>
    <w:rsid w:val="00CA38B5"/>
    <w:rsid w:val="00CA5821"/>
    <w:rsid w:val="00CA717F"/>
    <w:rsid w:val="00CB0ACE"/>
    <w:rsid w:val="00CB4E31"/>
    <w:rsid w:val="00CB553C"/>
    <w:rsid w:val="00CB5879"/>
    <w:rsid w:val="00CD312F"/>
    <w:rsid w:val="00CE0FA9"/>
    <w:rsid w:val="00CE3EA7"/>
    <w:rsid w:val="00CF5D08"/>
    <w:rsid w:val="00D027BE"/>
    <w:rsid w:val="00D16E8F"/>
    <w:rsid w:val="00D31697"/>
    <w:rsid w:val="00D34B5C"/>
    <w:rsid w:val="00D35E1C"/>
    <w:rsid w:val="00D40942"/>
    <w:rsid w:val="00D53B28"/>
    <w:rsid w:val="00D55663"/>
    <w:rsid w:val="00D56577"/>
    <w:rsid w:val="00D64A14"/>
    <w:rsid w:val="00D66A12"/>
    <w:rsid w:val="00D708AE"/>
    <w:rsid w:val="00D74019"/>
    <w:rsid w:val="00D74982"/>
    <w:rsid w:val="00D75E60"/>
    <w:rsid w:val="00D8094F"/>
    <w:rsid w:val="00D81AE9"/>
    <w:rsid w:val="00D81F89"/>
    <w:rsid w:val="00D84105"/>
    <w:rsid w:val="00D90229"/>
    <w:rsid w:val="00D928FE"/>
    <w:rsid w:val="00DA0094"/>
    <w:rsid w:val="00DA3048"/>
    <w:rsid w:val="00DB2EED"/>
    <w:rsid w:val="00DB398F"/>
    <w:rsid w:val="00DC0073"/>
    <w:rsid w:val="00DC0125"/>
    <w:rsid w:val="00DC1140"/>
    <w:rsid w:val="00DC3694"/>
    <w:rsid w:val="00DD19B2"/>
    <w:rsid w:val="00DD780E"/>
    <w:rsid w:val="00DE3CD8"/>
    <w:rsid w:val="00DF3A7B"/>
    <w:rsid w:val="00DF53F7"/>
    <w:rsid w:val="00E00EC0"/>
    <w:rsid w:val="00E0212D"/>
    <w:rsid w:val="00E02FA8"/>
    <w:rsid w:val="00E0389D"/>
    <w:rsid w:val="00E041F5"/>
    <w:rsid w:val="00E06AD0"/>
    <w:rsid w:val="00E06FCA"/>
    <w:rsid w:val="00E0718E"/>
    <w:rsid w:val="00E13470"/>
    <w:rsid w:val="00E2187A"/>
    <w:rsid w:val="00E26383"/>
    <w:rsid w:val="00E32F1E"/>
    <w:rsid w:val="00E37A25"/>
    <w:rsid w:val="00E40C30"/>
    <w:rsid w:val="00E41EC8"/>
    <w:rsid w:val="00E436AC"/>
    <w:rsid w:val="00E51330"/>
    <w:rsid w:val="00E534C7"/>
    <w:rsid w:val="00E57A93"/>
    <w:rsid w:val="00E6271C"/>
    <w:rsid w:val="00E640F7"/>
    <w:rsid w:val="00E70488"/>
    <w:rsid w:val="00E75623"/>
    <w:rsid w:val="00E76128"/>
    <w:rsid w:val="00E83B2C"/>
    <w:rsid w:val="00E84575"/>
    <w:rsid w:val="00E9648C"/>
    <w:rsid w:val="00EA0429"/>
    <w:rsid w:val="00EA3F12"/>
    <w:rsid w:val="00EB113B"/>
    <w:rsid w:val="00EB119E"/>
    <w:rsid w:val="00EB38E8"/>
    <w:rsid w:val="00EB51EA"/>
    <w:rsid w:val="00EC0531"/>
    <w:rsid w:val="00EC7A1C"/>
    <w:rsid w:val="00ED29A2"/>
    <w:rsid w:val="00ED47B1"/>
    <w:rsid w:val="00EE5A68"/>
    <w:rsid w:val="00EF394E"/>
    <w:rsid w:val="00EF3DE6"/>
    <w:rsid w:val="00EF4871"/>
    <w:rsid w:val="00EF60F5"/>
    <w:rsid w:val="00F00C29"/>
    <w:rsid w:val="00F020D3"/>
    <w:rsid w:val="00F060F0"/>
    <w:rsid w:val="00F06B19"/>
    <w:rsid w:val="00F12F76"/>
    <w:rsid w:val="00F1593F"/>
    <w:rsid w:val="00F20A2D"/>
    <w:rsid w:val="00F264F4"/>
    <w:rsid w:val="00F2679B"/>
    <w:rsid w:val="00F33A9E"/>
    <w:rsid w:val="00F33F2D"/>
    <w:rsid w:val="00F36D33"/>
    <w:rsid w:val="00F36DC3"/>
    <w:rsid w:val="00F41E99"/>
    <w:rsid w:val="00F44968"/>
    <w:rsid w:val="00F47317"/>
    <w:rsid w:val="00F47E1F"/>
    <w:rsid w:val="00F50D9C"/>
    <w:rsid w:val="00F5537D"/>
    <w:rsid w:val="00F612C7"/>
    <w:rsid w:val="00F64422"/>
    <w:rsid w:val="00F65D71"/>
    <w:rsid w:val="00F7386D"/>
    <w:rsid w:val="00F73BD9"/>
    <w:rsid w:val="00F772A3"/>
    <w:rsid w:val="00F80AE4"/>
    <w:rsid w:val="00F8440E"/>
    <w:rsid w:val="00F87EFB"/>
    <w:rsid w:val="00F90127"/>
    <w:rsid w:val="00F9279B"/>
    <w:rsid w:val="00F93150"/>
    <w:rsid w:val="00F944D9"/>
    <w:rsid w:val="00FB06B9"/>
    <w:rsid w:val="00FB256A"/>
    <w:rsid w:val="00FB3E3F"/>
    <w:rsid w:val="00FB4240"/>
    <w:rsid w:val="00FC07F2"/>
    <w:rsid w:val="00FC1BED"/>
    <w:rsid w:val="00FC4FF3"/>
    <w:rsid w:val="00FD4B0C"/>
    <w:rsid w:val="00FD6A57"/>
    <w:rsid w:val="00FD7A6C"/>
    <w:rsid w:val="00FE0C9E"/>
    <w:rsid w:val="00FE6638"/>
    <w:rsid w:val="00FF7FD1"/>
    <w:rsid w:val="54177111"/>
    <w:rsid w:val="557D3887"/>
    <w:rsid w:val="75810E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F89FC2"/>
  <w15:chartTrackingRefBased/>
  <w15:docId w15:val="{71B89DCA-ACB4-49F9-92CB-264B1F6C9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able of figures" w:uiPriority="99"/>
    <w:lsdException w:name="Title" w:qFormat="1"/>
    <w:lsdException w:name="Default Paragraph Font" w:semiHidden="1"/>
    <w:lsdException w:name="Subtitle" w:qFormat="1"/>
    <w:lsdException w:name="Block Text" w:qFormat="1"/>
    <w:lsdException w:name="Hyperlink" w:uiPriority="99"/>
    <w:lsdException w:name="Strong" w:qFormat="1"/>
    <w:lsdException w:name="Emphasis" w:qFormat="1"/>
    <w:lsdException w:name="Document Map" w:qFormat="1"/>
    <w:lsdException w:name="Plain Text" w:qFormat="1"/>
    <w:lsdException w:name="HTML Top of Form" w:semiHidden="1" w:uiPriority="99" w:unhideWhenUsed="1"/>
    <w:lsdException w:name="HTML Bottom of Form" w:semiHidden="1" w:uiPriority="99" w:unhideWhenUsed="1"/>
    <w:lsdException w:name="Normal (Web)"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spacing w:beforeLines="50" w:before="120" w:afterLines="50" w:after="120"/>
      <w:jc w:val="both"/>
    </w:pPr>
    <w:rPr>
      <w:rFonts w:eastAsia="黑体"/>
      <w:kern w:val="2"/>
      <w:sz w:val="44"/>
      <w:szCs w:val="24"/>
    </w:rPr>
  </w:style>
  <w:style w:type="paragraph" w:styleId="1">
    <w:name w:val="heading 1"/>
    <w:basedOn w:val="a"/>
    <w:next w:val="a"/>
    <w:link w:val="10"/>
    <w:uiPriority w:val="9"/>
    <w:qFormat/>
    <w:pPr>
      <w:keepNext/>
      <w:keepLines/>
      <w:spacing w:before="340" w:after="330" w:line="578" w:lineRule="auto"/>
      <w:outlineLvl w:val="0"/>
    </w:pPr>
    <w:rPr>
      <w:b/>
      <w:bCs/>
      <w:kern w:val="44"/>
      <w:szCs w:val="44"/>
    </w:rPr>
  </w:style>
  <w:style w:type="paragraph" w:styleId="2">
    <w:name w:val="heading 2"/>
    <w:basedOn w:val="a"/>
    <w:next w:val="a"/>
    <w:uiPriority w:val="9"/>
    <w:qFormat/>
    <w:pPr>
      <w:keepNext/>
      <w:keepLines/>
      <w:spacing w:before="260" w:after="260" w:line="416" w:lineRule="auto"/>
      <w:outlineLvl w:val="1"/>
    </w:pPr>
    <w:rPr>
      <w:rFonts w:ascii="Arial" w:hAnsi="Arial"/>
      <w:b/>
      <w:bCs/>
      <w:sz w:val="32"/>
      <w:szCs w:val="32"/>
    </w:rPr>
  </w:style>
  <w:style w:type="paragraph" w:styleId="3">
    <w:name w:val="heading 3"/>
    <w:basedOn w:val="a"/>
    <w:next w:val="a"/>
    <w:uiPriority w:val="9"/>
    <w:qFormat/>
    <w:pPr>
      <w:keepNext/>
      <w:keepLines/>
      <w:spacing w:before="260" w:after="260" w:line="416" w:lineRule="auto"/>
      <w:outlineLvl w:val="2"/>
    </w:pPr>
    <w:rPr>
      <w:b/>
      <w:bCs/>
      <w:sz w:val="32"/>
      <w:szCs w:val="32"/>
    </w:rPr>
  </w:style>
  <w:style w:type="paragraph" w:styleId="4">
    <w:name w:val="heading 4"/>
    <w:basedOn w:val="a"/>
    <w:next w:val="a"/>
    <w:link w:val="40"/>
    <w:semiHidden/>
    <w:unhideWhenUsed/>
    <w:qFormat/>
    <w:rsid w:val="00DD780E"/>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line number"/>
    <w:basedOn w:val="a1"/>
  </w:style>
  <w:style w:type="character" w:styleId="a5">
    <w:name w:val="page number"/>
    <w:basedOn w:val="a1"/>
  </w:style>
  <w:style w:type="character" w:customStyle="1" w:styleId="a6">
    <w:name w:val="文本块 字符"/>
    <w:link w:val="a7"/>
    <w:qFormat/>
    <w:rPr>
      <w:rFonts w:eastAsia="宋体"/>
      <w:kern w:val="2"/>
      <w:sz w:val="15"/>
      <w:szCs w:val="24"/>
      <w:lang w:val="en-US" w:eastAsia="zh-CN" w:bidi="ar-SA"/>
    </w:rPr>
  </w:style>
  <w:style w:type="character" w:customStyle="1" w:styleId="10">
    <w:name w:val="标题 1 字符"/>
    <w:link w:val="1"/>
    <w:qFormat/>
    <w:rPr>
      <w:rFonts w:eastAsia="黑体"/>
      <w:b/>
      <w:bCs/>
      <w:kern w:val="44"/>
      <w:sz w:val="44"/>
      <w:szCs w:val="44"/>
      <w:lang w:val="en-US" w:eastAsia="zh-CN" w:bidi="ar-SA"/>
    </w:rPr>
  </w:style>
  <w:style w:type="character" w:customStyle="1" w:styleId="MTDisplayEquationChar">
    <w:name w:val="MTDisplayEquation Char"/>
    <w:link w:val="MTDisplayEquation"/>
    <w:qFormat/>
    <w:rPr>
      <w:rFonts w:eastAsia="宋体"/>
      <w:kern w:val="2"/>
      <w:sz w:val="24"/>
      <w:szCs w:val="22"/>
      <w:lang w:val="en-US" w:eastAsia="zh-CN" w:bidi="ar-SA"/>
    </w:rPr>
  </w:style>
  <w:style w:type="character" w:customStyle="1" w:styleId="11Char">
    <w:name w:val="11一级标题 Char"/>
    <w:link w:val="11"/>
    <w:qFormat/>
    <w:rPr>
      <w:rFonts w:eastAsia="黑体"/>
      <w:b/>
      <w:bCs/>
      <w:kern w:val="44"/>
      <w:position w:val="22"/>
      <w:sz w:val="28"/>
      <w:szCs w:val="28"/>
      <w:lang w:val="en-US" w:eastAsia="zh-CN" w:bidi="ar-SA"/>
    </w:rPr>
  </w:style>
  <w:style w:type="paragraph" w:styleId="a8">
    <w:name w:val="Document Map"/>
    <w:basedOn w:val="a"/>
    <w:qFormat/>
    <w:rPr>
      <w:sz w:val="21"/>
    </w:rPr>
  </w:style>
  <w:style w:type="paragraph" w:styleId="a9">
    <w:name w:val="Body Text"/>
    <w:basedOn w:val="a"/>
  </w:style>
  <w:style w:type="paragraph" w:styleId="aa">
    <w:name w:val="footer"/>
    <w:basedOn w:val="a"/>
    <w:pPr>
      <w:tabs>
        <w:tab w:val="center" w:pos="4153"/>
        <w:tab w:val="right" w:pos="8306"/>
      </w:tabs>
      <w:snapToGrid w:val="0"/>
      <w:jc w:val="left"/>
    </w:pPr>
    <w:rPr>
      <w:sz w:val="18"/>
      <w:szCs w:val="18"/>
    </w:rPr>
  </w:style>
  <w:style w:type="paragraph" w:styleId="a7">
    <w:name w:val="Block Text"/>
    <w:basedOn w:val="a"/>
    <w:link w:val="a6"/>
    <w:qFormat/>
    <w:pPr>
      <w:spacing w:beforeLines="0" w:before="0" w:afterLines="0" w:after="0"/>
      <w:ind w:left="567" w:hanging="567"/>
    </w:pPr>
    <w:rPr>
      <w:rFonts w:eastAsia="宋体"/>
      <w:sz w:val="15"/>
    </w:rPr>
  </w:style>
  <w:style w:type="paragraph" w:styleId="ab">
    <w:name w:val="Title"/>
    <w:basedOn w:val="a"/>
    <w:qFormat/>
    <w:pPr>
      <w:spacing w:before="240" w:after="60"/>
      <w:jc w:val="center"/>
      <w:outlineLvl w:val="0"/>
    </w:pPr>
    <w:rPr>
      <w:rFonts w:ascii="Arial" w:eastAsia="宋体" w:hAnsi="Arial" w:cs="Arial"/>
      <w:b/>
      <w:bCs/>
      <w:sz w:val="32"/>
      <w:szCs w:val="32"/>
    </w:rPr>
  </w:style>
  <w:style w:type="paragraph" w:styleId="a0">
    <w:name w:val="Plain Text"/>
    <w:basedOn w:val="a"/>
    <w:qFormat/>
    <w:rPr>
      <w:rFonts w:ascii="宋体" w:eastAsia="宋体" w:hAnsi="Courier New" w:cs="Courier New"/>
      <w:sz w:val="21"/>
      <w:szCs w:val="21"/>
    </w:rPr>
  </w:style>
  <w:style w:type="paragraph" w:styleId="ac">
    <w:name w:val="header"/>
    <w:basedOn w:val="a"/>
    <w:pPr>
      <w:pBdr>
        <w:bottom w:val="single" w:sz="6" w:space="1" w:color="auto"/>
      </w:pBdr>
      <w:tabs>
        <w:tab w:val="center" w:pos="4153"/>
        <w:tab w:val="right" w:pos="8306"/>
      </w:tabs>
      <w:snapToGrid w:val="0"/>
      <w:jc w:val="center"/>
    </w:pPr>
    <w:rPr>
      <w:sz w:val="18"/>
      <w:szCs w:val="18"/>
    </w:rPr>
  </w:style>
  <w:style w:type="paragraph" w:customStyle="1" w:styleId="MTDisplayEquation">
    <w:name w:val="MTDisplayEquation"/>
    <w:basedOn w:val="a"/>
    <w:next w:val="a"/>
    <w:link w:val="MTDisplayEquationChar"/>
    <w:qFormat/>
    <w:pPr>
      <w:tabs>
        <w:tab w:val="center" w:pos="4160"/>
        <w:tab w:val="right" w:pos="8300"/>
      </w:tabs>
      <w:spacing w:beforeLines="0" w:before="0" w:afterLines="0" w:after="0" w:line="264" w:lineRule="auto"/>
      <w:ind w:firstLineChars="200" w:firstLine="200"/>
    </w:pPr>
    <w:rPr>
      <w:rFonts w:eastAsia="宋体"/>
      <w:sz w:val="24"/>
      <w:szCs w:val="22"/>
    </w:rPr>
  </w:style>
  <w:style w:type="paragraph" w:customStyle="1" w:styleId="07">
    <w:name w:val="07英文姓名"/>
    <w:basedOn w:val="03"/>
    <w:qFormat/>
    <w:rPr>
      <w:rFonts w:eastAsia="Times New Roman"/>
      <w:w w:val="100"/>
      <w:sz w:val="21"/>
    </w:rPr>
  </w:style>
  <w:style w:type="paragraph" w:customStyle="1" w:styleId="17">
    <w:name w:val="17参考文献"/>
    <w:qFormat/>
    <w:pPr>
      <w:tabs>
        <w:tab w:val="left" w:pos="510"/>
      </w:tabs>
      <w:spacing w:line="260" w:lineRule="atLeast"/>
      <w:ind w:left="510" w:hanging="510"/>
      <w:jc w:val="both"/>
    </w:pPr>
    <w:rPr>
      <w:kern w:val="2"/>
      <w:sz w:val="15"/>
      <w:szCs w:val="24"/>
    </w:rPr>
  </w:style>
  <w:style w:type="paragraph" w:customStyle="1" w:styleId="10505">
    <w:name w:val="样式 1首页顶部引用格式 + 段前: 0.5 行 段后: 0.5 行"/>
    <w:basedOn w:val="01"/>
    <w:qFormat/>
  </w:style>
  <w:style w:type="paragraph" w:customStyle="1" w:styleId="03">
    <w:name w:val="03中文姓名"/>
    <w:basedOn w:val="a"/>
    <w:qFormat/>
    <w:pPr>
      <w:spacing w:beforeLines="0" w:before="0" w:after="50"/>
      <w:jc w:val="center"/>
    </w:pPr>
    <w:rPr>
      <w:rFonts w:eastAsia="仿宋"/>
      <w:w w:val="85"/>
      <w:sz w:val="24"/>
      <w:szCs w:val="28"/>
    </w:rPr>
  </w:style>
  <w:style w:type="paragraph" w:customStyle="1" w:styleId="16">
    <w:name w:val="16公式编号"/>
    <w:qFormat/>
    <w:pPr>
      <w:widowControl w:val="0"/>
      <w:tabs>
        <w:tab w:val="right" w:pos="4536"/>
        <w:tab w:val="right" w:pos="9680"/>
      </w:tabs>
      <w:spacing w:line="312" w:lineRule="atLeast"/>
    </w:pPr>
    <w:rPr>
      <w:kern w:val="2"/>
      <w:sz w:val="21"/>
      <w:szCs w:val="21"/>
    </w:rPr>
  </w:style>
  <w:style w:type="paragraph" w:customStyle="1" w:styleId="11">
    <w:name w:val="11一级标题"/>
    <w:basedOn w:val="1"/>
    <w:link w:val="11Char"/>
    <w:qFormat/>
    <w:pPr>
      <w:spacing w:beforeLines="0" w:before="0" w:afterLines="0" w:after="0" w:line="624" w:lineRule="atLeast"/>
    </w:pPr>
    <w:rPr>
      <w:b w:val="0"/>
      <w:position w:val="22"/>
      <w:sz w:val="28"/>
      <w:szCs w:val="28"/>
    </w:rPr>
  </w:style>
  <w:style w:type="paragraph" w:customStyle="1" w:styleId="15">
    <w:name w:val="15表题"/>
    <w:basedOn w:val="04"/>
    <w:qFormat/>
    <w:pPr>
      <w:spacing w:line="260" w:lineRule="atLeast"/>
      <w:ind w:firstLineChars="0" w:firstLine="0"/>
    </w:pPr>
    <w:rPr>
      <w:rFonts w:eastAsia="黑体"/>
      <w:sz w:val="18"/>
    </w:rPr>
  </w:style>
  <w:style w:type="paragraph" w:customStyle="1" w:styleId="06">
    <w:name w:val="06英文题目"/>
    <w:qFormat/>
    <w:pPr>
      <w:jc w:val="center"/>
    </w:pPr>
    <w:rPr>
      <w:rFonts w:cs="Arial"/>
      <w:b/>
      <w:bCs/>
      <w:kern w:val="2"/>
      <w:sz w:val="28"/>
      <w:szCs w:val="32"/>
    </w:rPr>
  </w:style>
  <w:style w:type="paragraph" w:customStyle="1" w:styleId="170">
    <w:name w:val="17+参考文献英文翻译"/>
    <w:qFormat/>
    <w:pPr>
      <w:spacing w:line="260" w:lineRule="atLeast"/>
      <w:ind w:left="510"/>
    </w:pPr>
    <w:rPr>
      <w:rFonts w:eastAsia="Times New Roman"/>
      <w:kern w:val="2"/>
      <w:sz w:val="15"/>
      <w:szCs w:val="24"/>
    </w:rPr>
  </w:style>
  <w:style w:type="paragraph" w:customStyle="1" w:styleId="09">
    <w:name w:val="09英文摘要、关键词"/>
    <w:basedOn w:val="05"/>
    <w:qFormat/>
    <w:pPr>
      <w:tabs>
        <w:tab w:val="clear" w:pos="567"/>
        <w:tab w:val="clear" w:pos="624"/>
      </w:tabs>
      <w:ind w:left="0" w:right="0"/>
    </w:pPr>
  </w:style>
  <w:style w:type="paragraph" w:customStyle="1" w:styleId="12">
    <w:name w:val="12二级标题"/>
    <w:basedOn w:val="2"/>
    <w:qFormat/>
    <w:pPr>
      <w:spacing w:beforeLines="0" w:before="0" w:afterLines="0" w:after="0" w:line="312" w:lineRule="exact"/>
    </w:pPr>
    <w:rPr>
      <w:rFonts w:ascii="Times New Roman" w:hAnsi="Times New Roman"/>
      <w:b w:val="0"/>
      <w:sz w:val="24"/>
    </w:rPr>
  </w:style>
  <w:style w:type="paragraph" w:customStyle="1" w:styleId="13">
    <w:name w:val="1磅行距"/>
    <w:basedOn w:val="02"/>
    <w:qFormat/>
    <w:pPr>
      <w:spacing w:beforeLines="0" w:before="0" w:afterLines="0" w:after="0" w:line="20" w:lineRule="exact"/>
      <w:outlineLvl w:val="9"/>
    </w:pPr>
    <w:rPr>
      <w:sz w:val="21"/>
    </w:rPr>
  </w:style>
  <w:style w:type="paragraph" w:customStyle="1" w:styleId="05">
    <w:name w:val="05中文摘要、关键词"/>
    <w:basedOn w:val="100"/>
    <w:qFormat/>
    <w:pPr>
      <w:tabs>
        <w:tab w:val="right" w:pos="567"/>
        <w:tab w:val="right" w:pos="624"/>
      </w:tabs>
      <w:ind w:left="567" w:right="567" w:firstLineChars="0" w:firstLine="0"/>
    </w:pPr>
    <w:rPr>
      <w:rFonts w:eastAsia="楷体"/>
    </w:rPr>
  </w:style>
  <w:style w:type="paragraph" w:customStyle="1" w:styleId="14">
    <w:name w:val="14图题"/>
    <w:basedOn w:val="04"/>
    <w:qFormat/>
    <w:pPr>
      <w:spacing w:line="260" w:lineRule="atLeast"/>
      <w:ind w:firstLineChars="0" w:firstLine="0"/>
    </w:pPr>
    <w:rPr>
      <w:sz w:val="18"/>
    </w:rPr>
  </w:style>
  <w:style w:type="paragraph" w:customStyle="1" w:styleId="04">
    <w:name w:val="04中文单位"/>
    <w:basedOn w:val="100"/>
    <w:qFormat/>
    <w:pPr>
      <w:spacing w:line="200" w:lineRule="atLeast"/>
      <w:jc w:val="center"/>
    </w:pPr>
    <w:rPr>
      <w:sz w:val="15"/>
    </w:rPr>
  </w:style>
  <w:style w:type="paragraph" w:customStyle="1" w:styleId="100">
    <w:name w:val="10正文"/>
    <w:basedOn w:val="a9"/>
    <w:qFormat/>
    <w:pPr>
      <w:spacing w:beforeLines="0" w:before="0" w:afterLines="0" w:after="0" w:line="312" w:lineRule="atLeast"/>
      <w:ind w:firstLineChars="200" w:firstLine="200"/>
    </w:pPr>
    <w:rPr>
      <w:rFonts w:eastAsia="宋体"/>
      <w:sz w:val="21"/>
    </w:rPr>
  </w:style>
  <w:style w:type="paragraph" w:customStyle="1" w:styleId="08">
    <w:name w:val="08英文单位"/>
    <w:basedOn w:val="04"/>
    <w:qFormat/>
    <w:rPr>
      <w:i/>
    </w:rPr>
  </w:style>
  <w:style w:type="paragraph" w:customStyle="1" w:styleId="02">
    <w:name w:val="02论文题目"/>
    <w:basedOn w:val="ab"/>
    <w:qFormat/>
    <w:pPr>
      <w:spacing w:beforeLines="100" w:before="100" w:afterLines="100" w:after="100"/>
    </w:pPr>
    <w:rPr>
      <w:rFonts w:ascii="Times New Roman" w:eastAsia="黑体" w:hAnsi="Times New Roman"/>
      <w:b w:val="0"/>
    </w:rPr>
  </w:style>
  <w:style w:type="paragraph" w:customStyle="1" w:styleId="01">
    <w:name w:val="01首页顶部引用格式"/>
    <w:basedOn w:val="a"/>
    <w:qFormat/>
    <w:pPr>
      <w:spacing w:beforeLines="0" w:before="0" w:afterLines="0" w:after="0" w:line="280" w:lineRule="exact"/>
    </w:pPr>
    <w:rPr>
      <w:rFonts w:eastAsia="宋体" w:cs="宋体"/>
      <w:sz w:val="18"/>
      <w:szCs w:val="20"/>
    </w:rPr>
  </w:style>
  <w:style w:type="paragraph" w:customStyle="1" w:styleId="130">
    <w:name w:val="13三级标题"/>
    <w:basedOn w:val="3"/>
    <w:qFormat/>
    <w:pPr>
      <w:spacing w:beforeLines="0" w:before="0" w:afterLines="0" w:after="0" w:line="312" w:lineRule="atLeast"/>
    </w:pPr>
    <w:rPr>
      <w:rFonts w:eastAsia="宋体"/>
      <w:b w:val="0"/>
      <w:sz w:val="21"/>
    </w:rPr>
  </w:style>
  <w:style w:type="paragraph" w:customStyle="1" w:styleId="18">
    <w:name w:val="18脚注"/>
    <w:basedOn w:val="100"/>
    <w:qFormat/>
    <w:pPr>
      <w:spacing w:line="240" w:lineRule="atLeast"/>
      <w:ind w:left="684" w:hangingChars="400" w:hanging="400"/>
    </w:pPr>
    <w:rPr>
      <w:sz w:val="15"/>
      <w:szCs w:val="15"/>
    </w:rPr>
  </w:style>
  <w:style w:type="paragraph" w:customStyle="1" w:styleId="050">
    <w:name w:val="0.5磅缩字间距"/>
    <w:basedOn w:val="100"/>
    <w:qFormat/>
    <w:pPr>
      <w:ind w:firstLine="420"/>
    </w:pPr>
    <w:rPr>
      <w:spacing w:val="-10"/>
    </w:rPr>
  </w:style>
  <w:style w:type="table" w:styleId="19">
    <w:name w:val="Table Colorful 1"/>
    <w:basedOn w:val="a2"/>
    <w:pPr>
      <w:widowControl w:val="0"/>
      <w:spacing w:beforeLines="50" w:before="156" w:afterLines="50" w:after="156"/>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op w:val="nil"/>
          <w:left w:val="nil"/>
          <w:bottom w:val="nil"/>
          <w:right w:val="nil"/>
          <w:insideH w:val="nil"/>
          <w:insideV w:val="nil"/>
          <w:tl2br w:val="nil"/>
          <w:tr2bl w:val="nil"/>
        </w:tcBorders>
        <w:shd w:val="solid" w:color="000000" w:fill="FFFFFF"/>
      </w:tcPr>
    </w:tblStylePr>
    <w:tblStylePr w:type="firstCol">
      <w:rPr>
        <w:b/>
        <w:bCs/>
        <w:i/>
        <w:iCs/>
      </w:rPr>
      <w:tblPr/>
      <w:tcPr>
        <w:tcBorders>
          <w:top w:val="nil"/>
          <w:left w:val="nil"/>
          <w:bottom w:val="nil"/>
          <w:right w:val="nil"/>
          <w:insideH w:val="nil"/>
          <w:insideV w:val="nil"/>
          <w:tl2br w:val="nil"/>
          <w:tr2bl w:val="nil"/>
        </w:tcBorders>
        <w:shd w:val="solid" w:color="000080" w:fill="FFFFFF"/>
      </w:tcPr>
    </w:tblStylePr>
    <w:tblStylePr w:type="nwCell">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ad">
    <w:name w:val="Table Theme"/>
    <w:basedOn w:val="a2"/>
    <w:pPr>
      <w:widowControl w:val="0"/>
      <w:spacing w:beforeLines="50" w:before="156" w:afterLines="50" w:after="156"/>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a">
    <w:name w:val="Table Simple 1"/>
    <w:basedOn w:val="a2"/>
    <w:pPr>
      <w:widowControl w:val="0"/>
      <w:spacing w:line="260" w:lineRule="exact"/>
      <w:jc w:val="center"/>
    </w:pPr>
    <w:rPr>
      <w:sz w:val="15"/>
      <w:szCs w:val="15"/>
    </w:rPr>
    <w:tblPr>
      <w:jc w:val="center"/>
      <w:tblBorders>
        <w:top w:val="single" w:sz="6" w:space="0" w:color="auto"/>
        <w:bottom w:val="single" w:sz="6" w:space="0" w:color="auto"/>
      </w:tblBorders>
      <w:tblCellMar>
        <w:left w:w="57" w:type="dxa"/>
        <w:right w:w="57" w:type="dxa"/>
      </w:tblCellMar>
    </w:tblPr>
    <w:trPr>
      <w:jc w:val="center"/>
    </w:trPr>
    <w:tcPr>
      <w:shd w:val="clear" w:color="auto" w:fill="auto"/>
      <w:vAlign w:val="center"/>
    </w:tc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paragraph" w:styleId="ae">
    <w:name w:val="Normal (Web)"/>
    <w:basedOn w:val="a"/>
    <w:unhideWhenUsed/>
    <w:qFormat/>
    <w:rsid w:val="00610751"/>
    <w:pPr>
      <w:widowControl/>
      <w:spacing w:beforeLines="0" w:before="100" w:beforeAutospacing="1" w:afterLines="0" w:after="100" w:afterAutospacing="1"/>
      <w:jc w:val="left"/>
    </w:pPr>
    <w:rPr>
      <w:rFonts w:ascii="宋体" w:eastAsia="宋体" w:hAnsi="宋体" w:cs="宋体"/>
      <w:kern w:val="0"/>
      <w:sz w:val="24"/>
    </w:rPr>
  </w:style>
  <w:style w:type="character" w:styleId="af">
    <w:name w:val="Strong"/>
    <w:qFormat/>
    <w:rsid w:val="00610751"/>
    <w:rPr>
      <w:b/>
      <w:bCs/>
    </w:rPr>
  </w:style>
  <w:style w:type="paragraph" w:styleId="af0">
    <w:name w:val="Balloon Text"/>
    <w:basedOn w:val="a"/>
    <w:link w:val="af1"/>
    <w:qFormat/>
    <w:rsid w:val="00516020"/>
    <w:pPr>
      <w:spacing w:before="0" w:after="0"/>
    </w:pPr>
    <w:rPr>
      <w:sz w:val="18"/>
      <w:szCs w:val="18"/>
    </w:rPr>
  </w:style>
  <w:style w:type="character" w:customStyle="1" w:styleId="af1">
    <w:name w:val="批注框文本 字符"/>
    <w:link w:val="af0"/>
    <w:qFormat/>
    <w:rsid w:val="00516020"/>
    <w:rPr>
      <w:rFonts w:eastAsia="黑体"/>
      <w:kern w:val="2"/>
      <w:sz w:val="18"/>
      <w:szCs w:val="18"/>
    </w:rPr>
  </w:style>
  <w:style w:type="numbering" w:customStyle="1" w:styleId="1b">
    <w:name w:val="无列表1"/>
    <w:next w:val="a3"/>
    <w:uiPriority w:val="99"/>
    <w:semiHidden/>
    <w:unhideWhenUsed/>
    <w:rsid w:val="00351EC4"/>
  </w:style>
  <w:style w:type="character" w:customStyle="1" w:styleId="WW8Num1z0">
    <w:name w:val="WW8Num1z0"/>
    <w:qFormat/>
    <w:rsid w:val="00351EC4"/>
  </w:style>
  <w:style w:type="character" w:customStyle="1" w:styleId="WW8Num1z1">
    <w:name w:val="WW8Num1z1"/>
    <w:qFormat/>
    <w:rsid w:val="00351EC4"/>
    <w:rPr>
      <w:rFonts w:ascii="Wingdings" w:hAnsi="Wingdings" w:cs="Wingdings"/>
    </w:rPr>
  </w:style>
  <w:style w:type="character" w:customStyle="1" w:styleId="WW8Num2z0">
    <w:name w:val="WW8Num2z0"/>
    <w:qFormat/>
    <w:rsid w:val="00351EC4"/>
    <w:rPr>
      <w:rFonts w:ascii="华文仿宋;华文仿宋" w:eastAsia="华文仿宋;华文仿宋" w:hAnsi="华文仿宋;华文仿宋" w:cs="华文仿宋;华文仿宋"/>
      <w:sz w:val="21"/>
    </w:rPr>
  </w:style>
  <w:style w:type="character" w:customStyle="1" w:styleId="WW8Num3z0">
    <w:name w:val="WW8Num3z0"/>
    <w:qFormat/>
    <w:rsid w:val="00351EC4"/>
  </w:style>
  <w:style w:type="character" w:customStyle="1" w:styleId="WW8Num4z0">
    <w:name w:val="WW8Num4z0"/>
    <w:qFormat/>
    <w:rsid w:val="00351EC4"/>
  </w:style>
  <w:style w:type="character" w:customStyle="1" w:styleId="WW8Num5z0">
    <w:name w:val="WW8Num5z0"/>
    <w:qFormat/>
    <w:rsid w:val="00351EC4"/>
    <w:rPr>
      <w:rFonts w:ascii="华文仿宋;华文仿宋" w:eastAsia="华文仿宋;华文仿宋" w:hAnsi="华文仿宋;华文仿宋" w:cs="华文仿宋;华文仿宋"/>
    </w:rPr>
  </w:style>
  <w:style w:type="character" w:customStyle="1" w:styleId="WW8Num6z0">
    <w:name w:val="WW8Num6z0"/>
    <w:qFormat/>
    <w:rsid w:val="00351EC4"/>
    <w:rPr>
      <w:rFonts w:ascii="Wingdings" w:hAnsi="Wingdings" w:cs="Wingdings"/>
    </w:rPr>
  </w:style>
  <w:style w:type="character" w:customStyle="1" w:styleId="WW8Num6z1">
    <w:name w:val="WW8Num6z1"/>
    <w:qFormat/>
    <w:rsid w:val="00351EC4"/>
  </w:style>
  <w:style w:type="character" w:customStyle="1" w:styleId="WW8Num7z0">
    <w:name w:val="WW8Num7z0"/>
    <w:qFormat/>
    <w:rsid w:val="00351EC4"/>
  </w:style>
  <w:style w:type="character" w:customStyle="1" w:styleId="WW8Num8z0">
    <w:name w:val="WW8Num8z0"/>
    <w:qFormat/>
    <w:rsid w:val="00351EC4"/>
    <w:rPr>
      <w:rFonts w:ascii="Wingdings" w:hAnsi="Wingdings" w:cs="Wingdings"/>
    </w:rPr>
  </w:style>
  <w:style w:type="character" w:customStyle="1" w:styleId="WW8Num9z0">
    <w:name w:val="WW8Num9z0"/>
    <w:qFormat/>
    <w:rsid w:val="00351EC4"/>
    <w:rPr>
      <w:rFonts w:ascii="华文仿宋;华文仿宋" w:eastAsia="华文仿宋;华文仿宋" w:hAnsi="华文仿宋;华文仿宋" w:cs="Times New Roman"/>
    </w:rPr>
  </w:style>
  <w:style w:type="character" w:customStyle="1" w:styleId="WW8Num10z0">
    <w:name w:val="WW8Num10z0"/>
    <w:qFormat/>
    <w:rsid w:val="00351EC4"/>
    <w:rPr>
      <w:rFonts w:ascii="Wingdings" w:hAnsi="Wingdings" w:cs="Wingdings"/>
    </w:rPr>
  </w:style>
  <w:style w:type="character" w:customStyle="1" w:styleId="WW8Num11z0">
    <w:name w:val="WW8Num11z0"/>
    <w:qFormat/>
    <w:rsid w:val="00351EC4"/>
    <w:rPr>
      <w:rFonts w:hint="eastAsia"/>
    </w:rPr>
  </w:style>
  <w:style w:type="character" w:customStyle="1" w:styleId="WW8Num12z0">
    <w:name w:val="WW8Num12z0"/>
    <w:qFormat/>
    <w:rsid w:val="00351EC4"/>
    <w:rPr>
      <w:rFonts w:ascii="宋体;SimSun" w:hAnsi="宋体;SimSun" w:cs="宋体;SimSun"/>
    </w:rPr>
  </w:style>
  <w:style w:type="character" w:customStyle="1" w:styleId="WW8Num13z0">
    <w:name w:val="WW8Num13z0"/>
    <w:qFormat/>
    <w:rsid w:val="00351EC4"/>
  </w:style>
  <w:style w:type="paragraph" w:customStyle="1" w:styleId="af2">
    <w:name w:val="标题样式"/>
    <w:basedOn w:val="a"/>
    <w:next w:val="a9"/>
    <w:qFormat/>
    <w:rsid w:val="00351EC4"/>
    <w:pPr>
      <w:spacing w:beforeLines="0" w:before="240" w:afterLines="0" w:after="60"/>
      <w:jc w:val="center"/>
      <w:outlineLvl w:val="0"/>
    </w:pPr>
    <w:rPr>
      <w:rFonts w:ascii="Arial" w:eastAsia="宋体;SimSun" w:hAnsi="Arial" w:cs="Arial"/>
      <w:b/>
      <w:bCs/>
      <w:sz w:val="32"/>
      <w:szCs w:val="32"/>
    </w:rPr>
  </w:style>
  <w:style w:type="paragraph" w:styleId="af3">
    <w:name w:val="List"/>
    <w:basedOn w:val="a9"/>
    <w:rsid w:val="00351EC4"/>
    <w:pPr>
      <w:spacing w:beforeLines="0" w:afterLines="0"/>
    </w:pPr>
    <w:rPr>
      <w:rFonts w:eastAsia="黑体;SimHei" w:cs="Lucida Sans"/>
    </w:rPr>
  </w:style>
  <w:style w:type="paragraph" w:styleId="af4">
    <w:name w:val="caption"/>
    <w:basedOn w:val="a"/>
    <w:qFormat/>
    <w:rsid w:val="00351EC4"/>
    <w:pPr>
      <w:suppressLineNumbers/>
      <w:spacing w:beforeLines="0" w:afterLines="0"/>
    </w:pPr>
    <w:rPr>
      <w:rFonts w:eastAsia="黑体;SimHei" w:cs="Lucida Sans"/>
      <w:i/>
      <w:iCs/>
      <w:sz w:val="24"/>
    </w:rPr>
  </w:style>
  <w:style w:type="paragraph" w:customStyle="1" w:styleId="af5">
    <w:name w:val="索引"/>
    <w:basedOn w:val="a"/>
    <w:qFormat/>
    <w:rsid w:val="00351EC4"/>
    <w:pPr>
      <w:suppressLineNumbers/>
      <w:spacing w:beforeLines="0" w:afterLines="0"/>
    </w:pPr>
    <w:rPr>
      <w:rFonts w:eastAsia="黑体;SimHei" w:cs="Lucida Sans"/>
    </w:rPr>
  </w:style>
  <w:style w:type="paragraph" w:customStyle="1" w:styleId="af6">
    <w:name w:val="页眉与页脚"/>
    <w:basedOn w:val="a"/>
    <w:qFormat/>
    <w:rsid w:val="00351EC4"/>
    <w:pPr>
      <w:suppressLineNumbers/>
      <w:tabs>
        <w:tab w:val="center" w:pos="4819"/>
        <w:tab w:val="right" w:pos="9638"/>
      </w:tabs>
      <w:spacing w:beforeLines="0" w:afterLines="0"/>
    </w:pPr>
    <w:rPr>
      <w:rFonts w:eastAsia="黑体;SimHei"/>
    </w:rPr>
  </w:style>
  <w:style w:type="paragraph" w:customStyle="1" w:styleId="af7">
    <w:name w:val="框架内容"/>
    <w:basedOn w:val="a"/>
    <w:qFormat/>
    <w:rsid w:val="00351EC4"/>
    <w:pPr>
      <w:spacing w:beforeLines="0" w:afterLines="0"/>
    </w:pPr>
    <w:rPr>
      <w:rFonts w:eastAsia="黑体;SimHei"/>
    </w:rPr>
  </w:style>
  <w:style w:type="numbering" w:customStyle="1" w:styleId="WW8Num1">
    <w:name w:val="WW8Num1"/>
    <w:qFormat/>
    <w:rsid w:val="00351EC4"/>
  </w:style>
  <w:style w:type="numbering" w:customStyle="1" w:styleId="WW8Num2">
    <w:name w:val="WW8Num2"/>
    <w:qFormat/>
    <w:rsid w:val="00351EC4"/>
  </w:style>
  <w:style w:type="numbering" w:customStyle="1" w:styleId="WW8Num3">
    <w:name w:val="WW8Num3"/>
    <w:qFormat/>
    <w:rsid w:val="00351EC4"/>
  </w:style>
  <w:style w:type="numbering" w:customStyle="1" w:styleId="WW8Num4">
    <w:name w:val="WW8Num4"/>
    <w:qFormat/>
    <w:rsid w:val="00351EC4"/>
  </w:style>
  <w:style w:type="numbering" w:customStyle="1" w:styleId="WW8Num5">
    <w:name w:val="WW8Num5"/>
    <w:qFormat/>
    <w:rsid w:val="00351EC4"/>
  </w:style>
  <w:style w:type="numbering" w:customStyle="1" w:styleId="WW8Num6">
    <w:name w:val="WW8Num6"/>
    <w:qFormat/>
    <w:rsid w:val="00351EC4"/>
  </w:style>
  <w:style w:type="numbering" w:customStyle="1" w:styleId="WW8Num7">
    <w:name w:val="WW8Num7"/>
    <w:qFormat/>
    <w:rsid w:val="00351EC4"/>
  </w:style>
  <w:style w:type="numbering" w:customStyle="1" w:styleId="WW8Num8">
    <w:name w:val="WW8Num8"/>
    <w:qFormat/>
    <w:rsid w:val="00351EC4"/>
  </w:style>
  <w:style w:type="numbering" w:customStyle="1" w:styleId="WW8Num9">
    <w:name w:val="WW8Num9"/>
    <w:qFormat/>
    <w:rsid w:val="00351EC4"/>
  </w:style>
  <w:style w:type="numbering" w:customStyle="1" w:styleId="WW8Num10">
    <w:name w:val="WW8Num10"/>
    <w:qFormat/>
    <w:rsid w:val="00351EC4"/>
  </w:style>
  <w:style w:type="numbering" w:customStyle="1" w:styleId="WW8Num11">
    <w:name w:val="WW8Num11"/>
    <w:qFormat/>
    <w:rsid w:val="00351EC4"/>
  </w:style>
  <w:style w:type="numbering" w:customStyle="1" w:styleId="WW8Num12">
    <w:name w:val="WW8Num12"/>
    <w:qFormat/>
    <w:rsid w:val="00351EC4"/>
  </w:style>
  <w:style w:type="numbering" w:customStyle="1" w:styleId="WW8Num13">
    <w:name w:val="WW8Num13"/>
    <w:qFormat/>
    <w:rsid w:val="00351EC4"/>
  </w:style>
  <w:style w:type="character" w:customStyle="1" w:styleId="1c">
    <w:name w:val="超链接1"/>
    <w:basedOn w:val="a1"/>
    <w:uiPriority w:val="99"/>
    <w:unhideWhenUsed/>
    <w:rsid w:val="00351EC4"/>
    <w:rPr>
      <w:color w:val="0000FF"/>
      <w:u w:val="single"/>
    </w:rPr>
  </w:style>
  <w:style w:type="character" w:styleId="af8">
    <w:name w:val="Unresolved Mention"/>
    <w:basedOn w:val="a1"/>
    <w:uiPriority w:val="99"/>
    <w:semiHidden/>
    <w:unhideWhenUsed/>
    <w:rsid w:val="00351EC4"/>
    <w:rPr>
      <w:color w:val="605E5C"/>
      <w:shd w:val="clear" w:color="auto" w:fill="E1DFDD"/>
    </w:rPr>
  </w:style>
  <w:style w:type="character" w:customStyle="1" w:styleId="MTConvertedEquation">
    <w:name w:val="MTConvertedEquation"/>
    <w:basedOn w:val="a1"/>
    <w:rsid w:val="00351EC4"/>
    <w:rPr>
      <w:rFonts w:ascii="Cambria Math" w:hAnsi="Cambria Math"/>
      <w:i/>
      <w:sz w:val="21"/>
    </w:rPr>
  </w:style>
  <w:style w:type="character" w:styleId="af9">
    <w:name w:val="Hyperlink"/>
    <w:basedOn w:val="a1"/>
    <w:uiPriority w:val="99"/>
    <w:rsid w:val="00351EC4"/>
    <w:rPr>
      <w:color w:val="467886" w:themeColor="hyperlink"/>
      <w:u w:val="single"/>
    </w:rPr>
  </w:style>
  <w:style w:type="character" w:customStyle="1" w:styleId="MTEquationSection">
    <w:name w:val="MTEquationSection"/>
    <w:basedOn w:val="a1"/>
    <w:rsid w:val="00351EC4"/>
    <w:rPr>
      <w:vanish/>
      <w:color w:val="FF0000"/>
    </w:rPr>
  </w:style>
  <w:style w:type="paragraph" w:styleId="afa">
    <w:name w:val="table of figures"/>
    <w:basedOn w:val="14"/>
    <w:next w:val="100"/>
    <w:autoRedefine/>
    <w:uiPriority w:val="99"/>
    <w:rsid w:val="004B50B8"/>
    <w:pPr>
      <w:ind w:leftChars="200" w:left="200" w:hangingChars="200" w:hanging="200"/>
    </w:pPr>
  </w:style>
  <w:style w:type="character" w:customStyle="1" w:styleId="40">
    <w:name w:val="标题 4 字符"/>
    <w:basedOn w:val="a1"/>
    <w:link w:val="4"/>
    <w:semiHidden/>
    <w:rsid w:val="00DD780E"/>
    <w:rPr>
      <w:rFonts w:asciiTheme="majorHAnsi" w:eastAsiaTheme="majorEastAsia" w:hAnsiTheme="majorHAnsi" w:cstheme="majorBidi"/>
      <w:b/>
      <w:bCs/>
      <w:kern w:val="2"/>
      <w:sz w:val="28"/>
      <w:szCs w:val="28"/>
    </w:rPr>
  </w:style>
  <w:style w:type="paragraph" w:customStyle="1" w:styleId="afb">
    <w:name w:val="图题"/>
    <w:basedOn w:val="a"/>
    <w:link w:val="afc"/>
    <w:qFormat/>
    <w:rsid w:val="00ED29A2"/>
    <w:pPr>
      <w:spacing w:beforeLines="0" w:before="0" w:afterLines="0" w:after="0" w:line="300" w:lineRule="auto"/>
      <w:jc w:val="center"/>
    </w:pPr>
    <w:rPr>
      <w:rFonts w:eastAsia="宋体"/>
      <w:sz w:val="21"/>
      <w:szCs w:val="21"/>
    </w:rPr>
  </w:style>
  <w:style w:type="character" w:customStyle="1" w:styleId="afc">
    <w:name w:val="图题 字符"/>
    <w:basedOn w:val="a1"/>
    <w:link w:val="afb"/>
    <w:rsid w:val="00ED29A2"/>
    <w:rPr>
      <w:kern w:val="2"/>
      <w:sz w:val="21"/>
      <w:szCs w:val="21"/>
    </w:rPr>
  </w:style>
  <w:style w:type="paragraph" w:customStyle="1" w:styleId="afd">
    <w:name w:val="图题英文"/>
    <w:basedOn w:val="afb"/>
    <w:link w:val="afe"/>
    <w:qFormat/>
    <w:rsid w:val="00ED29A2"/>
    <w:pPr>
      <w:spacing w:after="120"/>
    </w:pPr>
  </w:style>
  <w:style w:type="character" w:customStyle="1" w:styleId="afe">
    <w:name w:val="图题英文 字符"/>
    <w:basedOn w:val="afc"/>
    <w:link w:val="afd"/>
    <w:rsid w:val="00ED29A2"/>
    <w:rPr>
      <w:kern w:val="2"/>
      <w:sz w:val="21"/>
      <w:szCs w:val="21"/>
    </w:rPr>
  </w:style>
  <w:style w:type="paragraph" w:customStyle="1" w:styleId="aff">
    <w:name w:val="图片"/>
    <w:basedOn w:val="afb"/>
    <w:next w:val="afb"/>
    <w:link w:val="aff0"/>
    <w:qFormat/>
    <w:rsid w:val="00ED29A2"/>
  </w:style>
  <w:style w:type="character" w:customStyle="1" w:styleId="aff0">
    <w:name w:val="图片 字符"/>
    <w:basedOn w:val="afc"/>
    <w:link w:val="aff"/>
    <w:rsid w:val="00ED29A2"/>
    <w:rPr>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4940386">
      <w:bodyDiv w:val="1"/>
      <w:marLeft w:val="0"/>
      <w:marRight w:val="0"/>
      <w:marTop w:val="0"/>
      <w:marBottom w:val="0"/>
      <w:divBdr>
        <w:top w:val="none" w:sz="0" w:space="0" w:color="auto"/>
        <w:left w:val="none" w:sz="0" w:space="0" w:color="auto"/>
        <w:bottom w:val="none" w:sz="0" w:space="0" w:color="auto"/>
        <w:right w:val="none" w:sz="0" w:space="0" w:color="auto"/>
      </w:divBdr>
    </w:div>
    <w:div w:id="700785135">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wmf"/><Relationship Id="rId21" Type="http://schemas.openxmlformats.org/officeDocument/2006/relationships/oleObject" Target="embeddings/oleObject3.bin"/><Relationship Id="rId42" Type="http://schemas.openxmlformats.org/officeDocument/2006/relationships/image" Target="media/image20.wmf"/><Relationship Id="rId47" Type="http://schemas.openxmlformats.org/officeDocument/2006/relationships/oleObject" Target="embeddings/oleObject15.bin"/><Relationship Id="rId63" Type="http://schemas.openxmlformats.org/officeDocument/2006/relationships/oleObject" Target="embeddings/oleObject23.bin"/><Relationship Id="rId68" Type="http://schemas.openxmlformats.org/officeDocument/2006/relationships/image" Target="media/image33.wmf"/><Relationship Id="rId16" Type="http://schemas.openxmlformats.org/officeDocument/2006/relationships/image" Target="media/image5.png"/><Relationship Id="rId11" Type="http://schemas.openxmlformats.org/officeDocument/2006/relationships/image" Target="media/image1.png"/><Relationship Id="rId32" Type="http://schemas.openxmlformats.org/officeDocument/2006/relationships/image" Target="media/image14.wmf"/><Relationship Id="rId37" Type="http://schemas.openxmlformats.org/officeDocument/2006/relationships/image" Target="media/image17.png"/><Relationship Id="rId53" Type="http://schemas.openxmlformats.org/officeDocument/2006/relationships/oleObject" Target="embeddings/oleObject18.bin"/><Relationship Id="rId58" Type="http://schemas.openxmlformats.org/officeDocument/2006/relationships/image" Target="media/image28.wmf"/><Relationship Id="rId74" Type="http://schemas.openxmlformats.org/officeDocument/2006/relationships/image" Target="media/image36.png"/><Relationship Id="rId79" Type="http://schemas.openxmlformats.org/officeDocument/2006/relationships/image" Target="media/image41.png"/><Relationship Id="rId5" Type="http://schemas.openxmlformats.org/officeDocument/2006/relationships/webSettings" Target="webSettings.xml"/><Relationship Id="rId61" Type="http://schemas.openxmlformats.org/officeDocument/2006/relationships/oleObject" Target="embeddings/oleObject22.bin"/><Relationship Id="rId19" Type="http://schemas.openxmlformats.org/officeDocument/2006/relationships/oleObject" Target="embeddings/oleObject2.bin"/><Relationship Id="rId14" Type="http://schemas.openxmlformats.org/officeDocument/2006/relationships/oleObject" Target="embeddings/oleObject1.bin"/><Relationship Id="rId22" Type="http://schemas.openxmlformats.org/officeDocument/2006/relationships/image" Target="media/image9.wmf"/><Relationship Id="rId27" Type="http://schemas.openxmlformats.org/officeDocument/2006/relationships/oleObject" Target="embeddings/oleObject6.bin"/><Relationship Id="rId30" Type="http://schemas.openxmlformats.org/officeDocument/2006/relationships/image" Target="media/image13.wmf"/><Relationship Id="rId35" Type="http://schemas.openxmlformats.org/officeDocument/2006/relationships/oleObject" Target="embeddings/oleObject10.bin"/><Relationship Id="rId43" Type="http://schemas.openxmlformats.org/officeDocument/2006/relationships/oleObject" Target="embeddings/oleObject13.bin"/><Relationship Id="rId48" Type="http://schemas.openxmlformats.org/officeDocument/2006/relationships/image" Target="media/image23.wmf"/><Relationship Id="rId56" Type="http://schemas.openxmlformats.org/officeDocument/2006/relationships/image" Target="media/image27.wmf"/><Relationship Id="rId64" Type="http://schemas.openxmlformats.org/officeDocument/2006/relationships/image" Target="media/image31.wmf"/><Relationship Id="rId69" Type="http://schemas.openxmlformats.org/officeDocument/2006/relationships/oleObject" Target="embeddings/oleObject26.bin"/><Relationship Id="rId77" Type="http://schemas.openxmlformats.org/officeDocument/2006/relationships/image" Target="media/image39.png"/><Relationship Id="rId8" Type="http://schemas.openxmlformats.org/officeDocument/2006/relationships/header" Target="header1.xml"/><Relationship Id="rId51" Type="http://schemas.openxmlformats.org/officeDocument/2006/relationships/oleObject" Target="embeddings/oleObject17.bin"/><Relationship Id="rId72" Type="http://schemas.openxmlformats.org/officeDocument/2006/relationships/image" Target="media/image35.wmf"/><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oleObject" Target="embeddings/oleObject5.bin"/><Relationship Id="rId33" Type="http://schemas.openxmlformats.org/officeDocument/2006/relationships/oleObject" Target="embeddings/oleObject9.bin"/><Relationship Id="rId38" Type="http://schemas.openxmlformats.org/officeDocument/2006/relationships/image" Target="media/image18.wmf"/><Relationship Id="rId46" Type="http://schemas.openxmlformats.org/officeDocument/2006/relationships/image" Target="media/image22.wmf"/><Relationship Id="rId59" Type="http://schemas.openxmlformats.org/officeDocument/2006/relationships/oleObject" Target="embeddings/oleObject21.bin"/><Relationship Id="rId67" Type="http://schemas.openxmlformats.org/officeDocument/2006/relationships/oleObject" Target="embeddings/oleObject25.bin"/><Relationship Id="rId20" Type="http://schemas.openxmlformats.org/officeDocument/2006/relationships/image" Target="media/image8.wmf"/><Relationship Id="rId41" Type="http://schemas.openxmlformats.org/officeDocument/2006/relationships/oleObject" Target="embeddings/oleObject12.bin"/><Relationship Id="rId54" Type="http://schemas.openxmlformats.org/officeDocument/2006/relationships/image" Target="media/image26.wmf"/><Relationship Id="rId62" Type="http://schemas.openxmlformats.org/officeDocument/2006/relationships/image" Target="media/image30.wmf"/><Relationship Id="rId70" Type="http://schemas.openxmlformats.org/officeDocument/2006/relationships/image" Target="media/image34.wmf"/><Relationship Id="rId75" Type="http://schemas.openxmlformats.org/officeDocument/2006/relationships/image" Target="media/image3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oleObject" Target="embeddings/oleObject4.bin"/><Relationship Id="rId28" Type="http://schemas.openxmlformats.org/officeDocument/2006/relationships/image" Target="media/image12.wmf"/><Relationship Id="rId36" Type="http://schemas.openxmlformats.org/officeDocument/2006/relationships/image" Target="media/image16.png"/><Relationship Id="rId49" Type="http://schemas.openxmlformats.org/officeDocument/2006/relationships/oleObject" Target="embeddings/oleObject16.bin"/><Relationship Id="rId57" Type="http://schemas.openxmlformats.org/officeDocument/2006/relationships/oleObject" Target="embeddings/oleObject20.bin"/><Relationship Id="rId10" Type="http://schemas.openxmlformats.org/officeDocument/2006/relationships/footer" Target="footer2.xml"/><Relationship Id="rId31" Type="http://schemas.openxmlformats.org/officeDocument/2006/relationships/oleObject" Target="embeddings/oleObject8.bin"/><Relationship Id="rId44" Type="http://schemas.openxmlformats.org/officeDocument/2006/relationships/image" Target="media/image21.wmf"/><Relationship Id="rId52" Type="http://schemas.openxmlformats.org/officeDocument/2006/relationships/image" Target="media/image25.wmf"/><Relationship Id="rId60" Type="http://schemas.openxmlformats.org/officeDocument/2006/relationships/image" Target="media/image29.wmf"/><Relationship Id="rId65" Type="http://schemas.openxmlformats.org/officeDocument/2006/relationships/oleObject" Target="embeddings/oleObject24.bin"/><Relationship Id="rId73" Type="http://schemas.openxmlformats.org/officeDocument/2006/relationships/oleObject" Target="embeddings/oleObject28.bin"/><Relationship Id="rId78" Type="http://schemas.openxmlformats.org/officeDocument/2006/relationships/image" Target="media/image40.png"/><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wmf"/><Relationship Id="rId18" Type="http://schemas.openxmlformats.org/officeDocument/2006/relationships/image" Target="media/image7.wmf"/><Relationship Id="rId39" Type="http://schemas.openxmlformats.org/officeDocument/2006/relationships/oleObject" Target="embeddings/oleObject11.bin"/><Relationship Id="rId34" Type="http://schemas.openxmlformats.org/officeDocument/2006/relationships/image" Target="media/image15.wmf"/><Relationship Id="rId50" Type="http://schemas.openxmlformats.org/officeDocument/2006/relationships/image" Target="media/image24.wmf"/><Relationship Id="rId55" Type="http://schemas.openxmlformats.org/officeDocument/2006/relationships/oleObject" Target="embeddings/oleObject19.bin"/><Relationship Id="rId76" Type="http://schemas.openxmlformats.org/officeDocument/2006/relationships/image" Target="media/image38.png"/><Relationship Id="rId7" Type="http://schemas.openxmlformats.org/officeDocument/2006/relationships/endnotes" Target="endnotes.xml"/><Relationship Id="rId71" Type="http://schemas.openxmlformats.org/officeDocument/2006/relationships/oleObject" Target="embeddings/oleObject27.bin"/><Relationship Id="rId2" Type="http://schemas.openxmlformats.org/officeDocument/2006/relationships/numbering" Target="numbering.xml"/><Relationship Id="rId29" Type="http://schemas.openxmlformats.org/officeDocument/2006/relationships/oleObject" Target="embeddings/oleObject7.bin"/><Relationship Id="rId24" Type="http://schemas.openxmlformats.org/officeDocument/2006/relationships/image" Target="media/image10.wmf"/><Relationship Id="rId40" Type="http://schemas.openxmlformats.org/officeDocument/2006/relationships/image" Target="media/image19.wmf"/><Relationship Id="rId45" Type="http://schemas.openxmlformats.org/officeDocument/2006/relationships/oleObject" Target="embeddings/oleObject14.bin"/><Relationship Id="rId66" Type="http://schemas.openxmlformats.org/officeDocument/2006/relationships/image" Target="media/image32.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325ED0-FA76-42C5-AB3D-0E002135B9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367</TotalTime>
  <Pages>19</Pages>
  <Words>15299</Words>
  <Characters>21879</Characters>
  <Application>Microsoft Office Word</Application>
  <DocSecurity>0</DocSecurity>
  <PresentationFormat/>
  <Lines>1041</Lines>
  <Paragraphs>422</Paragraphs>
  <Slides>0</Slides>
  <Notes>0</Notes>
  <HiddenSlides>0</HiddenSlides>
  <MMClips>0</MMClips>
  <ScaleCrop>false</ScaleCrop>
  <Manager/>
  <Company>芳向电脑工作室</Company>
  <LinksUpToDate>false</LinksUpToDate>
  <CharactersWithSpaces>36756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姓名,姓名,姓名,等</dc:title>
  <dc:subject/>
  <dc:creator>张芳向 Netboy</dc:creator>
  <cp:keywords/>
  <dc:description/>
  <cp:lastModifiedBy>d63431</cp:lastModifiedBy>
  <cp:revision>19</cp:revision>
  <cp:lastPrinted>2026-04-22T08:43:00Z</cp:lastPrinted>
  <dcterms:created xsi:type="dcterms:W3CDTF">2026-04-20T05:17:00Z</dcterms:created>
  <dcterms:modified xsi:type="dcterms:W3CDTF">2026-04-22T08:46:00Z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2052-10.1.0.5559</vt:lpwstr>
  </property>
  <property fmtid="{D5CDD505-2E9C-101B-9397-08002B2CF9AE}" pid="3" name="MTEquationNumber2">
    <vt:lpwstr>(#S1.#E1)</vt:lpwstr>
  </property>
  <property fmtid="{D5CDD505-2E9C-101B-9397-08002B2CF9AE}" pid="4" name="MTUseMTPrefs">
    <vt:lpwstr>1</vt:lpwstr>
  </property>
  <property fmtid="{D5CDD505-2E9C-101B-9397-08002B2CF9AE}" pid="5" name="MTEquationSection">
    <vt:lpwstr>1</vt:lpwstr>
  </property>
  <property fmtid="{D5CDD505-2E9C-101B-9397-08002B2CF9AE}" pid="6" name="MTWinEqns">
    <vt:bool>true</vt:bool>
  </property>
</Properties>
</file>