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割裂以及规划结果难以传递至接续与经济评价环节的问题，提出一种面向采区规划设计的一体化方法及其平台化实现框架。该方法以多源数据标准化和项目快照机制统一组织边界、钻孔、分层与设计参数，通过连续参数场构建实现离散钻孔信息向规划域地质表达的转换；以覆岩扰动指数（overburden disturbance index，ODI）统一表征地表沉陷、含水层扰动和上行开采等多场景风险，并结合候选方案池、多模式规划比选、三阶段接续组织和净现值分析构建连续决策链。在样例数据条件下，系统以 15 个钻孔样点为输入，生成采区边界与钻孔分布图、煤层厚度插值热力图、组合式规划结果图和扩展建模结果图，并输出 3 个工作面、11 条巷道及相关结构化结果文件。结果表明，所提方法已具备从数据导入、参数场构建、风险组织、方案规划到成果导出的端到端组织能力，中间规划对象能够持续传递至接续与经济评价环节。当前验证主要支撑方法链与对象链贯通的可行性论证，尚不足以推导真实矿井条件下的优选结论；相关判断仍需结合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problems of discrete geological data, heterogeneous risk constraints, fragmented scheme comparison, and the difficulty of passing planning results forward to succession organization and economic evaluation in mining-district planning and design, an integrated method and its platform-based implementation framework are proposed. The method organizes boundary, borehole, stratigraphic, and design-parameter data through multi-source standardization and project snapshots, converts discrete borehole observations into continuous geological representations by constructing parameter fields, and unifies multi-scenario risks, including surface subsidence, aquifer disturbance, and upward mining, using the overburden disturbance index (ODI). On this basis, a continuous decision chain is established by coupling candidate-scheme pools, multi-mode planning comparison, three-stage succession organization, and net present value analysis. Under sample-data conditions, the system takes 15 borehole points as input, generates boundary-and-borehole distribution maps, coal-seam thickness interpolation maps, combined planning-result figures, and extended-modeling figures, and outputs 3 working faces, 11 roadways, and corresponding structured result files. The results show that the proposed method has formed an end-to-end organizational capability from data import, parameter-field construction, and risk organization to scheme planning and result export, and that intermediate planning objects can be continuously transmitted to succession and economic evaluation. The current validation mainly supports the connectivity of the method chain and object chain rather than optimization conclusions under real mine conditions; further verification still requires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并不试图在当前证据条件下直接给出真实矿井条件下的最优方案，而是围绕“对象可组织、方法可贯通、结果可传递”这一主线展开论证：首先，构建覆盖参数场、风险场、候选规划、接续组织和经济评价的一体化方法链；其次，建立面向地表沉陷、含水层扰动和上行开采的多场景 ODI 风险组织框架；最后，在样例数据条件下完成从输入、建模、规划到导出的连续验证，并明确当前结论仅适用于方法可行性与链路有效性层面的论证，为后续敏东矿实矿案例研究和基线对照实验提供方法基础。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82903"/>
            <wp:docPr id="1" name="Picture 1"/>
            <wp:cNvGraphicFramePr>
              <a:graphicFrameLocks noChangeAspect="1"/>
            </wp:cNvGraphicFramePr>
            <a:graphic>
              <a:graphicData uri="http://schemas.openxmlformats.org/drawingml/2006/picture">
                <pic:pic>
                  <pic:nvPicPr>
                    <pic:cNvPr id="0" name="图2_采区智能规划设计一体化方法总流程.png"/>
                    <pic:cNvPicPr/>
                  </pic:nvPicPr>
                  <pic:blipFill>
                    <a:blip r:embed="rId9"/>
                    <a:stretch>
                      <a:fillRect/>
                    </a:stretch>
                  </pic:blipFill>
                  <pic:spPr>
                    <a:xfrm>
                      <a:off x="0" y="0"/>
                      <a:ext cx="6263640" cy="3782903"/>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个钻孔样点的空间分布。该图首先确定了研究对象的几何边界和采样基础，也为后续参数场构建、风险组织与布局求解提供了统一的空间参照。</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图5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图5展示了候选池生成、多目标评分和四模式筛选之间的协同关系。与传统“只输出一个结果方案”的方式相比，这种组织方式更符合采区规划中“多方案并行比较、人工与算法协同决策”的工程实际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图6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6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本文主文证据来自固定样例输入、版本化代码快照和脚本可再生图件，而非脱离运行结果的事后归纳。样例输入主要包括采区边界、钻孔数据和设计参数；中间与输出证据包括地质建模结果、采区设计结果、GNN 训练输出以及网格预测结果。文字整理与图件重构均基于代码快照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3775"/>
            <wp:docPr id="7" name="Picture 7"/>
            <wp:cNvGraphicFramePr>
              <a:graphicFrameLocks noChangeAspect="1"/>
            </wp:cNvGraphicFramePr>
            <a:graphic>
              <a:graphicData uri="http://schemas.openxmlformats.org/drawingml/2006/picture">
                <pic:pic>
                  <pic:nvPicPr>
                    <pic:cNvPr id="0" name="候选图_采区综合空间信息与规划结果可视化界面.png"/>
                    <pic:cNvPicPr/>
                  </pic:nvPicPr>
                  <pic:blipFill>
                    <a:blip r:embed="rId15"/>
                    <a:stretch>
                      <a:fillRect/>
                    </a:stretch>
                  </pic:blipFill>
                  <pic:spPr>
                    <a:xfrm>
                      <a:off x="0" y="0"/>
                      <a:ext cx="6263640" cy="2303775"/>
                    </a:xfrm>
                    <a:prstGeom prst="rect"/>
                  </pic:spPr>
                </pic:pic>
              </a:graphicData>
            </a:graphic>
          </wp:inline>
        </w:drawing>
      </w:r>
    </w:p>
    <w:p>
      <w:pPr>
        <w:spacing w:after="40"/>
        <w:jc w:val="center"/>
      </w:pPr>
      <w:r>
        <w:rPr>
          <w:rFonts w:ascii="宋体" w:hAnsi="宋体" w:eastAsia="宋体"/>
          <w:b w:val="0"/>
          <w:sz w:val="20"/>
        </w:rPr>
        <w:t>图7 采区综合空间信息与规划结果可视化界面</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图7给出了更贴近论文论证口径的组合式结果图。其中，子图 (a) 将采区边界、钻孔样点、16-3煤 厚度场与布局阶段 ODI 风险等值线置于同一空间底图中，说明原始采样信息、连续参数场与风险表达已经能够在统一坐标语义下叠合；子图 (b) 则以工作面组和关键巷道为主，展示候选规划结果如何以结构化几何对象形式输出。与单独的布局截图相比，这张组合图更能支撑本文的核心论点，即规划链条中的空间场、风险场和几何对象并非彼此分离的中间产物，而是能够在同一表达界面中保持一致口径，并继续传递到人工复核、接续分析与经济评价环节。需要同时说明的是，接口校核仍给出了“推进长度小于最小值 800.0 m”的提示，因此该结果更适合被解释为“候选设计对象可生成、可表达、可传递”的样例证据，而非真实矿井条件下的最终工程终判结果。</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图8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完全替代现有地质建模、规划求解或经济评价理论的新算法，而在于把原本分散在多个工作环节中的输入、约束、求解和评价过程组织为可连续传递的方法链。相较于传统“先布局、后校核、再补评价”的割裂流程，本文更强调在规划早期就将地质参数场、风险约束和后续评价需求统一纳入同一求解语境，从而减少因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方案复核-方案比较”之间不再依赖离散文件和人工拼接，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理解为“采区智能规划设计一体化方法与系统”的方法论验证稿：其主要贡献在于建立统一链路、明确对象关系并完成样例条件下的端到端证据闭环。至于相对于传统流程究竟能够带来多大幅度的工程收益，还需要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论文当前更适合论证方法可行性与链路有效性，而不宜直接外推为普适工程优越性。其次，ODI 在不同地质条件、不同风险偏好和不同约束场景下的参数标定尚未系统展开，因此更适合将其界定为统一风险组织框架，而非已经完成广泛工程标定的标准化行业模型。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对这一点在正文中予以明确，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高质量方法稿”的主体形态，但距离“实矿对照证据充分、元信息完整、可直接送审的终稿”仍存在一个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置信区间、显著性检验和效应量层面的统计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中介变量，将地表沉陷、含水层扰动和上行开采等异构风险信息纳入统一框架，使风险约束能够以前置方式进入候选方案生成、筛选和后续接续评价过程，为采区规划中的风险组织提供了统一表达。</w:t>
      </w:r>
    </w:p>
    <w:p>
      <w:pPr>
        <w:pStyle w:val="ListNumber"/>
      </w:pPr>
      <w:r>
        <w:rPr>
          <w:rFonts w:ascii="宋体" w:hAnsi="宋体" w:eastAsia="宋体"/>
          <w:sz w:val="21"/>
        </w:rPr>
        <w:t>样例条件下的贯通验证表明，系统能够以 15 个钻孔样点为输入，输出 3 个工作面、11 条巷道以及多类关键图件和结构化结果文件，说明所提方法已具备连续运行与对象传递能力。</w:t>
      </w:r>
    </w:p>
    <w:p>
      <w:pPr>
        <w:pStyle w:val="ListNumber"/>
      </w:pPr>
      <w:r>
        <w:rPr>
          <w:rFonts w:ascii="宋体" w:hAnsi="宋体" w:eastAsia="宋体"/>
          <w:sz w:val="21"/>
        </w:rPr>
        <w:t>当前证据仍主要停留在样例验证层面，工作面推进长度校核、ODI 参数标定、敏东矿实矿案例及基线对照尚待补充，因此本文结论应被理解为一体化方法链已经建立并完成样例论证，而非真实矿井条件下的终局优选结论。</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