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1B30D7DA" w:rsidR="00351EC4" w:rsidRPr="009C06F7" w:rsidRDefault="0027019D" w:rsidP="009C06F7">
      <w:pPr>
        <w:pStyle w:val="02"/>
        <w:spacing w:before="240" w:after="240"/>
      </w:pPr>
      <w:r w:rsidRPr="0027019D">
        <w:t>多场景采动扰动约束下采区规划方法及工程应用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刘浩天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64BD11B0" w:rsidR="00351EC4" w:rsidRPr="00351EC4" w:rsidRDefault="00351EC4" w:rsidP="00351EC4">
      <w:pPr>
        <w:pStyle w:val="05"/>
      </w:pPr>
      <w:r w:rsidRPr="00351EC4">
        <w:t>摘要：</w:t>
      </w:r>
      <w:r w:rsidR="0027019D" w:rsidRPr="0027019D">
        <w:t>传统采区规划多先依据采区边界、煤层厚度、煤柱留设和工作面参数划分工作面，再对地表沉陷、含水层受扰和上行开采安全性进行校核。对于厚煤层、软弱覆岩及含水层条件较复杂的采区，若在工作面布置阶段未提前考虑覆岩扰动影响，后续校核时可能发现部分工作面位于沉陷影响较大、导水裂隙发育较强或上覆岩层稳定性较差的区域，进而需要重新调整工作面边界、煤柱宽度或推进方向。针对这一问题，</w:t>
      </w:r>
      <w:r w:rsidR="003B394F">
        <w:t>提出一种多场景采动扰动约束下的采区规划方法</w:t>
      </w:r>
      <w:r w:rsidR="0027019D" w:rsidRPr="0027019D">
        <w:t>。该方法先根据采区边界、煤柱留设和保护要求确定</w:t>
      </w:r>
      <w:r w:rsidR="00404D0C">
        <w:t>工作面可布置区域</w:t>
      </w:r>
      <w:r w:rsidR="0027019D" w:rsidRPr="0027019D">
        <w:t>，再利用钻孔煤厚资料刻画煤层厚度的空间变化；在此基础上，提出综合覆岩扰动指数（</w:t>
      </w:r>
      <w:r w:rsidR="0027019D" w:rsidRPr="0027019D">
        <w:t>ODI</w:t>
      </w:r>
      <w:r w:rsidR="0027019D" w:rsidRPr="0027019D">
        <w:t>），将地表沉陷、含水层扰动和上行开采风险归一化后进行加权叠加，形成</w:t>
      </w:r>
      <w:r w:rsidR="0027019D" w:rsidRPr="0027019D">
        <w:t>0</w:t>
      </w:r>
      <w:r w:rsidR="0027019D" w:rsidRPr="0027019D">
        <w:t>～</w:t>
      </w:r>
      <w:r w:rsidR="0027019D" w:rsidRPr="0027019D">
        <w:t>1</w:t>
      </w:r>
      <w:r w:rsidR="0027019D" w:rsidRPr="0027019D">
        <w:t>之间的空间评价指标，用于识别覆岩扰动较强区域并参与工作面布置方案比选。以敏东矿区为例，构建</w:t>
      </w:r>
      <w:r w:rsidR="0027019D" w:rsidRPr="0027019D">
        <w:t>80×56</w:t>
      </w:r>
      <w:r w:rsidR="0027019D" w:rsidRPr="0027019D">
        <w:t>栅格</w:t>
      </w:r>
      <w:r w:rsidR="0027019D" w:rsidRPr="0027019D">
        <w:t>ODI</w:t>
      </w:r>
      <w:r w:rsidR="0027019D" w:rsidRPr="0027019D">
        <w:t>图层。结果表明：研究区</w:t>
      </w:r>
      <w:r w:rsidR="0027019D" w:rsidRPr="0027019D">
        <w:t>ODI</w:t>
      </w:r>
      <w:r w:rsidR="0027019D" w:rsidRPr="0027019D">
        <w:t>均值为</w:t>
      </w:r>
      <w:r w:rsidR="0027019D" w:rsidRPr="0027019D">
        <w:t>0.4669</w:t>
      </w:r>
      <w:r w:rsidR="0027019D" w:rsidRPr="0027019D">
        <w:t>，整体扰动水平处于中等程度；</w:t>
      </w:r>
      <w:r w:rsidR="0027019D" w:rsidRPr="0027019D">
        <w:t>P90</w:t>
      </w:r>
      <w:r w:rsidR="0027019D" w:rsidRPr="0027019D">
        <w:t>（</w:t>
      </w:r>
      <w:r w:rsidR="0027019D" w:rsidRPr="0027019D">
        <w:t>ODI</w:t>
      </w:r>
      <w:r w:rsidR="0027019D" w:rsidRPr="0027019D">
        <w:t>的</w:t>
      </w:r>
      <w:r w:rsidR="0027019D" w:rsidRPr="0027019D">
        <w:t>90%</w:t>
      </w:r>
      <w:r w:rsidR="0027019D" w:rsidRPr="0027019D">
        <w:t>分位数）为</w:t>
      </w:r>
      <w:r w:rsidR="0027019D" w:rsidRPr="0027019D">
        <w:t>0.7474</w:t>
      </w:r>
      <w:r w:rsidR="0027019D" w:rsidRPr="0027019D">
        <w:t>，说明约</w:t>
      </w:r>
      <w:r w:rsidR="0027019D" w:rsidRPr="0027019D">
        <w:t>10%</w:t>
      </w:r>
      <w:r w:rsidR="0027019D" w:rsidRPr="0027019D">
        <w:t>的区域</w:t>
      </w:r>
      <w:r w:rsidR="0027019D" w:rsidRPr="0027019D">
        <w:t>ODI</w:t>
      </w:r>
      <w:r w:rsidR="0027019D" w:rsidRPr="0027019D">
        <w:t>高于该值，存在局部高值扰动；</w:t>
      </w:r>
      <w:r w:rsidR="0027019D" w:rsidRPr="0027019D">
        <w:t>ODI</w:t>
      </w:r>
      <w:r w:rsidR="0027019D" w:rsidRPr="0027019D">
        <w:t>＞</w:t>
      </w:r>
      <w:r w:rsidR="0027019D" w:rsidRPr="0027019D">
        <w:t>0.70</w:t>
      </w:r>
      <w:r w:rsidR="0027019D" w:rsidRPr="0027019D">
        <w:t>区域占</w:t>
      </w:r>
      <w:r w:rsidR="0027019D" w:rsidRPr="0027019D">
        <w:t>15.89%</w:t>
      </w:r>
      <w:r w:rsidR="0027019D" w:rsidRPr="0027019D">
        <w:t>，表明采区内约</w:t>
      </w:r>
      <w:r w:rsidR="0027019D" w:rsidRPr="0027019D">
        <w:t>1/6</w:t>
      </w:r>
      <w:r w:rsidR="0027019D" w:rsidRPr="0027019D">
        <w:t>范围达到中高扰动水平，工作面布置时应优先避让或进一步复核。在候选工作面布置方案中，分别按工程组织效率、资源覆盖程度和扰动控制效果选取</w:t>
      </w:r>
      <w:r w:rsidR="0027019D" w:rsidRPr="0027019D">
        <w:t>3</w:t>
      </w:r>
      <w:r w:rsidR="0027019D" w:rsidRPr="0027019D">
        <w:t>个代表方案进行对比。资源回收优先方案覆盖率最高，为</w:t>
      </w:r>
      <w:r w:rsidR="0027019D" w:rsidRPr="0027019D">
        <w:t>98.52%</w:t>
      </w:r>
      <w:r w:rsidR="0027019D" w:rsidRPr="0027019D">
        <w:t>，但扰动水平相对较高；低扰动候选方案覆盖率为</w:t>
      </w:r>
      <w:r w:rsidR="0027019D" w:rsidRPr="0027019D">
        <w:t>80.67%</w:t>
      </w:r>
      <w:r w:rsidR="0027019D" w:rsidRPr="0027019D">
        <w:t>，但</w:t>
      </w:r>
      <w:r w:rsidR="0027019D" w:rsidRPr="0027019D">
        <w:t>ODI</w:t>
      </w:r>
      <w:r w:rsidR="0027019D" w:rsidRPr="0027019D">
        <w:t>均值和</w:t>
      </w:r>
      <w:r w:rsidR="0027019D" w:rsidRPr="0027019D">
        <w:t>P90</w:t>
      </w:r>
      <w:r w:rsidR="0027019D" w:rsidRPr="0027019D">
        <w:t>最低，分别为</w:t>
      </w:r>
      <w:r w:rsidR="0027019D" w:rsidRPr="0027019D">
        <w:t>0.4416</w:t>
      </w:r>
      <w:r w:rsidR="0027019D" w:rsidRPr="0027019D">
        <w:t>和</w:t>
      </w:r>
      <w:r w:rsidR="0027019D" w:rsidRPr="0027019D">
        <w:t>0.6353</w:t>
      </w:r>
      <w:r w:rsidR="0027019D" w:rsidRPr="0027019D">
        <w:t>；工程效率优先方案覆盖率为</w:t>
      </w:r>
      <w:r w:rsidR="0027019D" w:rsidRPr="0027019D">
        <w:t>89.34%</w:t>
      </w:r>
      <w:r w:rsidR="0027019D" w:rsidRPr="0027019D">
        <w:t>，综合表现介于二者之间。结果表明，资源覆盖与扰动控制之间存在明显取舍，低扰动方案不宜仅依据</w:t>
      </w:r>
      <w:r w:rsidR="0027019D" w:rsidRPr="0027019D">
        <w:t>ODI</w:t>
      </w:r>
      <w:r w:rsidR="0027019D" w:rsidRPr="0027019D">
        <w:t>超阈值面积比例判定，还应综合考虑</w:t>
      </w:r>
      <w:r w:rsidR="0027019D" w:rsidRPr="0027019D">
        <w:t>ODI</w:t>
      </w:r>
      <w:r w:rsidR="0027019D" w:rsidRPr="0027019D">
        <w:t>均值、</w:t>
      </w:r>
      <w:r w:rsidR="0027019D" w:rsidRPr="0027019D">
        <w:t>P90</w:t>
      </w:r>
      <w:r w:rsidR="0027019D" w:rsidRPr="0027019D">
        <w:t>和扰动风险综合得分。工程应用结果说明，将</w:t>
      </w:r>
      <w:r w:rsidR="0027019D" w:rsidRPr="0027019D">
        <w:t>ODI</w:t>
      </w:r>
      <w:r w:rsidR="0027019D" w:rsidRPr="0027019D">
        <w:t>引入采区规划，可在工作面布置阶段提前识别覆岩扰动较强区域，减少后续校核发现问题后的方案反复调整，为复杂地质条件下采区规划和风险前置控制提供参考。</w:t>
      </w:r>
    </w:p>
    <w:p w14:paraId="482CD07D" w14:textId="6CEFA343" w:rsidR="00351EC4" w:rsidRPr="00351EC4" w:rsidRDefault="00351EC4" w:rsidP="00351EC4">
      <w:pPr>
        <w:pStyle w:val="05"/>
      </w:pPr>
      <w:r w:rsidRPr="00351EC4">
        <w:t>关键词：</w:t>
      </w:r>
      <w:r w:rsidR="00E27169" w:rsidRPr="00E27169">
        <w:t>采区规划；工作面布置；覆岩扰动指数；多场景约束；多目标评价</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2DC50B2F" w:rsidR="00351EC4" w:rsidRPr="009C06F7" w:rsidRDefault="0027019D" w:rsidP="009C06F7">
      <w:pPr>
        <w:pStyle w:val="06"/>
      </w:pPr>
      <w:r w:rsidRPr="0027019D">
        <w:t>Mining District Planning Method under Multi-Scenario Mining-Induced Disturbance Constraints and Its Engineering Applicatio</w:t>
      </w:r>
      <w:r w:rsidR="00EC4EA7" w:rsidRPr="00EC4EA7">
        <w:t>n</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2B46AAC8" w:rsidR="00351EC4" w:rsidRPr="009C06F7" w:rsidRDefault="00351EC4" w:rsidP="009C06F7">
      <w:pPr>
        <w:pStyle w:val="09"/>
      </w:pPr>
      <w:r w:rsidRPr="009C06F7">
        <w:t xml:space="preserve">Abstract: </w:t>
      </w:r>
      <w:r w:rsidR="0027019D" w:rsidRPr="0027019D">
        <w:t xml:space="preserve">Traditional mining district planning usually determines the working face layout first based on the mining district boundary, coal seam thickness, coal pillar design, and working face parameters, and then checks surface subsidence, aquifer disturbance, and upward mining safety. For mining districts with thick coal seams, weak overburden, and complex aquifer conditions, if overburden disturbance is not considered during the layout stage, later checks may find that some working faces are located in areas with large subsidence influence, strong water-conducting fracture development, or poor overburden stability, requiring repeated adjustment of working face boundaries, coal pillar widths, or mining directions. To address this problem, a mining district planning method under </w:t>
      </w:r>
      <w:r w:rsidR="003B394F">
        <w:t>multi-scenario mining-induced disturbance constraints</w:t>
      </w:r>
      <w:r w:rsidR="0027019D" w:rsidRPr="0027019D">
        <w:t xml:space="preserve"> is proposed. The method first determines the area where working faces can be arranged according to the mining district boundary, coal pillar design, and protection requirements, and then uses borehole coal thickness data to characterize the spatial variation of coal seam thickness. On this basis, an overburden disturbance index (ODI) is proposed. Surface subsidence, aquifer disturbance, and upward mining risks are normalized and weighted to form a 0–1 spatial evaluation index, which is used to identify areas with relatively strong overburden disturbance and to compare working face layout schemes. Taking the Mindong mining area as an example, an 80×56-grid ODI layer was constructed. The results show that the mean ODI of the study area is </w:t>
      </w:r>
      <w:r w:rsidR="0027019D" w:rsidRPr="0027019D">
        <w:lastRenderedPageBreak/>
        <w:t>0.4669, indicating an overall moderate disturbance level. The P90 value, namely the 90th percentile of ODI, is 0.7474, meaning that about 10% of the area has ODI values higher than this value and shows local high disturbance. The area with ODI greater than 0.70 accounts for 15.89%, indicating that about one sixth of the study area reaches a medium-to-high disturbance level and should be avoided or further checked during working face layout. Among the candidate working face layout schemes, three representative schemes were selected according to engineering organization efficiency, resource coverage, and disturbance control. The resource-recovery-prioritized scheme has the highest coverage ratio of 98.52%, but its disturbance level is relatively high. The low-disturbance candidate scheme has a coverage ratio of 80.67%, but has the lowest mean ODI and P90, which are 0.4416 and 0.6353, respectively. The engineering-efficiency-prioritized scheme has a coverage ratio of 89.34%, with an overall performance between the other two schemes. The results show that there is an obvious trade-off between resource coverage and disturbance control. A low-disturbance scheme should not be identified only by the area proportion exceeding a given ODI threshold; instead, the mean ODI, P90, and comprehensive disturbance risk score should be considered together. The engineering application indicates that introducing ODI into mining district planning can help identify areas with strong overburden disturbance during the working face layout stage, reduce repeated scheme adjustment after later checks, and provide a reference for mining district planning and proactive risk control under complex geological conditions</w:t>
      </w:r>
      <w:r w:rsidR="00E27169" w:rsidRPr="00E27169">
        <w:t>.</w:t>
      </w:r>
    </w:p>
    <w:p w14:paraId="03E1EEC9" w14:textId="1D646AAF" w:rsidR="00351EC4" w:rsidRPr="009C06F7" w:rsidRDefault="00351EC4" w:rsidP="009C06F7">
      <w:pPr>
        <w:pStyle w:val="09"/>
      </w:pPr>
      <w:r w:rsidRPr="009C06F7">
        <w:t xml:space="preserve">Keywords: </w:t>
      </w:r>
      <w:r w:rsidR="00E27169" w:rsidRPr="00E27169">
        <w:t>mining district planning; working face layout; overburden disturbance index; multi-scenario constraint; multi-objective evaluation</w:t>
      </w:r>
    </w:p>
    <w:p w14:paraId="592C6F45" w14:textId="434AE07E" w:rsidR="00351EC4" w:rsidRDefault="00E27169" w:rsidP="00D027BE">
      <w:pPr>
        <w:pStyle w:val="18"/>
        <w:ind w:left="0" w:firstLineChars="0" w:firstLine="0"/>
      </w:pPr>
      <w:r w:rsidRPr="00E27169">
        <w:t>作者简介：李杨（</w:t>
      </w:r>
      <w:r w:rsidRPr="00E27169">
        <w:t>1982—</w:t>
      </w:r>
      <w:r w:rsidRPr="00E27169">
        <w:t>），男，河北唐山人，教授，博士，主要从事矿业工程、智能开采与矿山压力控制等方面研究。</w:t>
      </w:r>
      <w:r w:rsidRPr="00E27169">
        <w:br/>
      </w:r>
      <w:r w:rsidRPr="00E27169">
        <w:t>通信作者：刘浩天（</w:t>
      </w:r>
      <w:r w:rsidRPr="00E27169">
        <w:t>2001—</w:t>
      </w:r>
      <w:r w:rsidRPr="00E27169">
        <w:t>），男，河北唐山人，博士研究生，主要从事矿山压力与采区规划方面研究。</w:t>
      </w:r>
      <w:r w:rsidRPr="00E27169">
        <w:t>E-mail</w:t>
      </w:r>
      <w:r w:rsidRPr="00E27169">
        <w:t>：</w:t>
      </w:r>
      <w:r w:rsidRPr="00E27169">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5DA79C05" w14:textId="77777777" w:rsidR="00D830E6" w:rsidRPr="00D830E6" w:rsidRDefault="00D830E6" w:rsidP="00D830E6">
      <w:pPr>
        <w:pStyle w:val="100"/>
        <w:ind w:firstLine="420"/>
      </w:pPr>
      <w:r w:rsidRPr="00D830E6">
        <w:t>目前，煤矿采区设计中，工作面划分通常是采区规划的主体内容。设计人员一般依据采区边界、煤层赋存、煤柱留设、工作面宽度、推进长度和巷道布置等条件，确定工作面数量、位置及推进方向</w:t>
      </w:r>
      <w:r w:rsidRPr="00D830E6">
        <w:rPr>
          <w:vertAlign w:val="superscript"/>
        </w:rPr>
        <w:t>[1-3]</w:t>
      </w:r>
      <w:r w:rsidRPr="00D830E6">
        <w:t>。对于断层、陷落柱、风化带、采空区等明确的地质因素，通常在设计阶段通过避让、留设煤柱或调整边界等方式进行处理</w:t>
      </w:r>
      <w:r w:rsidRPr="00D830E6">
        <w:rPr>
          <w:vertAlign w:val="superscript"/>
        </w:rPr>
        <w:t>[4-6]</w:t>
      </w:r>
      <w:r w:rsidRPr="00D830E6">
        <w:t>。但在实际开采后仍可能出现地表沉陷、导水裂隙带发育过高、含水层扰动及顶板稳定性降低等问题，严重时会增加突水、冒顶、片帮等灾害风险</w:t>
      </w:r>
      <w:r w:rsidRPr="00D830E6">
        <w:rPr>
          <w:vertAlign w:val="superscript"/>
        </w:rPr>
        <w:t>[7-10]</w:t>
      </w:r>
      <w:r w:rsidRPr="00D830E6">
        <w:t>。这些问题与工作面位置、采高、煤层厚度、覆岩结构、含水层赋存和煤柱留设等因素密切相关。因此，在采区规划阶段将这些扰动因素提前纳入规划过程中，对提高采区设计可靠性具有必要性</w:t>
      </w:r>
      <w:r w:rsidRPr="00D830E6">
        <w:rPr>
          <w:vertAlign w:val="superscript"/>
        </w:rPr>
        <w:t>[11-13]</w:t>
      </w:r>
      <w:r w:rsidRPr="00D830E6">
        <w:t>。</w:t>
      </w:r>
    </w:p>
    <w:p w14:paraId="02194596" w14:textId="77777777" w:rsidR="00D830E6" w:rsidRPr="00D830E6" w:rsidRDefault="00D830E6" w:rsidP="00D830E6">
      <w:pPr>
        <w:pStyle w:val="100"/>
        <w:ind w:firstLine="420"/>
      </w:pPr>
      <w:r w:rsidRPr="00D830E6">
        <w:t>近年来，围绕采区地质条件精细表征和采动影响评价，已有研究开展了大量工作。三维地质建模和透明地质技术的发展，为煤层赋存、构造发育和覆岩结构的空间表征提供了基础</w:t>
      </w:r>
      <w:r w:rsidRPr="00D830E6">
        <w:rPr>
          <w:vertAlign w:val="superscript"/>
        </w:rPr>
        <w:t>[14-17]</w:t>
      </w:r>
      <w:r w:rsidRPr="00D830E6">
        <w:t>；地表沉陷计算、覆岩移动规律、导水裂隙带高度判定和含水层保护评价等研究，为采动覆岩破坏范围和水害影响识别提供了依据</w:t>
      </w:r>
      <w:r w:rsidRPr="00D830E6">
        <w:rPr>
          <w:vertAlign w:val="superscript"/>
        </w:rPr>
        <w:t>[18-23]</w:t>
      </w:r>
      <w:r w:rsidRPr="00D830E6">
        <w:t>；煤柱稳定性分析和工作面布置优化等方法，也为复杂条件下采区方案评价和优化提供了技术支撑</w:t>
      </w:r>
      <w:r w:rsidRPr="00D830E6">
        <w:rPr>
          <w:vertAlign w:val="superscript"/>
        </w:rPr>
        <w:t>[24-28]</w:t>
      </w:r>
      <w:r w:rsidRPr="00D830E6">
        <w:t>。这些</w:t>
      </w:r>
      <w:r w:rsidRPr="00D830E6">
        <w:t>研究从不同角度提高了采区设计的定量化水平，但多数成果仍主要服务于地质条件表达、单项采动影响分析或既有方案评价，尚未充分解决多类地质与采动信息如何在工作面划分前共同参与采区规划的问题。</w:t>
      </w:r>
    </w:p>
    <w:p w14:paraId="1E8F2FD6" w14:textId="77777777" w:rsidR="00D830E6" w:rsidRPr="00D830E6" w:rsidRDefault="00D830E6" w:rsidP="00D830E6">
      <w:pPr>
        <w:pStyle w:val="100"/>
        <w:ind w:firstLine="420"/>
      </w:pPr>
      <w:r w:rsidRPr="00D830E6">
        <w:t>在现有采区设计中，采动扰动因素通常有几种处理方式。较常见的是先完成工作面布置，再分别开展地表沉陷预计、导水裂隙带高度判定、含水层保护评价和上行开采安全分析。这种方式符合常规设计流程，实施较为直接，但扰动因素介入较晚；一旦评价结果表明原方案存在不利影响，往往需要重新调整工作面边界、煤柱宽度或推进方向</w:t>
      </w:r>
      <w:r w:rsidRPr="00D830E6">
        <w:rPr>
          <w:vertAlign w:val="superscript"/>
        </w:rPr>
        <w:t>[29-32]</w:t>
      </w:r>
      <w:r w:rsidRPr="00D830E6">
        <w:t>。也有部分研究针对某一类问题单独设置控制条件，如避开沉陷影响较大的区域、控制导水裂隙带发育高度或满足含水层保护要求等</w:t>
      </w:r>
      <w:r w:rsidRPr="00D830E6">
        <w:rPr>
          <w:vertAlign w:val="superscript"/>
        </w:rPr>
        <w:t>[33-36]</w:t>
      </w:r>
      <w:r w:rsidRPr="00D830E6">
        <w:t>。这类方法针对性较强，但难以同时反映多种采动影响。还有研究采用多指标评价或优化排序方法，将资源回收、巷道工程量、安全风险等指标综合起来，对不同方案进行比较</w:t>
      </w:r>
      <w:r w:rsidRPr="00D830E6">
        <w:rPr>
          <w:vertAlign w:val="superscript"/>
        </w:rPr>
        <w:t>[37-41]</w:t>
      </w:r>
      <w:r w:rsidRPr="00D830E6">
        <w:t>。这类方法提高了方案比选的定量化程度，但多数仍是对已经形成的方案进行评价，对工作面初始布置的指导作用还不够。由此可见，复杂条件下的采区规划并不只是缺少某一类沉陷、水害或稳定性评价方法，更需要把不同评价结果转化为能够指导工作面布置和方案比选的规划依据。</w:t>
      </w:r>
    </w:p>
    <w:p w14:paraId="762ADBE4" w14:textId="77777777" w:rsidR="00D830E6" w:rsidRPr="00D830E6" w:rsidRDefault="00D830E6" w:rsidP="00D830E6">
      <w:pPr>
        <w:pStyle w:val="100"/>
        <w:ind w:firstLine="420"/>
      </w:pPr>
      <w:r w:rsidRPr="00D830E6">
        <w:lastRenderedPageBreak/>
        <w:t>面向上述问题，本文构建基于多场景采动扰动约束的采区规划决策系统。系统以采区边界、钻孔煤厚、煤柱参数、工作面设计参数和采动扰动评价结果为基础，首先确定工作面可布置区域，并计算煤层厚度空间分布；然后综合地表沉陷、含水层扰动和上行开采影响，构建综合覆岩扰动指数，用于表征采区内不同位置的扰动强弱；在此基础上，形成满足工作面宽度、推进长度、煤柱留设和几何形态要求的候选工作面方案，并从工程效率、资源覆盖和扰动控制等方面进行评价。该系统的目的不是替代后续地表沉陷预计、导水裂隙带判定、含水层保护或上行开采安全评价，而是将这些可能影响工作面布置的因素前移到采区规划阶段，为工作面方案初选和后续重点评价对象确定提供依据。本文以敏东矿区为工程对象开展应用，验证该系统在复杂地质条件下采区方案比选和采动扰动提前识别中的适用性。</w:t>
      </w:r>
    </w:p>
    <w:p w14:paraId="164321F8" w14:textId="077D088B"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1D015D25" w14:textId="77777777" w:rsidR="00D830E6" w:rsidRDefault="00D830E6" w:rsidP="00D830E6">
      <w:pPr>
        <w:pStyle w:val="100"/>
        <w:ind w:firstLine="420"/>
        <w:rPr>
          <w:rFonts w:hint="eastAsia"/>
        </w:rPr>
      </w:pPr>
      <w:r>
        <w:rPr>
          <w:rFonts w:hint="eastAsia"/>
        </w:rPr>
        <w:t>基于多场景采动扰动约束的采区规划决策系统，技术框图如图</w:t>
      </w:r>
      <w:r>
        <w:rPr>
          <w:rFonts w:hint="eastAsia"/>
        </w:rPr>
        <w:t xml:space="preserve"> 1 </w:t>
      </w:r>
      <w:r>
        <w:rPr>
          <w:rFonts w:hint="eastAsia"/>
        </w:rPr>
        <w:t>所示。系统面向煤矿采区规划阶段，主要用于解决传统工作面布置中地质条件、工程约束和采动扰动评价结果衔接不足的问题。系统以采区边界、钻孔煤厚、煤柱参数、工作面设计参数及采动扰动评价结果为基础，通过数据整理、扰动评价、方案形成和指标比较，输出不同规划偏好下的工作面布置方案及其评价结果。</w:t>
      </w:r>
    </w:p>
    <w:p w14:paraId="52FE7A2D" w14:textId="77777777" w:rsidR="00D830E6" w:rsidRDefault="00D830E6" w:rsidP="00D830E6">
      <w:pPr>
        <w:pStyle w:val="100"/>
        <w:ind w:firstLine="420"/>
        <w:rPr>
          <w:rFonts w:hint="eastAsia"/>
        </w:rPr>
      </w:pPr>
      <w:r>
        <w:rPr>
          <w:rFonts w:hint="eastAsia"/>
        </w:rPr>
        <w:t>系统主要由数据输入、数据处理、采动扰动评价、工作面方案形成和方案输出</w:t>
      </w:r>
      <w:r>
        <w:rPr>
          <w:rFonts w:hint="eastAsia"/>
        </w:rPr>
        <w:t xml:space="preserve"> 5 </w:t>
      </w:r>
      <w:r>
        <w:rPr>
          <w:rFonts w:hint="eastAsia"/>
        </w:rPr>
        <w:t>个部分组成。数据输入部分主要包括采区边界、钻孔煤厚、煤柱留设、工作面宽度、推进长度、含水层条件、覆岩结构及已有采动影响评价结果。数据处理部分对不同来源的数据进行统一整理，形成工作面可布置区域、煤层厚度分布和基础约束图层。采动扰动评价部分综合考虑地表沉陷、含水层扰动和上行开采影响，构建综合覆岩扰动指数，用于表征采区内不同位置的扰动强弱。工作面方案形成部分在可布置区域内，根据工作面宽度、推进长度、煤柱留设和几何形态要求形成候选方案。方案输出部分则从工程效率、资源覆盖和扰动控制等方面对候选方案进行比较，为采区方案初选提供依据。</w:t>
      </w:r>
    </w:p>
    <w:p w14:paraId="69F5FAB9" w14:textId="450E6856" w:rsidR="00A86782" w:rsidRDefault="00D830E6" w:rsidP="00D830E6">
      <w:pPr>
        <w:pStyle w:val="100"/>
        <w:ind w:firstLine="420"/>
      </w:pPr>
      <w:r>
        <w:rPr>
          <w:rFonts w:hint="eastAsia"/>
        </w:rPr>
        <w:t>该系统的基本设计逻辑是：先确定哪些区域可以布置工作面，再判断不同区域的采动扰动强</w:t>
      </w:r>
      <w:r>
        <w:rPr>
          <w:rFonts w:hint="eastAsia"/>
        </w:rPr>
        <w:t>弱，最后比较不同工作面方案的综合效果。与传统“先划分工作面、后分别评价采动影响”的流程相比，该系统将部分采动扰动因素前移到工作面方案形成阶段，使采区规划不再仅依据边界形态、煤柱参数和资源覆盖程度确定方案，而能够同步考虑地表沉陷、含水层受扰和上覆岩层稳定性等因素对工作面布置的影响。</w:t>
      </w:r>
    </w:p>
    <w:p w14:paraId="5A3784F2" w14:textId="5D16D1F5" w:rsidR="00A8389E" w:rsidRPr="00A8389E" w:rsidRDefault="00A8389E" w:rsidP="00624086">
      <w:pPr>
        <w:pStyle w:val="12"/>
      </w:pPr>
      <w:r w:rsidRPr="00A8389E">
        <w:t xml:space="preserve">1.2 </w:t>
      </w:r>
      <w:r w:rsidR="00DF6D34" w:rsidRPr="00DF6D34">
        <w:t>数据系统设计</w:t>
      </w:r>
    </w:p>
    <w:p w14:paraId="4CE7B04F" w14:textId="77777777" w:rsidR="00DF6D34" w:rsidRPr="00DF6D34" w:rsidRDefault="00DF6D34" w:rsidP="00DF6D34">
      <w:pPr>
        <w:pStyle w:val="100"/>
        <w:ind w:firstLine="420"/>
      </w:pPr>
      <w:r w:rsidRPr="00DF6D34">
        <w:t>本系统不属于井下实时监测系统，其数据来源主要为矿井设计资料、地质资料和采动影响评价结果。为使这些资料能够直接参与工作面方案形成，系统首先对不同类型数据进行统一组织。根据数据在采区规划中的作用，可将系统输入数据分为基础地质数据、工程约束数据和采动扰动数据</w:t>
      </w:r>
      <w:r w:rsidRPr="00DF6D34">
        <w:t xml:space="preserve"> 3 </w:t>
      </w:r>
      <w:r w:rsidRPr="00DF6D34">
        <w:t>类。</w:t>
      </w:r>
    </w:p>
    <w:p w14:paraId="6F63A87A" w14:textId="77777777" w:rsidR="00DF6D34" w:rsidRPr="00DF6D34" w:rsidRDefault="00DF6D34" w:rsidP="00DF6D34">
      <w:pPr>
        <w:pStyle w:val="130"/>
      </w:pPr>
      <w:r w:rsidRPr="00DF6D34">
        <w:t xml:space="preserve">1.2.1 </w:t>
      </w:r>
      <w:r w:rsidRPr="00DF6D34">
        <w:t>基础地质数据</w:t>
      </w:r>
    </w:p>
    <w:p w14:paraId="5D435218" w14:textId="77777777" w:rsidR="00DF6D34" w:rsidRPr="00DF6D34" w:rsidRDefault="00DF6D34" w:rsidP="00DF6D34">
      <w:pPr>
        <w:pStyle w:val="100"/>
        <w:ind w:firstLine="420"/>
      </w:pPr>
      <w:r w:rsidRPr="00DF6D34">
        <w:t>基础地质数据用于描述采区内煤层赋存、覆岩结构和水文地质条件，是工作面方案形成和资源评价的基础。主要包括钻孔位置、煤层厚度、煤层底板或顶板标高、岩性分层、覆岩结构、含水层位置及隔水层厚度等内容。</w:t>
      </w:r>
    </w:p>
    <w:p w14:paraId="7AB153A2" w14:textId="77777777" w:rsidR="00DF6D34" w:rsidRPr="00DF6D34" w:rsidRDefault="00DF6D34" w:rsidP="00DF6D34">
      <w:pPr>
        <w:pStyle w:val="100"/>
        <w:ind w:firstLine="420"/>
      </w:pPr>
      <w:r w:rsidRPr="00DF6D34">
        <w:t>其中，钻孔煤厚资料是系统计算煤层厚度分布的重要输入。由于钻孔数据通常为离散点，不能直接反映整个采区内煤层厚度的连续变化，因此需要通过空间插值方法将钻孔煤厚转化为煤厚分布图层。该图层用于判断不同区域的资源条件，并在后续方案评价中统计各工作面覆盖范围内的煤厚资源情况。</w:t>
      </w:r>
    </w:p>
    <w:p w14:paraId="7FE263C9" w14:textId="77777777" w:rsidR="00DF6D34" w:rsidRPr="00DF6D34" w:rsidRDefault="00DF6D34" w:rsidP="00DF6D34">
      <w:pPr>
        <w:pStyle w:val="100"/>
        <w:ind w:firstLine="420"/>
      </w:pPr>
      <w:r w:rsidRPr="00DF6D34">
        <w:t>覆岩结构和含水层条件主要用于采动扰动评价。厚煤层、软弱覆岩、隔水层厚度不足或含水层位置较近的区域，开采后更容易出现导水裂隙带发育过高、含水层受扰或覆岩稳定性降低等问题。因此，这类数据不仅是地质背景资料，也应作为采区规划中识别扰动敏感区的重要依据。</w:t>
      </w:r>
    </w:p>
    <w:p w14:paraId="2B1B12A0" w14:textId="77777777" w:rsidR="00DF6D34" w:rsidRPr="00DF6D34" w:rsidRDefault="00DF6D34" w:rsidP="00DF6D34">
      <w:pPr>
        <w:pStyle w:val="130"/>
      </w:pPr>
      <w:r w:rsidRPr="00DF6D34">
        <w:t xml:space="preserve">1.2.2 </w:t>
      </w:r>
      <w:r w:rsidRPr="00DF6D34">
        <w:t>工程约束数据</w:t>
      </w:r>
    </w:p>
    <w:p w14:paraId="48A660A9" w14:textId="77777777" w:rsidR="00DF6D34" w:rsidRPr="00DF6D34" w:rsidRDefault="00DF6D34" w:rsidP="00DF6D34">
      <w:pPr>
        <w:pStyle w:val="100"/>
        <w:ind w:firstLine="420"/>
      </w:pPr>
      <w:r w:rsidRPr="00DF6D34">
        <w:t>工程约束数据用于确定工作面能否布置以及如何布置，主要包括采区边界、边界煤柱、区段煤柱、保护煤柱、工作面宽度、推进长度、巷道布置要求及局部不可采范围等内容。</w:t>
      </w:r>
    </w:p>
    <w:p w14:paraId="31D719BF" w14:textId="77777777" w:rsidR="00DF6D34" w:rsidRPr="00DF6D34" w:rsidRDefault="00DF6D34" w:rsidP="00DF6D34">
      <w:pPr>
        <w:pStyle w:val="100"/>
        <w:ind w:firstLine="420"/>
      </w:pPr>
      <w:r w:rsidRPr="00DF6D34">
        <w:t>采区边界决定工作面布置的基本范围。边界煤柱、区段煤柱和保护煤柱则进一步压缩可布置空间，保证工作面布置满足基本安全和生产要求。对于断层、陷落柱、风化带、采空区等位置较明确的限制因素，可根据其影响范围和保护要求，在系统中转化为约束区，从可布置区域中扣除。</w:t>
      </w:r>
    </w:p>
    <w:p w14:paraId="240392E0" w14:textId="77777777" w:rsidR="00DF6D34" w:rsidRPr="00DF6D34" w:rsidRDefault="00DF6D34" w:rsidP="00DF6D34">
      <w:pPr>
        <w:pStyle w:val="100"/>
        <w:ind w:firstLine="420"/>
      </w:pPr>
      <w:r w:rsidRPr="00DF6D34">
        <w:lastRenderedPageBreak/>
        <w:t>工作面宽度、推进长度和几何形态要求是候选方案形成的重要控制条件。若工作面宽度过小或推进长度不足，会影响生产效率和采掘接续；若工作面形态不规则或局部边界过于破碎，则会增加巷道布置和现场组织难度。因此，系统在形成候选方案时，需要同时考虑可布置范围、煤柱要求和工作面基本参数，避免明显不符合采矿要求的方案进入后续评价。</w:t>
      </w:r>
    </w:p>
    <w:p w14:paraId="382650BA" w14:textId="77777777" w:rsidR="00DF6D34" w:rsidRPr="00DF6D34" w:rsidRDefault="00DF6D34" w:rsidP="00DF6D34">
      <w:pPr>
        <w:pStyle w:val="130"/>
      </w:pPr>
      <w:r w:rsidRPr="00DF6D34">
        <w:t xml:space="preserve">1.2.3 </w:t>
      </w:r>
      <w:r w:rsidRPr="00DF6D34">
        <w:t>采动扰动数据</w:t>
      </w:r>
    </w:p>
    <w:p w14:paraId="30F3AFA3" w14:textId="77777777" w:rsidR="00DF6D34" w:rsidRPr="00DF6D34" w:rsidRDefault="00DF6D34" w:rsidP="00DF6D34">
      <w:pPr>
        <w:pStyle w:val="100"/>
        <w:ind w:firstLine="420"/>
      </w:pPr>
      <w:r w:rsidRPr="00DF6D34">
        <w:t>采动扰动数据用于反映工作面开采后可能产生的不利影响。本文主要考虑地表沉陷、含水层扰动和上行开采影响</w:t>
      </w:r>
      <w:r w:rsidRPr="00DF6D34">
        <w:t xml:space="preserve"> 3 </w:t>
      </w:r>
      <w:r w:rsidRPr="00DF6D34">
        <w:t>类因素。地表沉陷主要反映开采后覆岩移动及地表变形情况；含水层扰动主要反映导水裂隙带发育、隔水层保护和含水层受扰风险；上行开采影响主要反映上覆岩层在重复扰动条件下的稳定性变化。</w:t>
      </w:r>
    </w:p>
    <w:p w14:paraId="0FA5BF4F" w14:textId="77777777" w:rsidR="00DF6D34" w:rsidRPr="00DF6D34" w:rsidRDefault="00DF6D34" w:rsidP="00DF6D34">
      <w:pPr>
        <w:pStyle w:val="100"/>
        <w:ind w:firstLine="420"/>
      </w:pPr>
      <w:r w:rsidRPr="00DF6D34">
        <w:t>不同扰动因素的评价对象和表达方式并不相同。若直接采用各自的原始结果进行方案比较，容易出现量纲不统一、指标含义不一致的问题。因此，系统将不同采动扰动结果统一转化为</w:t>
      </w:r>
      <w:r w:rsidRPr="00DF6D34">
        <w:t xml:space="preserve"> 0</w:t>
      </w:r>
      <w:r w:rsidRPr="00DF6D34">
        <w:t>～</w:t>
      </w:r>
      <w:r w:rsidRPr="00DF6D34">
        <w:t xml:space="preserve">1 </w:t>
      </w:r>
      <w:r w:rsidRPr="00DF6D34">
        <w:t>范围内的综合覆岩扰动指数。指数值越大，说明该区域采动扰动影响越强，在工作面布置时越需要避让或重点复查。</w:t>
      </w:r>
    </w:p>
    <w:p w14:paraId="64A8EAED" w14:textId="77777777" w:rsidR="00DF6D34" w:rsidRPr="00DF6D34" w:rsidRDefault="00DF6D34" w:rsidP="00DF6D34">
      <w:pPr>
        <w:pStyle w:val="100"/>
        <w:ind w:firstLine="420"/>
      </w:pPr>
      <w:r w:rsidRPr="00DF6D34">
        <w:t>采动扰动数据在系统中的作用不是替代后续地表沉陷预计、导水裂隙带高度判定或含水层保护评价，而是为采区规划阶段提供扰动强弱的初步判断。通过将扰动结果转化为图层，系统能够在候选方案形成和评价过程中统计不同工作面覆盖范围内的扰动水平，从而比较不同方案在扰动控制方面的差异。</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138B0B" w14:textId="77777777" w:rsidR="00DF6D34" w:rsidRPr="00DF6D34" w:rsidRDefault="00DF6D34" w:rsidP="00DF6D34">
      <w:pPr>
        <w:pStyle w:val="100"/>
        <w:ind w:firstLine="420"/>
      </w:pPr>
      <w:r w:rsidRPr="00DF6D34">
        <w:t>本系统的软件核心功能是面向采区规划阶段实现工作面布置方案的生成、评价与比选。系统以采区边界、钻孔煤厚、煤柱参数、工作面设计参数和采动扰动评价结果为基础，将不同来源的数据接入统一计算流程，并通过数据预处理、煤厚分布计算、扰动指数构建、候选方案形成和方案评价等功能模块，完成从基础资料整理到规划方案输出的全过程。</w:t>
      </w:r>
    </w:p>
    <w:p w14:paraId="00CA0F79" w14:textId="77777777" w:rsidR="00DF6D34" w:rsidRPr="00DF6D34" w:rsidRDefault="00DF6D34" w:rsidP="00DF6D34">
      <w:pPr>
        <w:pStyle w:val="100"/>
        <w:ind w:firstLine="420"/>
      </w:pPr>
      <w:r w:rsidRPr="00DF6D34">
        <w:t>软件功能主要包括</w:t>
      </w:r>
      <w:r w:rsidRPr="00DF6D34">
        <w:t xml:space="preserve"> 5 </w:t>
      </w:r>
      <w:r w:rsidRPr="00DF6D34">
        <w:t>个模块。第一，基础数据预处理模块。该模块负责对采区边界、钻孔坐标、煤层厚度、煤柱参数和工作面设计参数进行统一整理，包括坐标统一、边界检查、异常数据处</w:t>
      </w:r>
      <w:r w:rsidRPr="00DF6D34">
        <w:t>理和数据格式转换。对于断层、陷落柱、风化带、采空区等限制因素，系统根据其影响范围和设计要求建立约束区，为后续工作面可布置区域提取提供基础。</w:t>
      </w:r>
    </w:p>
    <w:p w14:paraId="62C04CB4" w14:textId="77777777" w:rsidR="00DF6D34" w:rsidRPr="00DF6D34" w:rsidRDefault="00DF6D34" w:rsidP="00DF6D34">
      <w:pPr>
        <w:pStyle w:val="100"/>
        <w:ind w:firstLine="420"/>
      </w:pPr>
      <w:r w:rsidRPr="00DF6D34">
        <w:t>第二，工作面可布置区域计算模块。该模块根据采区边界、边界煤柱、区段煤柱、保护煤柱及局部限制条件，对原始采区范围进行内缩、裁剪和约束叠加，形成工作面可布置区域。候选工作面方案均在该区域内形成，以避免出现越界布置、煤柱不足或局部不可实施等问题。</w:t>
      </w:r>
    </w:p>
    <w:p w14:paraId="064B74A1" w14:textId="77777777" w:rsidR="00DF6D34" w:rsidRPr="00DF6D34" w:rsidRDefault="00DF6D34" w:rsidP="00DF6D34">
      <w:pPr>
        <w:pStyle w:val="100"/>
        <w:ind w:firstLine="420"/>
      </w:pPr>
      <w:r w:rsidRPr="00DF6D34">
        <w:t>第三，煤厚分布与资源评价模块。该模块利用钻孔煤厚资料计算煤层厚度空间分布，将离散钻孔数据转化为连续煤厚图层。该图层用于反映采区内资源条件差异，并在方案评价中统计不同工作面覆盖范围内的煤厚资源情况，使方案比较不再只依据平面面积。</w:t>
      </w:r>
    </w:p>
    <w:p w14:paraId="17C5FE43" w14:textId="77777777" w:rsidR="00DF6D34" w:rsidRPr="00DF6D34" w:rsidRDefault="00DF6D34" w:rsidP="00DF6D34">
      <w:pPr>
        <w:pStyle w:val="100"/>
        <w:ind w:firstLine="420"/>
      </w:pPr>
      <w:r w:rsidRPr="00DF6D34">
        <w:t>第四，采动扰动评价模块。该模块综合地表沉陷、含水层扰动和上行开采影响等评价结果，构建综合覆岩扰动指数图层。系统通过该图层识别采区内扰动较强区域，并统计候选工作面方案范围内的扰动均值、高值扰动分布和超阈值比例，为方案扰动控制评价提供依据。</w:t>
      </w:r>
    </w:p>
    <w:p w14:paraId="21B8058B" w14:textId="77777777" w:rsidR="00DF6D34" w:rsidRPr="00DF6D34" w:rsidRDefault="00DF6D34" w:rsidP="00DF6D34">
      <w:pPr>
        <w:pStyle w:val="100"/>
        <w:ind w:firstLine="420"/>
      </w:pPr>
      <w:r w:rsidRPr="00DF6D34">
        <w:t>第五，方案生成与评价模块。该模块在工作面可布置区域、煤厚分布和综合覆岩扰动指数图层的基础上，按照工作面宽度、推进长度、煤柱留设和几何形态要求形成候选方案。随后，系统从工程效率、资源覆盖和扰动控制</w:t>
      </w:r>
      <w:r w:rsidRPr="00DF6D34">
        <w:t xml:space="preserve"> 3 </w:t>
      </w:r>
      <w:r w:rsidRPr="00DF6D34">
        <w:t>个方面对方案进行评价，输出不同规划偏好下的代表方案。工程效率指标主要反映工作面布置规整性、推进连续性和生产组织便利性；资源覆盖指标主要反映方案覆盖面积和煤厚资源利用情况；扰动控制指标主要反映方案范围内综合覆岩扰动指数的平均水平、高值分布和超阈值面积比例。</w:t>
      </w:r>
    </w:p>
    <w:p w14:paraId="2BB957A0" w14:textId="77777777" w:rsidR="00DF6D34" w:rsidRPr="00DF6D34" w:rsidRDefault="00DF6D34" w:rsidP="00DF6D34">
      <w:pPr>
        <w:pStyle w:val="100"/>
        <w:ind w:firstLine="420"/>
      </w:pPr>
      <w:r w:rsidRPr="00DF6D34">
        <w:t>整个软件流程采用模块化设计。基础数据预处理模块为后续计算提供统一数据输入；可布置区域计算模块和煤厚分布模块分别确定工作面布置范围和资源条件；采动扰动评价模块提供扰动强弱判断；方案生成与评价模块在上述结果基础上形成候选方案并输出评价结果。通过这一流程，系统能够将传统采区规划中分散处理的地质资料、工程约束和采动扰动因素统一到同一软件流程中，使工作面方案在形成阶段即可兼顾资源回收、生产组织和扰动控制要求。</w:t>
      </w:r>
    </w:p>
    <w:p w14:paraId="3D4BC1CA" w14:textId="09349E54" w:rsidR="00F10457" w:rsidRDefault="00F10457" w:rsidP="00F10457">
      <w:pPr>
        <w:pStyle w:val="100"/>
        <w:ind w:firstLineChars="0" w:firstLine="0"/>
        <w:sectPr w:rsidR="00F10457" w:rsidSect="003F477A">
          <w:footerReference w:type="even" r:id="rId9"/>
          <w:footerReference w:type="default" r:id="rId10"/>
          <w:type w:val="continuous"/>
          <w:pgSz w:w="11906" w:h="16838"/>
          <w:pgMar w:top="1418" w:right="1134" w:bottom="1134" w:left="1134" w:header="720" w:footer="720" w:gutter="0"/>
          <w:cols w:num="2" w:space="720"/>
          <w:docGrid w:linePitch="598"/>
        </w:sectPr>
      </w:pPr>
    </w:p>
    <w:p w14:paraId="4A0AB74C" w14:textId="3ECBA159" w:rsidR="00F10457" w:rsidRDefault="00F10457" w:rsidP="00F10457">
      <w:pPr>
        <w:pStyle w:val="100"/>
        <w:ind w:firstLineChars="0" w:firstLine="0"/>
        <w:jc w:val="center"/>
      </w:pPr>
      <w:r w:rsidRPr="00F467F9">
        <w:rPr>
          <w:noProof/>
        </w:rPr>
        <w:lastRenderedPageBreak/>
        <w:drawing>
          <wp:inline distT="0" distB="0" distL="0" distR="0" wp14:anchorId="24F9AE72" wp14:editId="5340F867">
            <wp:extent cx="5778000" cy="3181833"/>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81833"/>
                    </a:xfrm>
                    <a:prstGeom prst="rect">
                      <a:avLst/>
                    </a:prstGeom>
                    <a:noFill/>
                    <a:ln>
                      <a:noFill/>
                    </a:ln>
                  </pic:spPr>
                </pic:pic>
              </a:graphicData>
            </a:graphic>
          </wp:inline>
        </w:drawing>
      </w:r>
    </w:p>
    <w:p w14:paraId="17D61962" w14:textId="2F7F1BC3" w:rsidR="00F10457" w:rsidRDefault="00F10457" w:rsidP="00F10457">
      <w:pPr>
        <w:pStyle w:val="14"/>
      </w:pPr>
      <w:bookmarkStart w:id="0" w:name="_Ref22792573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1</w:t>
      </w:r>
      <w:r>
        <w:fldChar w:fldCharType="end"/>
      </w:r>
      <w:bookmarkEnd w:id="0"/>
      <w:r>
        <w:rPr>
          <w:rFonts w:hint="eastAsia"/>
        </w:rPr>
        <w:t xml:space="preserve"> </w:t>
      </w:r>
      <w:r w:rsidRPr="00F10457">
        <w:t>传统采区规划与多场景约束采区规划流程对比</w:t>
      </w:r>
    </w:p>
    <w:p w14:paraId="04FB48C5" w14:textId="5B8DC87B" w:rsidR="00F10457" w:rsidRPr="00A8389E" w:rsidRDefault="00F10457" w:rsidP="00F10457">
      <w:pPr>
        <w:pStyle w:val="14"/>
      </w:pPr>
      <w:r w:rsidRPr="00F10457">
        <w:t xml:space="preserve">Fig.1 </w:t>
      </w:r>
      <w:r w:rsidR="008419FD" w:rsidRPr="008419FD">
        <w:t>Comparison between traditional mining district planning and multi-scenario constrained planning</w:t>
      </w:r>
    </w:p>
    <w:p w14:paraId="1E563B40" w14:textId="77777777" w:rsidR="00F10457" w:rsidRDefault="00F10457" w:rsidP="00624086">
      <w:pPr>
        <w:pStyle w:val="12"/>
        <w:sectPr w:rsidR="00F10457" w:rsidSect="00F10457">
          <w:type w:val="continuous"/>
          <w:pgSz w:w="11906" w:h="16838"/>
          <w:pgMar w:top="1418" w:right="1134" w:bottom="1134" w:left="1134" w:header="720" w:footer="720" w:gutter="0"/>
          <w:cols w:space="720"/>
          <w:docGrid w:linePitch="598"/>
        </w:sectPr>
      </w:pPr>
    </w:p>
    <w:p w14:paraId="42BF0730" w14:textId="15D0FE80" w:rsidR="00A86782" w:rsidRDefault="00B139E1" w:rsidP="00A86782">
      <w:pPr>
        <w:pStyle w:val="100"/>
        <w:ind w:firstLine="420"/>
      </w:pPr>
      <w:r w:rsidRPr="00B139E1">
        <w:t>由图</w:t>
      </w:r>
      <w:r w:rsidRPr="00B139E1">
        <w:t>1</w:t>
      </w:r>
      <w:r w:rsidRPr="00B139E1">
        <w:t>可见，多场景约束采区规划的重点不在于增加一个后续校核步骤，而在于把地质资料整理、采动扰动评价和工作面</w:t>
      </w:r>
      <w:r>
        <w:rPr>
          <w:rFonts w:hint="eastAsia"/>
        </w:rPr>
        <w:t>设计</w:t>
      </w:r>
      <w:r w:rsidRPr="00B139E1">
        <w:t>衔接起来。这样形成的候选方案不仅满足边界、煤柱、工作面宽度和推进长度等基本采矿要求，还可以比较不同方案在资源覆盖、工程组织和扰动控制方面的差异</w:t>
      </w:r>
      <w:r w:rsidR="00A86782">
        <w:rPr>
          <w:rFonts w:hint="eastAsia"/>
        </w:rPr>
        <w:t>。</w:t>
      </w:r>
    </w:p>
    <w:p w14:paraId="1AC9B94F" w14:textId="10ABC4D9" w:rsidR="00A8389E" w:rsidRPr="00DF00E8" w:rsidRDefault="00A8389E" w:rsidP="00DF00E8">
      <w:pPr>
        <w:pStyle w:val="12"/>
      </w:pPr>
      <w:r w:rsidRPr="00DF00E8">
        <w:t xml:space="preserve">1.3 </w:t>
      </w:r>
      <w:r w:rsidR="00B139E1" w:rsidRPr="00B139E1">
        <w:t>采动扰动约束下方案比选的基本要求</w:t>
      </w:r>
    </w:p>
    <w:p w14:paraId="4276C99C" w14:textId="5035DD87" w:rsidR="00F10457" w:rsidRPr="00DF00E8" w:rsidRDefault="00B139E1" w:rsidP="00DF00E8">
      <w:pPr>
        <w:pStyle w:val="100"/>
        <w:ind w:firstLine="420"/>
      </w:pPr>
      <w:r w:rsidRPr="00B139E1">
        <w:t>要在工作面布置阶段就考虑采动扰动影响，不能只依靠方案形成后的单项校核。实际应用中，需要先把采区边界、钻孔煤厚、煤柱要求等基础资料整理成可用于方案生成的数据；再把地表沉陷、含水层扰动和上行开采影响转化为可比较的扰动指标；最后，将资源覆盖、工程组织和扰动风险放在一起评价候选方案</w:t>
      </w:r>
      <w:r w:rsidR="009B6A5F" w:rsidRPr="009B6A5F">
        <w:t>。</w:t>
      </w:r>
    </w:p>
    <w:p w14:paraId="68C1F2A7" w14:textId="184C6B20" w:rsidR="00F10457" w:rsidRPr="00DF00E8" w:rsidRDefault="00F10457" w:rsidP="00DF00E8">
      <w:pPr>
        <w:pStyle w:val="130"/>
      </w:pPr>
      <w:r w:rsidRPr="00DF00E8">
        <w:t xml:space="preserve">1.3.1 </w:t>
      </w:r>
      <w:r w:rsidR="00267B5A" w:rsidRPr="00267B5A">
        <w:t>采区基础数据预处理</w:t>
      </w:r>
    </w:p>
    <w:p w14:paraId="4B0B22D9" w14:textId="6F12EFC8" w:rsidR="00B139E1" w:rsidRPr="00B139E1" w:rsidRDefault="00B139E1" w:rsidP="00B139E1">
      <w:pPr>
        <w:pStyle w:val="100"/>
        <w:ind w:firstLine="420"/>
      </w:pPr>
      <w:r w:rsidRPr="00B139E1">
        <w:t>采区规划需要用到采区边界、钻孔煤厚、煤柱参数、构造影响范围和局部保护对象等</w:t>
      </w:r>
      <w:r w:rsidR="00267B5A">
        <w:rPr>
          <w:rFonts w:hint="eastAsia"/>
        </w:rPr>
        <w:t>数据</w:t>
      </w:r>
      <w:r w:rsidRPr="00B139E1">
        <w:t>。这些</w:t>
      </w:r>
      <w:r w:rsidR="00267B5A">
        <w:rPr>
          <w:rFonts w:hint="eastAsia"/>
        </w:rPr>
        <w:t>数据</w:t>
      </w:r>
      <w:r w:rsidRPr="00B139E1">
        <w:t>在实际设计中往往分散在不同图件、表格和剖面中，表达形式也不一致。例如，钻孔煤厚是离散点数据，采区边界和煤柱是平面范围，保护对象或不可采区域则是局部限制条件。如果这些资料只是作为设计背景使用，就难以直接用于多个工作面方案的生成和比较。</w:t>
      </w:r>
    </w:p>
    <w:p w14:paraId="0544BCF2" w14:textId="1A5888CB" w:rsidR="00B139E1" w:rsidRPr="00B139E1" w:rsidRDefault="00B139E1" w:rsidP="00B139E1">
      <w:pPr>
        <w:pStyle w:val="100"/>
        <w:ind w:firstLine="420"/>
      </w:pPr>
      <w:r w:rsidRPr="00B139E1">
        <w:t>因此，需要先对这些</w:t>
      </w:r>
      <w:r w:rsidR="00267B5A">
        <w:rPr>
          <w:rFonts w:hint="eastAsia"/>
        </w:rPr>
        <w:t>数据</w:t>
      </w:r>
      <w:r w:rsidRPr="00B139E1">
        <w:t>进行</w:t>
      </w:r>
      <w:r w:rsidR="00267B5A">
        <w:rPr>
          <w:rFonts w:hint="eastAsia"/>
        </w:rPr>
        <w:t>预处理</w:t>
      </w:r>
      <w:r w:rsidRPr="00B139E1">
        <w:t>：根据采区边界、煤柱和保护要求确定</w:t>
      </w:r>
      <w:r w:rsidR="00404D0C">
        <w:t>工作面可布置区域</w:t>
      </w:r>
      <w:r w:rsidRPr="00B139E1">
        <w:t>；根据钻孔煤厚资料插值得到煤层厚度分布；对构</w:t>
      </w:r>
      <w:r w:rsidRPr="00B139E1">
        <w:t>造影响区、保护对象或不可采范围进行边界约束。经过处理后，工作面方案不仅可以判断是否越界、煤柱是否满足要求，还可以统计不同方案覆盖的煤厚资源和受约束区域。这样，工作面布置就不再只是依靠图纸判断和经验划分，而能够在相同数据基础上进行方案比较。</w:t>
      </w:r>
    </w:p>
    <w:p w14:paraId="3E035036" w14:textId="50B4D9AC" w:rsidR="00F10457" w:rsidRPr="00DF00E8" w:rsidRDefault="00F10457" w:rsidP="00DF00E8">
      <w:pPr>
        <w:pStyle w:val="130"/>
      </w:pPr>
      <w:r w:rsidRPr="00DF00E8">
        <w:t>1.3.2</w:t>
      </w:r>
      <w:r w:rsidR="00267B5A">
        <w:rPr>
          <w:rFonts w:hint="eastAsia"/>
        </w:rPr>
        <w:t xml:space="preserve"> </w:t>
      </w:r>
      <w:r w:rsidR="00267B5A">
        <w:rPr>
          <w:rFonts w:hint="eastAsia"/>
        </w:rPr>
        <w:t>采动</w:t>
      </w:r>
      <w:r w:rsidRPr="00DF00E8">
        <w:t>扰动</w:t>
      </w:r>
      <w:r w:rsidR="00267B5A">
        <w:rPr>
          <w:rFonts w:hint="eastAsia"/>
        </w:rPr>
        <w:t>的综合表征</w:t>
      </w:r>
    </w:p>
    <w:p w14:paraId="6B04B5E7" w14:textId="77777777" w:rsidR="00267B5A" w:rsidRPr="00267B5A" w:rsidRDefault="00267B5A" w:rsidP="00267B5A">
      <w:pPr>
        <w:pStyle w:val="100"/>
        <w:ind w:firstLine="420"/>
      </w:pPr>
      <w:r w:rsidRPr="00267B5A">
        <w:t>采区规划中需要考虑的采动影响并不只有一种。地表沉陷主要反映开采后覆岩移动及地表变形情况；含水层扰动主要与导水裂隙带发育、隔水层厚度和含水层敏感性有关；上行开采则更关注上覆岩层在再次扰动条件下的稳定性和安全边界。三类问题都与采动覆岩响应有关，但关注重点不同，不能简单用某一个单项指标代替。</w:t>
      </w:r>
    </w:p>
    <w:p w14:paraId="2EC35E73" w14:textId="77777777" w:rsidR="00267B5A" w:rsidRPr="00267B5A" w:rsidRDefault="00267B5A" w:rsidP="00267B5A">
      <w:pPr>
        <w:pStyle w:val="100"/>
        <w:ind w:firstLine="420"/>
      </w:pPr>
      <w:r w:rsidRPr="00267B5A">
        <w:t>如果分别对这些问题进行评价，往往会出现一个方案在某一方面较好、但在另一方面不理想的情况。例如，某一工作面布置可能对地表沉陷控制较有利，但与含水层扰动较强区域接近；也可能资源覆盖较高，但上覆岩层稳定性校核压力较大。此时，仅依据单项评价结果难以判断方案整体优劣。</w:t>
      </w:r>
    </w:p>
    <w:p w14:paraId="180B1B40" w14:textId="77777777" w:rsidR="00267B5A" w:rsidRPr="00267B5A" w:rsidRDefault="00267B5A" w:rsidP="00267B5A">
      <w:pPr>
        <w:pStyle w:val="100"/>
        <w:ind w:firstLine="420"/>
      </w:pPr>
      <w:r w:rsidRPr="00267B5A">
        <w:t>因此，需要将地表沉陷、含水层扰动和上行开采影响转化为可以共同比较的综合扰动指标。本文采用综合</w:t>
      </w:r>
      <w:r w:rsidRPr="00267B5A">
        <w:t>ODI</w:t>
      </w:r>
      <w:r w:rsidRPr="00267B5A">
        <w:t>场表示采区不同位置的扰动强弱，使中高扰动区域能够在工作面方案生成阶段被识别。进一步统计候选方案覆盖范围内的</w:t>
      </w:r>
      <w:r w:rsidRPr="00267B5A">
        <w:t>ODI</w:t>
      </w:r>
      <w:r w:rsidRPr="00267B5A">
        <w:t>均值、</w:t>
      </w:r>
      <w:r w:rsidRPr="00267B5A">
        <w:t>P90</w:t>
      </w:r>
      <w:r w:rsidRPr="00267B5A">
        <w:t>和超阈值比例后，就可以把原本分散的风险</w:t>
      </w:r>
      <w:r w:rsidRPr="00267B5A">
        <w:lastRenderedPageBreak/>
        <w:t>评价结果转化为方案级指标，用于不同工作面布置方案之间的比较。</w:t>
      </w:r>
    </w:p>
    <w:p w14:paraId="10757360" w14:textId="2BC80F40" w:rsidR="00F10457" w:rsidRPr="00DF00E8" w:rsidRDefault="00F10457" w:rsidP="00DF00E8">
      <w:pPr>
        <w:pStyle w:val="130"/>
      </w:pPr>
      <w:r w:rsidRPr="00DF00E8">
        <w:t xml:space="preserve">1.3.3 </w:t>
      </w:r>
      <w:r w:rsidR="00267B5A" w:rsidRPr="00267B5A">
        <w:t>工作面布置方案形成与比较</w:t>
      </w:r>
    </w:p>
    <w:p w14:paraId="1D446D60" w14:textId="63A64E7D" w:rsidR="00267B5A" w:rsidRPr="00267B5A" w:rsidRDefault="00267B5A" w:rsidP="00267B5A">
      <w:pPr>
        <w:pStyle w:val="100"/>
        <w:ind w:firstLine="420"/>
      </w:pPr>
      <w:r w:rsidRPr="00267B5A">
        <w:t>在</w:t>
      </w:r>
      <w:r w:rsidR="00404D0C">
        <w:t>工作面可布置区域</w:t>
      </w:r>
      <w:r w:rsidRPr="00267B5A">
        <w:t>和采动扰动评价结果确定后，采区规划还需要进一步明确工作面如何布置。工作面数量、宽度、推进方向、煤柱留设和推进长度等参数，既决定采区的平面布置形态，也直接影响资源回收、巷道工程量、采掘接续和扰动暴露范围。实际设计中，满足基本采矿要求的方案往往不止一个，不同方案之间通常存在明显取舍。</w:t>
      </w:r>
    </w:p>
    <w:p w14:paraId="6524CA8C" w14:textId="77777777" w:rsidR="00267B5A" w:rsidRPr="00267B5A" w:rsidRDefault="00267B5A" w:rsidP="00267B5A">
      <w:pPr>
        <w:pStyle w:val="100"/>
        <w:ind w:firstLine="420"/>
      </w:pPr>
      <w:r w:rsidRPr="00267B5A">
        <w:t>例如，覆盖率较高的方案可以提高资源利用程度，但也可能使工作面经过更多扰动较强区域；避让扰动高值区的方案有利于降低后续安全校核压力，但可能牺牲部分资源覆盖范围或使工作面布置不够规整。因此，采区规划不能只依据覆盖率或某一单项指标确定方案，而应在工程实施条件、资源回收和扰动控制之间进行综合判断。</w:t>
      </w:r>
    </w:p>
    <w:p w14:paraId="4F7B526C" w14:textId="77777777" w:rsidR="00267B5A" w:rsidRPr="00267B5A" w:rsidRDefault="00267B5A" w:rsidP="00267B5A">
      <w:pPr>
        <w:pStyle w:val="100"/>
        <w:ind w:firstLine="420"/>
      </w:pPr>
      <w:r w:rsidRPr="00267B5A">
        <w:t>基于此，本文在满足边界、煤柱、工作面宽度和推进长度等基本采矿约束的前提下，形成多组候选工作面布置方案，并分别统计其工程效率、资源覆盖和扰动风险指标。通过对不同方案进行比较，可以揭示不同规划偏好下的方案差异，为采区规划阶段的方案优选提供依据。</w:t>
      </w:r>
    </w:p>
    <w:p w14:paraId="7567059D" w14:textId="38FB3FB5" w:rsidR="00351EC4" w:rsidRPr="00DF00E8" w:rsidRDefault="00351EC4" w:rsidP="00DF00E8">
      <w:pPr>
        <w:pStyle w:val="11"/>
      </w:pPr>
      <w:r w:rsidRPr="00DF00E8">
        <w:t xml:space="preserve">2 </w:t>
      </w:r>
      <w:r w:rsidR="00267B5A" w:rsidRPr="00267B5A">
        <w:t>采动扰动约束下采区规划方法</w:t>
      </w:r>
    </w:p>
    <w:p w14:paraId="2457ECFF" w14:textId="47108BE5" w:rsidR="00404D0C" w:rsidRPr="00404D0C" w:rsidRDefault="0037587A" w:rsidP="00404D0C">
      <w:pPr>
        <w:pStyle w:val="100"/>
        <w:ind w:firstLine="420"/>
      </w:pPr>
      <w:r w:rsidRPr="0037587A">
        <w:t>采区边界、煤柱约束和钻孔煤厚资料是工作面方案生成的基础输入。本文首先根据采区边界、边界煤柱、区段煤柱及局部保护约束确定工作面可布置区域；随后利用钻孔煤厚样点进行空间插值，得到煤层厚度分布。前者用于约束候选工作面的几何范围，后者用于统计不同方案覆盖的煤厚资源</w:t>
      </w:r>
      <w:r w:rsidR="00404D0C" w:rsidRPr="00404D0C">
        <w:t>。</w:t>
      </w:r>
    </w:p>
    <w:p w14:paraId="0C4F4B47" w14:textId="7A386A4A" w:rsidR="00351EC4" w:rsidRPr="00DF00E8" w:rsidRDefault="00351EC4" w:rsidP="00DF00E8">
      <w:pPr>
        <w:pStyle w:val="12"/>
      </w:pPr>
      <w:r w:rsidRPr="00DF00E8">
        <w:t xml:space="preserve">2.1 </w:t>
      </w:r>
      <w:r w:rsidR="00404D0C" w:rsidRPr="00404D0C">
        <w:t>工作面可布置区域与煤厚分布计算</w:t>
      </w:r>
    </w:p>
    <w:p w14:paraId="3A6336BD" w14:textId="7C2380CA" w:rsidR="00404D0C" w:rsidRPr="00404D0C" w:rsidRDefault="00404D0C" w:rsidP="00404D0C">
      <w:pPr>
        <w:pStyle w:val="100"/>
        <w:ind w:firstLine="420"/>
      </w:pPr>
      <w:r w:rsidRPr="00404D0C">
        <w:t>根据</w:t>
      </w:r>
      <w:r w:rsidRPr="00404D0C">
        <w:t>1.3</w:t>
      </w:r>
      <w:r w:rsidRPr="00404D0C">
        <w:t>节所述基础数据处理要求，本文在方案生成前先计算两个结果：</w:t>
      </w:r>
      <w:r>
        <w:t>工作面可布置区域</w:t>
      </w:r>
      <w:r w:rsidRPr="00404D0C">
        <w:t>和煤层厚度分布。前者用于控制候选方案的边界、煤柱和保护要求，后者用于评价不同方案覆盖的煤厚资源。两者分别对应后续的几何约束和资源覆盖评价。</w:t>
      </w:r>
    </w:p>
    <w:p w14:paraId="0B37D18C" w14:textId="0FF80598" w:rsidR="00404D0C" w:rsidRPr="00404D0C" w:rsidRDefault="00404D0C" w:rsidP="00404D0C">
      <w:pPr>
        <w:pStyle w:val="100"/>
        <w:ind w:firstLine="420"/>
      </w:pPr>
      <w:r>
        <w:t>工作面可布置区域</w:t>
      </w:r>
      <w:r w:rsidRPr="00404D0C">
        <w:t>由采区边界、边界煤柱、区段煤柱及局部保护约束共同确定；煤厚分布则由钻孔煤厚样点经空间插值得到。通过这两个结果，候选方案既能满足基本布置条件，也能统计其覆盖区域内的资源差异。</w:t>
      </w:r>
    </w:p>
    <w:p w14:paraId="4B09AC28" w14:textId="1471F85B" w:rsidR="00F10457" w:rsidRPr="00DF00E8" w:rsidRDefault="00F10457" w:rsidP="00DF00E8">
      <w:pPr>
        <w:pStyle w:val="130"/>
      </w:pPr>
      <w:r w:rsidRPr="00DF00E8">
        <w:t xml:space="preserve">2.1.1 </w:t>
      </w:r>
      <w:r w:rsidR="00404D0C" w:rsidRPr="00404D0C">
        <w:t>工作面可布置区域确定</w:t>
      </w:r>
    </w:p>
    <w:p w14:paraId="3D636151" w14:textId="77777777" w:rsidR="00404D0C" w:rsidRPr="00404D0C" w:rsidRDefault="00404D0C" w:rsidP="00404D0C">
      <w:pPr>
        <w:pStyle w:val="100"/>
        <w:ind w:firstLine="420"/>
      </w:pPr>
      <w:r w:rsidRPr="00404D0C">
        <w:t>原始采区边界通常不能直接作为工作面布置边界。实际设计中，边界煤柱、区段煤柱、地表保护对象、构造影响区和局部不可采区域都会压缩可布置空间。若直接按照原始边界划分工作面，容易出现越界布置、煤柱不足或局部形态不利于推进等问题。</w:t>
      </w:r>
    </w:p>
    <w:p w14:paraId="28992C54" w14:textId="77777777" w:rsidR="00404D0C" w:rsidRPr="00404D0C" w:rsidRDefault="00404D0C" w:rsidP="00404D0C">
      <w:pPr>
        <w:pStyle w:val="100"/>
        <w:ind w:firstLine="420"/>
      </w:pPr>
      <w:r w:rsidRPr="00404D0C">
        <w:t>本文在原始采区边界基础上叠加边界煤柱、区段煤柱和局部保护约束，通过边界内缩、局部裁剪和几何合法性检查得到工作面可布置区域。对于断层、陷落柱、采空区、地表保护对象和局部禁采区等复杂约束，可根据控制范围和保护距离将其转化为空间约束区，再从原始边界中扣除。本文案例主要考虑边界煤柱和区段煤柱约束；当研究区存在复杂构造或保护对象时，可按相同方式扩展处理。</w:t>
      </w:r>
    </w:p>
    <w:p w14:paraId="551D98AC" w14:textId="6DF7C17A" w:rsidR="0056527E" w:rsidRDefault="0056527E" w:rsidP="0056527E">
      <w:pPr>
        <w:pStyle w:val="100"/>
        <w:ind w:firstLine="420"/>
      </w:pPr>
      <w:r w:rsidRPr="0056527E">
        <w:t>设原始采区边界为</w:t>
      </w:r>
      <w:r w:rsidRPr="0056527E">
        <w:t xml:space="preserve"> </w:t>
      </w:r>
      <w:r w:rsidR="00021800" w:rsidRPr="00021800">
        <w:rPr>
          <w:position w:val="-12"/>
        </w:rPr>
        <w:object w:dxaOrig="340" w:dyaOrig="360" w14:anchorId="0D5E3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5pt;height:18pt" o:ole="">
            <v:imagedata r:id="rId12" o:title=""/>
          </v:shape>
          <o:OLEObject Type="Embed" ProgID="Equation.DSMT4" ShapeID="_x0000_i1025" DrawAspect="Content" ObjectID="_1840029926" r:id="rId13"/>
        </w:object>
      </w:r>
      <w:r w:rsidRPr="0056527E">
        <w:t>，边界煤柱宽度为</w:t>
      </w:r>
      <w:r w:rsidRPr="0056527E">
        <w:t xml:space="preserve"> </w:t>
      </w:r>
      <w:bookmarkStart w:id="1" w:name="MTBlankEqn"/>
      <w:r w:rsidR="00021800" w:rsidRPr="00021800">
        <w:rPr>
          <w:position w:val="-12"/>
        </w:rPr>
        <w:object w:dxaOrig="260" w:dyaOrig="360" w14:anchorId="300B99ED">
          <v:shape id="_x0000_i1026" type="#_x0000_t75" style="width:13.35pt;height:18pt" o:ole="">
            <v:imagedata r:id="rId14" o:title=""/>
          </v:shape>
          <o:OLEObject Type="Embed" ProgID="Equation.DSMT4" ShapeID="_x0000_i1026" DrawAspect="Content" ObjectID="_1840029927" r:id="rId15"/>
        </w:object>
      </w:r>
      <w:bookmarkEnd w:id="1"/>
      <w:r w:rsidRPr="0056527E">
        <w:t>，区段煤柱宽度为</w:t>
      </w:r>
      <w:r w:rsidRPr="0056527E">
        <w:t xml:space="preserve"> </w:t>
      </w:r>
      <w:r w:rsidR="00021800" w:rsidRPr="00021800">
        <w:rPr>
          <w:position w:val="-12"/>
        </w:rPr>
        <w:object w:dxaOrig="240" w:dyaOrig="360" w14:anchorId="41DD8D5C">
          <v:shape id="_x0000_i1027" type="#_x0000_t75" style="width:12pt;height:18pt" o:ole="">
            <v:imagedata r:id="rId16" o:title=""/>
          </v:shape>
          <o:OLEObject Type="Embed" ProgID="Equation.DSMT4" ShapeID="_x0000_i1027" DrawAspect="Content" ObjectID="_1840029928" r:id="rId17"/>
        </w:object>
      </w:r>
      <w:r w:rsidRPr="0056527E">
        <w:t>，局部保护约束区为</w:t>
      </w:r>
      <w:r w:rsidRPr="0056527E">
        <w:t xml:space="preserve"> </w:t>
      </w:r>
      <w:r w:rsidR="00021800" w:rsidRPr="00021800">
        <w:rPr>
          <w:position w:val="-14"/>
        </w:rPr>
        <w:object w:dxaOrig="360" w:dyaOrig="380" w14:anchorId="3806F693">
          <v:shape id="_x0000_i1028" type="#_x0000_t75" style="width:18pt;height:19.35pt" o:ole="">
            <v:imagedata r:id="rId18" o:title=""/>
          </v:shape>
          <o:OLEObject Type="Embed" ProgID="Equation.DSMT4" ShapeID="_x0000_i1028" DrawAspect="Content" ObjectID="_1840029929" r:id="rId19"/>
        </w:object>
      </w:r>
      <w:r w:rsidRPr="0056527E">
        <w:t>，则</w:t>
      </w:r>
      <w:r w:rsidR="003B394F">
        <w:t>工作面可布置区域</w:t>
      </w:r>
      <w:r w:rsidRPr="0056527E">
        <w:t>可表示为：</w:t>
      </w:r>
    </w:p>
    <w:p w14:paraId="1645B056" w14:textId="56D57F6E" w:rsidR="0056527E" w:rsidRPr="0056527E" w:rsidRDefault="0056527E" w:rsidP="0056527E">
      <w:pPr>
        <w:pStyle w:val="MTDisplayEquation"/>
        <w:ind w:firstLine="480"/>
      </w:pPr>
      <w:r>
        <w:tab/>
      </w:r>
      <w:r w:rsidR="00021800" w:rsidRPr="00021800">
        <w:rPr>
          <w:position w:val="-14"/>
        </w:rPr>
        <w:object w:dxaOrig="2160" w:dyaOrig="380" w14:anchorId="317B2A58">
          <v:shape id="_x0000_i1029" type="#_x0000_t75" style="width:108pt;height:19.35pt" o:ole="">
            <v:imagedata r:id="rId20" o:title=""/>
          </v:shape>
          <o:OLEObject Type="Embed" ProgID="Equation.DSMT4" ShapeID="_x0000_i1029" DrawAspect="Content" ObjectID="_1840029930"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w:instrText>
        </w:r>
      </w:fldSimple>
      <w:r>
        <w:instrText>)</w:instrText>
      </w:r>
      <w:r>
        <w:fldChar w:fldCharType="end"/>
      </w:r>
    </w:p>
    <w:p w14:paraId="14E5D511" w14:textId="58AD88CF" w:rsidR="00D47524" w:rsidRPr="00D47524" w:rsidRDefault="00D47524" w:rsidP="00D47524">
      <w:pPr>
        <w:pStyle w:val="100"/>
        <w:ind w:firstLine="420"/>
      </w:pPr>
      <w:r w:rsidRPr="00D47524">
        <w:t>式中：</w:t>
      </w:r>
      <w:r w:rsidR="00021800" w:rsidRPr="00021800">
        <w:rPr>
          <w:position w:val="-12"/>
        </w:rPr>
        <w:object w:dxaOrig="320" w:dyaOrig="360" w14:anchorId="184EFACE">
          <v:shape id="_x0000_i1030" type="#_x0000_t75" style="width:16pt;height:18pt" o:ole="">
            <v:imagedata r:id="rId22" o:title=""/>
          </v:shape>
          <o:OLEObject Type="Embed" ProgID="Equation.DSMT4" ShapeID="_x0000_i1030" DrawAspect="Content" ObjectID="_1840029931" r:id="rId23"/>
        </w:object>
      </w:r>
      <w:r w:rsidRPr="00D47524">
        <w:t>为</w:t>
      </w:r>
      <w:r w:rsidR="003B394F">
        <w:t>工作面可布置区域</w:t>
      </w:r>
      <w:r w:rsidRPr="00D47524">
        <w:t>；</w:t>
      </w:r>
      <w:r w:rsidR="00021800" w:rsidRPr="00021800">
        <w:rPr>
          <w:position w:val="-10"/>
        </w:rPr>
        <w:object w:dxaOrig="460" w:dyaOrig="320" w14:anchorId="0A235D54">
          <v:shape id="_x0000_i1031" type="#_x0000_t75" style="width:22.65pt;height:16pt" o:ole="">
            <v:imagedata r:id="rId24" o:title=""/>
          </v:shape>
          <o:OLEObject Type="Embed" ProgID="Equation.DSMT4" ShapeID="_x0000_i1031" DrawAspect="Content" ObjectID="_1840029932" r:id="rId25"/>
        </w:object>
      </w:r>
      <w:r w:rsidRPr="00D47524">
        <w:t>表示在边界煤柱、区段煤柱和局部保护约束共同作用下的空间内缩、裁剪和几何合法性检查过程。</w:t>
      </w:r>
    </w:p>
    <w:p w14:paraId="502BA380" w14:textId="7279577A" w:rsidR="00D47524" w:rsidRPr="00D47524" w:rsidRDefault="00404D0C" w:rsidP="00D47524">
      <w:pPr>
        <w:pStyle w:val="100"/>
        <w:ind w:firstLine="420"/>
      </w:pPr>
      <w:r w:rsidRPr="00404D0C">
        <w:t>工作面可布置区域确定后，后续候选方案均在该区域内生成，并需满足不越界、不重叠、煤柱宽度满足要求、推进长度和几何形态满足实施条件等基本约束。这样可以在方案生成阶段先剔除明显不可行的几何组合，避免无效方案进入后续评价</w:t>
      </w:r>
      <w:r w:rsidR="00D47524" w:rsidRPr="00D47524">
        <w:t>。</w:t>
      </w:r>
    </w:p>
    <w:p w14:paraId="46B9F4C0" w14:textId="10B04364" w:rsidR="00F10457" w:rsidRPr="00F10457" w:rsidRDefault="00F10457" w:rsidP="00DF00E8">
      <w:pPr>
        <w:pStyle w:val="130"/>
      </w:pPr>
      <w:r w:rsidRPr="00F10457">
        <w:t xml:space="preserve">2.1.2 </w:t>
      </w:r>
      <w:r w:rsidR="00404D0C" w:rsidRPr="00404D0C">
        <w:t>煤层厚度分布计算</w:t>
      </w:r>
    </w:p>
    <w:p w14:paraId="707E268F" w14:textId="261A87C2" w:rsidR="00D47524" w:rsidRPr="00D47524" w:rsidRDefault="00404D0C" w:rsidP="00D47524">
      <w:pPr>
        <w:pStyle w:val="100"/>
        <w:ind w:firstLine="420"/>
      </w:pPr>
      <w:r w:rsidRPr="00404D0C">
        <w:t>煤层厚度是评价工作面方案资源覆盖效果的重要依据。钻孔资料能够反映煤层赋存条件，但其空间分布具有离散性。若只依据少量钻孔或剖面判断煤厚变化，容易忽略采区内部资源条件的局部差异；而工作面方案评价需要统计整个覆盖范围内的煤厚资源，因此需要将钻孔煤厚样点转换为连续的煤层厚度分布</w:t>
      </w:r>
      <w:r w:rsidR="00D47524" w:rsidRPr="00D47524">
        <w:t>。</w:t>
      </w:r>
    </w:p>
    <w:p w14:paraId="329A36C2" w14:textId="77777777" w:rsidR="00D47524" w:rsidRDefault="00D47524" w:rsidP="00D47524">
      <w:pPr>
        <w:pStyle w:val="100"/>
        <w:ind w:firstLine="420"/>
      </w:pPr>
      <w:r w:rsidRPr="00D47524">
        <w:t>设钻孔样点集合为：</w:t>
      </w:r>
    </w:p>
    <w:p w14:paraId="5C3BC093" w14:textId="38A187E9" w:rsidR="00021800" w:rsidRPr="00D47524" w:rsidRDefault="00021800" w:rsidP="00021800">
      <w:pPr>
        <w:pStyle w:val="MTDisplayEquation"/>
        <w:ind w:firstLine="480"/>
      </w:pPr>
      <w:r>
        <w:tab/>
      </w:r>
      <w:r w:rsidRPr="00021800">
        <w:rPr>
          <w:position w:val="-12"/>
        </w:rPr>
        <w:object w:dxaOrig="2780" w:dyaOrig="360" w14:anchorId="5206B650">
          <v:shape id="_x0000_i1032" type="#_x0000_t75" style="width:139.35pt;height:18pt" o:ole="">
            <v:imagedata r:id="rId26" o:title=""/>
          </v:shape>
          <o:OLEObject Type="Embed" ProgID="Equation.DSMT4" ShapeID="_x0000_i1032" DrawAspect="Content" ObjectID="_1840029933"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2</w:instrText>
        </w:r>
      </w:fldSimple>
      <w:r>
        <w:instrText>)</w:instrText>
      </w:r>
      <w:r>
        <w:fldChar w:fldCharType="end"/>
      </w:r>
    </w:p>
    <w:p w14:paraId="660F7366" w14:textId="0A57755A" w:rsidR="00021800" w:rsidRPr="00021800" w:rsidRDefault="00EF255B" w:rsidP="00021800">
      <w:pPr>
        <w:pStyle w:val="100"/>
        <w:ind w:firstLine="420"/>
      </w:pPr>
      <w:r w:rsidRPr="00EF255B">
        <w:t>式中：</w:t>
      </w:r>
      <w:r w:rsidR="00021800" w:rsidRPr="00021800">
        <w:rPr>
          <w:position w:val="-12"/>
        </w:rPr>
        <w:object w:dxaOrig="700" w:dyaOrig="360" w14:anchorId="5A01F488">
          <v:shape id="_x0000_i1033" type="#_x0000_t75" style="width:34.65pt;height:18pt" o:ole="">
            <v:imagedata r:id="rId28" o:title=""/>
          </v:shape>
          <o:OLEObject Type="Embed" ProgID="Equation.DSMT4" ShapeID="_x0000_i1033" DrawAspect="Content" ObjectID="_1840029934" r:id="rId29"/>
        </w:object>
      </w:r>
      <w:r w:rsidRPr="00EF255B">
        <w:t>为第</w:t>
      </w:r>
      <m:oMath>
        <m:r>
          <w:rPr>
            <w:rFonts w:ascii="Cambria Math" w:hAnsi="Cambria Math"/>
          </w:rPr>
          <m:t>i</m:t>
        </m:r>
      </m:oMath>
      <w:r w:rsidRPr="00EF255B">
        <w:t>个钻孔的位置坐标；</w:t>
      </w:r>
      <w:r w:rsidR="00021800" w:rsidRPr="00021800">
        <w:rPr>
          <w:position w:val="-12"/>
        </w:rPr>
        <w:object w:dxaOrig="220" w:dyaOrig="360" w14:anchorId="1CDD52C5">
          <v:shape id="_x0000_i1034" type="#_x0000_t75" style="width:10.65pt;height:18pt" o:ole="">
            <v:imagedata r:id="rId30" o:title=""/>
          </v:shape>
          <o:OLEObject Type="Embed" ProgID="Equation.DSMT4" ShapeID="_x0000_i1034" DrawAspect="Content" ObjectID="_1840029935" r:id="rId31"/>
        </w:object>
      </w:r>
      <w:r w:rsidRPr="00EF255B">
        <w:t>为对应煤层厚度或其他地质属性值。</w:t>
      </w:r>
      <w:r w:rsidR="00021800" w:rsidRPr="00021800">
        <w:rPr>
          <w:position w:val="-6"/>
        </w:rPr>
        <w:object w:dxaOrig="200" w:dyaOrig="220" w14:anchorId="335FE99C">
          <v:shape id="_x0000_i1035" type="#_x0000_t75" style="width:10pt;height:10.65pt" o:ole="">
            <v:imagedata r:id="rId32" o:title=""/>
          </v:shape>
          <o:OLEObject Type="Embed" ProgID="Equation.DSMT4" ShapeID="_x0000_i1035" DrawAspect="Content" ObjectID="_1840029936" r:id="rId33"/>
        </w:object>
      </w:r>
      <w:r w:rsidR="00021800" w:rsidRPr="00021800">
        <w:t>为钻孔数量。</w:t>
      </w:r>
    </w:p>
    <w:p w14:paraId="79CAFC9F" w14:textId="2949C593" w:rsidR="00021800" w:rsidRDefault="00021800" w:rsidP="00021800">
      <w:pPr>
        <w:pStyle w:val="100"/>
        <w:ind w:firstLine="420"/>
      </w:pPr>
      <w:r w:rsidRPr="00021800">
        <w:t>规划域内任意位置</w:t>
      </w:r>
      <w:r w:rsidRPr="00021800">
        <w:t xml:space="preserve"> </w:t>
      </w:r>
      <m:oMath>
        <m:r>
          <w:rPr>
            <w:rFonts w:ascii="Cambria Math" w:hAnsi="Cambria Math"/>
          </w:rPr>
          <m:t>x</m:t>
        </m:r>
      </m:oMath>
      <w:r w:rsidRPr="00021800">
        <w:t>处的煤层厚度估计值可表示为：</w:t>
      </w:r>
    </w:p>
    <w:p w14:paraId="0E254FA1" w14:textId="54569B34" w:rsidR="00021800" w:rsidRDefault="00021800" w:rsidP="00021800">
      <w:pPr>
        <w:pStyle w:val="MTDisplayEquation"/>
        <w:ind w:firstLineChars="0" w:firstLine="0"/>
      </w:pPr>
      <w:r>
        <w:lastRenderedPageBreak/>
        <w:tab/>
      </w:r>
      <w:r w:rsidRPr="00021800">
        <w:rPr>
          <w:position w:val="-28"/>
        </w:rPr>
        <w:object w:dxaOrig="1579" w:dyaOrig="680" w14:anchorId="193FDBED">
          <v:shape id="_x0000_i1036" type="#_x0000_t75" style="width:79.35pt;height:34pt" o:ole="">
            <v:imagedata r:id="rId34" o:title=""/>
          </v:shape>
          <o:OLEObject Type="Embed" ProgID="Equation.DSMT4" ShapeID="_x0000_i1036" DrawAspect="Content" ObjectID="_1840029937"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3</w:instrText>
        </w:r>
      </w:fldSimple>
      <w:r>
        <w:instrText>)</w:instrText>
      </w:r>
      <w:r>
        <w:fldChar w:fldCharType="end"/>
      </w:r>
    </w:p>
    <w:p w14:paraId="7EC2A856" w14:textId="659F669E" w:rsidR="00021800" w:rsidRPr="00021800" w:rsidRDefault="00021800" w:rsidP="00021800">
      <w:pPr>
        <w:pStyle w:val="100"/>
        <w:ind w:firstLine="420"/>
      </w:pPr>
      <w:r w:rsidRPr="00021800">
        <w:t>式中：</w:t>
      </w:r>
      <w:r w:rsidRPr="00021800">
        <w:rPr>
          <w:position w:val="-10"/>
        </w:rPr>
        <w:object w:dxaOrig="499" w:dyaOrig="380" w14:anchorId="3CE033C3">
          <v:shape id="_x0000_i1037" type="#_x0000_t75" style="width:25.35pt;height:19.35pt" o:ole="">
            <v:imagedata r:id="rId36" o:title=""/>
          </v:shape>
          <o:OLEObject Type="Embed" ProgID="Equation.DSMT4" ShapeID="_x0000_i1037" DrawAspect="Content" ObjectID="_1840029938" r:id="rId37"/>
        </w:object>
      </w:r>
      <w:r w:rsidRPr="00021800">
        <w:t>为位置</w:t>
      </w:r>
      <w:r w:rsidRPr="00021800">
        <w:t xml:space="preserve"> </w:t>
      </w:r>
      <m:oMath>
        <m:r>
          <w:rPr>
            <w:rFonts w:ascii="Cambria Math" w:hAnsi="Cambria Math"/>
          </w:rPr>
          <m:t>x</m:t>
        </m:r>
      </m:oMath>
      <w:r w:rsidRPr="00021800">
        <w:t>处的煤层厚度估计值；</w:t>
      </w:r>
      <w:r w:rsidRPr="00021800">
        <w:rPr>
          <w:position w:val="-12"/>
        </w:rPr>
        <w:object w:dxaOrig="560" w:dyaOrig="360" w14:anchorId="5B594263">
          <v:shape id="_x0000_i1038" type="#_x0000_t75" style="width:28pt;height:18pt" o:ole="">
            <v:imagedata r:id="rId38" o:title=""/>
          </v:shape>
          <o:OLEObject Type="Embed" ProgID="Equation.DSMT4" ShapeID="_x0000_i1038" DrawAspect="Content" ObjectID="_1840029939" r:id="rId39"/>
        </w:object>
      </w:r>
      <w:r w:rsidRPr="00021800">
        <w:t>为第</w:t>
      </w:r>
      <m:oMath>
        <m:r>
          <w:rPr>
            <w:rFonts w:ascii="Cambria Math" w:hAnsi="Cambria Math"/>
          </w:rPr>
          <m:t>i</m:t>
        </m:r>
      </m:oMath>
      <w:r w:rsidRPr="00021800">
        <w:t>个钻孔样点对位置</w:t>
      </w:r>
      <m:oMath>
        <m:r>
          <w:rPr>
            <w:rFonts w:ascii="Cambria Math" w:hAnsi="Cambria Math"/>
          </w:rPr>
          <m:t>x</m:t>
        </m:r>
      </m:oMath>
      <w:r w:rsidRPr="00021800">
        <w:t>的空间权重，且满足</w:t>
      </w:r>
      <w:r w:rsidRPr="00021800">
        <w:rPr>
          <w:position w:val="-28"/>
        </w:rPr>
        <w:object w:dxaOrig="1120" w:dyaOrig="680" w14:anchorId="309CBBD2">
          <v:shape id="_x0000_i1039" type="#_x0000_t75" style="width:56pt;height:34pt" o:ole="">
            <v:imagedata r:id="rId40" o:title=""/>
          </v:shape>
          <o:OLEObject Type="Embed" ProgID="Equation.DSMT4" ShapeID="_x0000_i1039" DrawAspect="Content" ObjectID="_1840029940" r:id="rId41"/>
        </w:object>
      </w:r>
      <w:r w:rsidRPr="00021800">
        <w:t>。</w:t>
      </w:r>
    </w:p>
    <w:p w14:paraId="0CC0E54E" w14:textId="35919BD8" w:rsidR="00021800" w:rsidRDefault="003B394F" w:rsidP="00021800">
      <w:pPr>
        <w:pStyle w:val="100"/>
        <w:ind w:firstLine="420"/>
      </w:pPr>
      <w:r>
        <w:t>本文采用反距离加权法计算煤层厚度分布</w:t>
      </w:r>
      <w:r w:rsidR="00021800" w:rsidRPr="00021800">
        <w:t>，其权重计算为：</w:t>
      </w:r>
    </w:p>
    <w:p w14:paraId="7ABE6DFB" w14:textId="09E3C13E" w:rsidR="00021800" w:rsidRPr="00021800" w:rsidRDefault="00021800" w:rsidP="00021800">
      <w:pPr>
        <w:pStyle w:val="MTDisplayEquation"/>
        <w:ind w:firstLineChars="0" w:firstLine="0"/>
      </w:pPr>
      <w:r>
        <w:tab/>
      </w:r>
      <w:r w:rsidRPr="00021800">
        <w:rPr>
          <w:position w:val="-42"/>
        </w:rPr>
        <w:object w:dxaOrig="1660" w:dyaOrig="840" w14:anchorId="41B374DA">
          <v:shape id="_x0000_i1040" type="#_x0000_t75" style="width:82.65pt;height:42pt" o:ole="">
            <v:imagedata r:id="rId42" o:title=""/>
          </v:shape>
          <o:OLEObject Type="Embed" ProgID="Equation.DSMT4" ShapeID="_x0000_i1040" DrawAspect="Content" ObjectID="_1840029941"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4</w:instrText>
        </w:r>
      </w:fldSimple>
      <w:r>
        <w:instrText>)</w:instrText>
      </w:r>
      <w:r>
        <w:fldChar w:fldCharType="end"/>
      </w:r>
    </w:p>
    <w:p w14:paraId="4821C678" w14:textId="188297B7" w:rsidR="00021800" w:rsidRPr="00021800" w:rsidRDefault="00021800" w:rsidP="00021800">
      <w:pPr>
        <w:pStyle w:val="100"/>
        <w:ind w:firstLine="420"/>
      </w:pPr>
      <w:r w:rsidRPr="00021800">
        <w:t>式中：</w:t>
      </w:r>
      <w:r w:rsidRPr="00021800">
        <w:rPr>
          <w:position w:val="-12"/>
        </w:rPr>
        <w:object w:dxaOrig="240" w:dyaOrig="360" w14:anchorId="12B8D22C">
          <v:shape id="_x0000_i1041" type="#_x0000_t75" style="width:12pt;height:18pt" o:ole="">
            <v:imagedata r:id="rId44" o:title=""/>
          </v:shape>
          <o:OLEObject Type="Embed" ProgID="Equation.DSMT4" ShapeID="_x0000_i1041" DrawAspect="Content" ObjectID="_1840029942" r:id="rId45"/>
        </w:object>
      </w:r>
      <w:r w:rsidRPr="00021800">
        <w:t>为位置</w:t>
      </w:r>
      <m:oMath>
        <m:r>
          <w:rPr>
            <w:rFonts w:ascii="Cambria Math" w:hAnsi="Cambria Math"/>
          </w:rPr>
          <m:t>x</m:t>
        </m:r>
      </m:oMath>
      <w:r w:rsidRPr="00021800">
        <w:t>到第</w:t>
      </w:r>
      <m:oMath>
        <m:r>
          <w:rPr>
            <w:rFonts w:ascii="Cambria Math" w:hAnsi="Cambria Math"/>
          </w:rPr>
          <m:t>i</m:t>
        </m:r>
      </m:oMath>
      <w:r w:rsidRPr="00021800">
        <w:t>个钻孔样点的距离；</w:t>
      </w:r>
      <m:oMath>
        <m:r>
          <w:rPr>
            <w:rFonts w:ascii="Cambria Math" w:hAnsi="Cambria Math"/>
          </w:rPr>
          <m:t>p</m:t>
        </m:r>
      </m:oMath>
      <w:r w:rsidRPr="00021800">
        <w:t xml:space="preserve"> </w:t>
      </w:r>
      <w:r w:rsidRPr="00021800">
        <w:t>为距离衰减指数。</w:t>
      </w:r>
    </w:p>
    <w:p w14:paraId="52C7C48E" w14:textId="1D86CFD5" w:rsidR="00021800" w:rsidRPr="00021800" w:rsidRDefault="00404D0C" w:rsidP="00021800">
      <w:pPr>
        <w:pStyle w:val="100"/>
        <w:ind w:firstLine="420"/>
      </w:pPr>
      <w:r w:rsidRPr="00404D0C">
        <w:t>反距离加权法参数较少、计算效率较高，适合在采区规划阶段快速形成煤厚分布结果。本文采用该方法的目的，是将离散煤厚信息转化为可统计的资源属性，用于比较不同工作面方案覆盖的煤厚资源差异。需要说明的是，在钻孔分布不均、断层发育或煤层结构变化较强的区域，</w:t>
      </w:r>
      <w:r w:rsidRPr="00404D0C">
        <w:t>IDW</w:t>
      </w:r>
      <w:r w:rsidRPr="00404D0C">
        <w:t>方法可能弱化局部突变特征，或使钻孔附近的煤厚值影响范围过于集中；此时可进一步采用普通克里金、协同克里金或构造约束插值方法提高煤厚分布表达精度。</w:t>
      </w:r>
    </w:p>
    <w:p w14:paraId="7AF89C98" w14:textId="6F6B69EE" w:rsidR="00F10457" w:rsidRPr="00F10457" w:rsidRDefault="00F10457" w:rsidP="00DF00E8">
      <w:pPr>
        <w:pStyle w:val="12"/>
      </w:pPr>
      <w:r w:rsidRPr="00F10457">
        <w:t xml:space="preserve">2.2 </w:t>
      </w:r>
      <w:r w:rsidR="0037587A" w:rsidRPr="0037587A">
        <w:t>采动扰动强弱评价与</w:t>
      </w:r>
      <w:r w:rsidR="0037587A" w:rsidRPr="0037587A">
        <w:t>ODI</w:t>
      </w:r>
      <w:r w:rsidR="0037587A" w:rsidRPr="0037587A">
        <w:t>指标</w:t>
      </w:r>
    </w:p>
    <w:p w14:paraId="14435C05" w14:textId="77777777" w:rsidR="0037587A" w:rsidRPr="0037587A" w:rsidRDefault="0037587A" w:rsidP="0037587A">
      <w:pPr>
        <w:pStyle w:val="100"/>
        <w:ind w:firstLine="420"/>
      </w:pPr>
      <w:r w:rsidRPr="0037587A">
        <w:t>工作面开采后产生的影响并不只表现为地表</w:t>
      </w:r>
      <w:r w:rsidRPr="0037587A">
        <w:t>沉陷。对于采区规划而言，还需要关注导水裂隙带发育、含水层受扰以及上行开采条件下的覆岩再扰动等问题。这些问题都与采动引起的覆岩响应有关，但各自关注重点不同：地表沉陷主要反映覆岩移动及地表变形影响；含水层扰动主要与导水裂隙带高度、隔水层厚度和含水层敏感性有关；上行开采则更关注上覆岩层在再次扰动条件下的稳定性和安全边界。</w:t>
      </w:r>
    </w:p>
    <w:p w14:paraId="153A94CA" w14:textId="77777777" w:rsidR="00495807" w:rsidRPr="00495807" w:rsidRDefault="00495807" w:rsidP="00495807">
      <w:pPr>
        <w:pStyle w:val="100"/>
        <w:ind w:firstLine="420"/>
      </w:pPr>
      <w:r w:rsidRPr="00495807">
        <w:t>如果分别使用不同指标评价这些问题，工作面方案之间就很难进行统一比较。例如，一个方案可能对地表沉陷影响较小，但靠近含水层受扰风险较高的区域；另一个方案资源覆盖较高，但上覆岩层稳定性校核压力较大。为便于在采区规划阶段比较不同方案，本文提出综合覆岩扰动指数（</w:t>
      </w:r>
      <w:r w:rsidRPr="00495807">
        <w:t>overburden disturbance index</w:t>
      </w:r>
      <w:r w:rsidRPr="00495807">
        <w:t>，</w:t>
      </w:r>
      <w:r w:rsidRPr="00495807">
        <w:t>ODI</w:t>
      </w:r>
      <w:r w:rsidRPr="00495807">
        <w:t>）。</w:t>
      </w:r>
      <w:r w:rsidRPr="00495807">
        <w:t>ODI</w:t>
      </w:r>
      <w:r w:rsidRPr="00495807">
        <w:t>将地表沉陷、含水层扰动和上行开采影响归一化后加权叠加，形成</w:t>
      </w:r>
      <w:r w:rsidRPr="00495807">
        <w:t>0</w:t>
      </w:r>
      <w:r w:rsidRPr="00495807">
        <w:t>～</w:t>
      </w:r>
      <w:r w:rsidRPr="00495807">
        <w:t>1</w:t>
      </w:r>
      <w:r w:rsidRPr="00495807">
        <w:t>之间的综合指标。</w:t>
      </w:r>
      <w:r w:rsidRPr="00495807">
        <w:t>ODI</w:t>
      </w:r>
      <w:r w:rsidRPr="00495807">
        <w:t>值越大，表示该位置采动扰动越强，在工作面布置时越需要避让或进一步复核。</w:t>
      </w:r>
    </w:p>
    <w:p w14:paraId="036AC39C" w14:textId="77777777" w:rsidR="00495807" w:rsidRPr="00495807" w:rsidRDefault="00495807" w:rsidP="00495807">
      <w:pPr>
        <w:pStyle w:val="100"/>
        <w:ind w:firstLine="420"/>
      </w:pPr>
      <w:r w:rsidRPr="00495807">
        <w:t>为说明</w:t>
      </w:r>
      <w:r w:rsidRPr="00495807">
        <w:t>ODI</w:t>
      </w:r>
      <w:r w:rsidRPr="00495807">
        <w:t>的构建来源及其在不同采动扰动场景中的应用关系，结合前期覆岩扰动量化指标体系和多场景权重调配方法，建立</w:t>
      </w:r>
      <w:r w:rsidRPr="00495807">
        <w:t>ODI</w:t>
      </w:r>
      <w:r w:rsidRPr="00495807">
        <w:t>物理基础与多场景采动扰动评价框架，如图</w:t>
      </w:r>
      <w:r w:rsidRPr="00495807">
        <w:t>2</w:t>
      </w:r>
      <w:r w:rsidRPr="00495807">
        <w:t>所示。</w:t>
      </w:r>
    </w:p>
    <w:p w14:paraId="7AE5AF47" w14:textId="02731D60" w:rsidR="005E0AE3" w:rsidRDefault="005E0AE3" w:rsidP="005E0AE3">
      <w:pPr>
        <w:pStyle w:val="100"/>
        <w:ind w:firstLine="420"/>
      </w:pPr>
      <w:r w:rsidRPr="005E0AE3">
        <w:t>。</w:t>
      </w:r>
    </w:p>
    <w:p w14:paraId="7401859B" w14:textId="77777777" w:rsidR="005E0AE3" w:rsidRPr="00495807" w:rsidRDefault="005E0AE3" w:rsidP="005E0AE3">
      <w:pPr>
        <w:pStyle w:val="aff"/>
        <w:sectPr w:rsidR="005E0AE3" w:rsidRPr="00495807" w:rsidSect="003F477A">
          <w:type w:val="continuous"/>
          <w:pgSz w:w="11906" w:h="16838"/>
          <w:pgMar w:top="1418" w:right="1134" w:bottom="1134" w:left="1134" w:header="720" w:footer="720" w:gutter="0"/>
          <w:cols w:num="2" w:space="720"/>
          <w:docGrid w:linePitch="598"/>
        </w:sectPr>
      </w:pPr>
    </w:p>
    <w:p w14:paraId="2F61B766" w14:textId="26F54F9B" w:rsidR="005E0AE3" w:rsidRDefault="00495807" w:rsidP="005E0AE3">
      <w:pPr>
        <w:pStyle w:val="aff"/>
      </w:pPr>
      <w:r w:rsidRPr="001D1AC1">
        <w:rPr>
          <w:noProof/>
        </w:rPr>
        <w:drawing>
          <wp:inline distT="0" distB="0" distL="0" distR="0" wp14:anchorId="2BFBC32E" wp14:editId="409C0294">
            <wp:extent cx="5778000" cy="2827879"/>
            <wp:effectExtent l="0" t="0" r="0" b="0"/>
            <wp:docPr id="4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8000" cy="2827879"/>
                    </a:xfrm>
                    <a:prstGeom prst="rect">
                      <a:avLst/>
                    </a:prstGeom>
                    <a:noFill/>
                    <a:ln>
                      <a:noFill/>
                    </a:ln>
                  </pic:spPr>
                </pic:pic>
              </a:graphicData>
            </a:graphic>
          </wp:inline>
        </w:drawing>
      </w:r>
    </w:p>
    <w:p w14:paraId="52C58E3C" w14:textId="0B3836B7" w:rsidR="005E0AE3" w:rsidRDefault="005E0AE3" w:rsidP="005E0AE3">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2</w:t>
      </w:r>
      <w:r>
        <w:fldChar w:fldCharType="end"/>
      </w:r>
      <w:r>
        <w:rPr>
          <w:rFonts w:hint="eastAsia"/>
        </w:rPr>
        <w:t xml:space="preserve"> </w:t>
      </w:r>
      <w:r w:rsidR="003B394F" w:rsidRPr="003B394F">
        <w:t>ODI</w:t>
      </w:r>
      <w:r w:rsidR="003B394F" w:rsidRPr="003B394F">
        <w:t>物理基础与多场景采动扰动评价框架</w:t>
      </w:r>
    </w:p>
    <w:p w14:paraId="7FEE66E4" w14:textId="2F872D88" w:rsidR="005E0AE3" w:rsidRPr="00210CE2" w:rsidRDefault="005E0AE3" w:rsidP="005E0AE3">
      <w:pPr>
        <w:pStyle w:val="100"/>
        <w:ind w:firstLine="420"/>
      </w:pPr>
      <w:r w:rsidRPr="00ED29A2">
        <w:t>Fig.</w:t>
      </w:r>
      <w:r>
        <w:rPr>
          <w:rFonts w:hint="eastAsia"/>
        </w:rPr>
        <w:t>2</w:t>
      </w:r>
      <w:r w:rsidRPr="00ED29A2">
        <w:t xml:space="preserve"> </w:t>
      </w:r>
      <w:r w:rsidR="003B394F" w:rsidRPr="003B394F">
        <w:t>Physical basis of ODI and multi-scenario mining-induced disturbance evaluation framework</w:t>
      </w:r>
    </w:p>
    <w:p w14:paraId="796F8E6E" w14:textId="77777777" w:rsidR="005E0AE3" w:rsidRDefault="005E0AE3" w:rsidP="005E0AE3">
      <w:pPr>
        <w:pStyle w:val="100"/>
        <w:ind w:firstLineChars="0" w:firstLine="0"/>
        <w:sectPr w:rsidR="005E0AE3" w:rsidSect="005E0AE3">
          <w:type w:val="continuous"/>
          <w:pgSz w:w="11906" w:h="16838"/>
          <w:pgMar w:top="1418" w:right="1134" w:bottom="1134" w:left="1134" w:header="720" w:footer="720" w:gutter="0"/>
          <w:cols w:space="720"/>
          <w:docGrid w:linePitch="598"/>
        </w:sectPr>
      </w:pPr>
    </w:p>
    <w:p w14:paraId="1E0A4714" w14:textId="77777777" w:rsidR="00495807" w:rsidRPr="00495807" w:rsidRDefault="00495807" w:rsidP="00495807">
      <w:pPr>
        <w:pStyle w:val="100"/>
        <w:ind w:firstLine="420"/>
      </w:pPr>
      <w:r w:rsidRPr="00495807">
        <w:t>由图</w:t>
      </w:r>
      <w:r w:rsidRPr="00495807">
        <w:t>2</w:t>
      </w:r>
      <w:r w:rsidRPr="00495807">
        <w:t>可见，</w:t>
      </w:r>
      <w:r w:rsidRPr="00495807">
        <w:t>ODI</w:t>
      </w:r>
      <w:r w:rsidRPr="00495807">
        <w:t>的构建并不是单一指标的简单叠加，而是以地质因素和开采因素为输入，通过位移响应、力学响应和裂隙发育响应等指标</w:t>
      </w:r>
      <w:r w:rsidRPr="00495807">
        <w:t>表征采动作用下的覆岩扰动强弱。在不同评价场景下，可根据地表沉陷控制、含水层保护和上行开采安全等目标，对相关指标和权重进行调整，使</w:t>
      </w:r>
      <w:r w:rsidRPr="00495807">
        <w:lastRenderedPageBreak/>
        <w:t>ODI</w:t>
      </w:r>
      <w:r w:rsidRPr="00495807">
        <w:t>能够反映不同工程问题下的主控扰动特征。</w:t>
      </w:r>
    </w:p>
    <w:p w14:paraId="0B559AAB" w14:textId="77777777" w:rsidR="00495807" w:rsidRDefault="00495807" w:rsidP="00495807">
      <w:pPr>
        <w:pStyle w:val="100"/>
        <w:ind w:firstLine="420"/>
      </w:pPr>
      <w:r w:rsidRPr="00495807">
        <w:t>在采区规划应用中，</w:t>
      </w:r>
      <w:r w:rsidRPr="00495807">
        <w:t>ODI</w:t>
      </w:r>
      <w:r w:rsidRPr="00495807">
        <w:t>进一步转化为空间图层，用于识别中高扰动区域，并统计工作面方案覆盖范围内的</w:t>
      </w:r>
      <w:r w:rsidRPr="00495807">
        <w:t>ODI</w:t>
      </w:r>
      <w:r w:rsidRPr="00495807">
        <w:t>均值、</w:t>
      </w:r>
      <w:r w:rsidRPr="00495807">
        <w:t>P90</w:t>
      </w:r>
      <w:r w:rsidRPr="00495807">
        <w:t>和超阈值比例。这样可以把原本分散的沉陷、水害和上行开采安全问题转化为可比较的方案指标，为后续工作面布置方案评价提供依据。</w:t>
      </w:r>
    </w:p>
    <w:p w14:paraId="1A300B70" w14:textId="50923D02" w:rsidR="00495807" w:rsidRDefault="00495807" w:rsidP="00495807">
      <w:pPr>
        <w:pStyle w:val="100"/>
        <w:ind w:firstLine="420"/>
      </w:pPr>
      <w:r w:rsidRPr="00495807">
        <w:t>由于</w:t>
      </w:r>
      <w:r w:rsidRPr="00495807">
        <w:t>ODI</w:t>
      </w:r>
      <w:r w:rsidRPr="00495807">
        <w:t>为</w:t>
      </w:r>
      <w:r w:rsidRPr="00495807">
        <w:t>0</w:t>
      </w:r>
      <w:r w:rsidRPr="00495807">
        <w:t>～</w:t>
      </w:r>
      <w:r w:rsidRPr="00495807">
        <w:t>1</w:t>
      </w:r>
      <w:r w:rsidRPr="00495807">
        <w:t>之间的综合扰动指标，其数值大小需要结合采区规划目标进行解释。本文根据前期覆岩扰动分级结果、含水层扰动评价结果及规划阶段方案筛选需求，将</w:t>
      </w:r>
      <w:r w:rsidRPr="00495807">
        <w:t>ODI</w:t>
      </w:r>
      <w:r w:rsidRPr="00495807">
        <w:t>划分为不同扰动水平区间，用于识别工作面布置中需要优先避让或进一步复核的区域，见表</w:t>
      </w:r>
      <w:r>
        <w:rPr>
          <w:rFonts w:hint="eastAsia"/>
        </w:rPr>
        <w:t>1</w:t>
      </w:r>
      <w:r w:rsidRPr="00495807">
        <w:t>。需要说明的是，该分级主要服务于采区规划阶段的方案比较，不直接等同于某一单项灾害的失稳判据。</w:t>
      </w:r>
    </w:p>
    <w:p w14:paraId="37EA7C82" w14:textId="2F4B1C95" w:rsidR="00495807" w:rsidRDefault="00495807" w:rsidP="00495807">
      <w:pPr>
        <w:pStyle w:val="15"/>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495807">
        <w:t>ODI</w:t>
      </w:r>
      <w:r w:rsidRPr="00495807">
        <w:t>阈值的规划含义及工程处理建议</w:t>
      </w:r>
    </w:p>
    <w:p w14:paraId="6354B0F3" w14:textId="1D6C8066" w:rsidR="00495807" w:rsidRDefault="00495807" w:rsidP="00495807">
      <w:pPr>
        <w:pStyle w:val="15"/>
      </w:pPr>
      <w:r w:rsidRPr="00495807">
        <w:t xml:space="preserve">Table </w:t>
      </w:r>
      <w:r>
        <w:rPr>
          <w:rFonts w:hint="eastAsia"/>
        </w:rPr>
        <w:t>1</w:t>
      </w:r>
      <w:r w:rsidRPr="00495807">
        <w:t xml:space="preserve"> Planning implications and engineering treatment suggestions of ODI thresholds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444"/>
        <w:gridCol w:w="1749"/>
        <w:gridCol w:w="1557"/>
      </w:tblGrid>
      <w:tr w:rsidR="00495807" w:rsidRPr="00495807" w14:paraId="2F573FB6" w14:textId="77777777" w:rsidTr="00495807">
        <w:trPr>
          <w:tblHeader/>
          <w:tblCellSpacing w:w="15" w:type="dxa"/>
        </w:trPr>
        <w:tc>
          <w:tcPr>
            <w:tcW w:w="664" w:type="dxa"/>
            <w:tcBorders>
              <w:top w:val="single" w:sz="4" w:space="0" w:color="auto"/>
              <w:bottom w:val="single" w:sz="4" w:space="0" w:color="auto"/>
            </w:tcBorders>
            <w:vAlign w:val="center"/>
            <w:hideMark/>
          </w:tcPr>
          <w:p w14:paraId="543F395A" w14:textId="77777777" w:rsidR="00495807" w:rsidRPr="00495807" w:rsidRDefault="00495807" w:rsidP="00495807">
            <w:pPr>
              <w:spacing w:beforeLines="0" w:before="0" w:afterLines="0" w:after="0"/>
              <w:jc w:val="center"/>
              <w:rPr>
                <w:rFonts w:eastAsia="宋体"/>
                <w:sz w:val="18"/>
              </w:rPr>
            </w:pPr>
            <w:r w:rsidRPr="00495807">
              <w:rPr>
                <w:rFonts w:eastAsia="宋体"/>
                <w:sz w:val="18"/>
              </w:rPr>
              <w:t>ODI</w:t>
            </w:r>
            <w:r w:rsidRPr="00495807">
              <w:rPr>
                <w:rFonts w:eastAsia="宋体"/>
                <w:sz w:val="18"/>
              </w:rPr>
              <w:t>范围</w:t>
            </w:r>
          </w:p>
        </w:tc>
        <w:tc>
          <w:tcPr>
            <w:tcW w:w="414" w:type="dxa"/>
            <w:tcBorders>
              <w:top w:val="single" w:sz="4" w:space="0" w:color="auto"/>
              <w:bottom w:val="single" w:sz="4" w:space="0" w:color="auto"/>
            </w:tcBorders>
            <w:vAlign w:val="center"/>
            <w:hideMark/>
          </w:tcPr>
          <w:p w14:paraId="18880C70" w14:textId="77777777" w:rsidR="00495807" w:rsidRPr="00495807" w:rsidRDefault="00495807" w:rsidP="00495807">
            <w:pPr>
              <w:spacing w:beforeLines="0" w:before="0" w:afterLines="0" w:after="0"/>
              <w:jc w:val="center"/>
              <w:rPr>
                <w:rFonts w:eastAsia="宋体"/>
                <w:sz w:val="18"/>
              </w:rPr>
            </w:pPr>
            <w:r w:rsidRPr="00495807">
              <w:rPr>
                <w:rFonts w:eastAsia="宋体"/>
                <w:sz w:val="18"/>
              </w:rPr>
              <w:t>扰动水平</w:t>
            </w:r>
          </w:p>
        </w:tc>
        <w:tc>
          <w:tcPr>
            <w:tcW w:w="0" w:type="auto"/>
            <w:tcBorders>
              <w:top w:val="single" w:sz="4" w:space="0" w:color="auto"/>
              <w:bottom w:val="single" w:sz="4" w:space="0" w:color="auto"/>
            </w:tcBorders>
            <w:vAlign w:val="center"/>
            <w:hideMark/>
          </w:tcPr>
          <w:p w14:paraId="3651D6E4" w14:textId="77777777" w:rsidR="00495807" w:rsidRPr="00495807" w:rsidRDefault="00495807" w:rsidP="00495807">
            <w:pPr>
              <w:spacing w:beforeLines="0" w:before="0" w:afterLines="0" w:after="0"/>
              <w:jc w:val="center"/>
              <w:rPr>
                <w:rFonts w:eastAsia="宋体"/>
                <w:sz w:val="18"/>
              </w:rPr>
            </w:pPr>
            <w:r w:rsidRPr="00495807">
              <w:rPr>
                <w:rFonts w:eastAsia="宋体"/>
                <w:sz w:val="18"/>
              </w:rPr>
              <w:t>规划含义</w:t>
            </w:r>
          </w:p>
        </w:tc>
        <w:tc>
          <w:tcPr>
            <w:tcW w:w="0" w:type="auto"/>
            <w:tcBorders>
              <w:top w:val="single" w:sz="4" w:space="0" w:color="auto"/>
              <w:bottom w:val="single" w:sz="4" w:space="0" w:color="auto"/>
            </w:tcBorders>
            <w:vAlign w:val="center"/>
            <w:hideMark/>
          </w:tcPr>
          <w:p w14:paraId="7CADB720" w14:textId="77777777" w:rsidR="00495807" w:rsidRPr="00495807" w:rsidRDefault="00495807" w:rsidP="00495807">
            <w:pPr>
              <w:spacing w:beforeLines="0" w:before="0" w:afterLines="0" w:after="0"/>
              <w:jc w:val="center"/>
              <w:rPr>
                <w:rFonts w:eastAsia="宋体"/>
                <w:sz w:val="18"/>
              </w:rPr>
            </w:pPr>
            <w:r w:rsidRPr="00495807">
              <w:rPr>
                <w:rFonts w:eastAsia="宋体"/>
                <w:sz w:val="18"/>
              </w:rPr>
              <w:t>工程处理建议</w:t>
            </w:r>
          </w:p>
        </w:tc>
      </w:tr>
      <w:tr w:rsidR="00495807" w:rsidRPr="00495807" w14:paraId="63516EA8" w14:textId="77777777" w:rsidTr="00495807">
        <w:trPr>
          <w:tblCellSpacing w:w="15" w:type="dxa"/>
        </w:trPr>
        <w:tc>
          <w:tcPr>
            <w:tcW w:w="664" w:type="dxa"/>
            <w:vAlign w:val="center"/>
            <w:hideMark/>
          </w:tcPr>
          <w:p w14:paraId="4133F0F9" w14:textId="77777777" w:rsidR="00495807" w:rsidRPr="00495807" w:rsidRDefault="00495807" w:rsidP="00495807">
            <w:pPr>
              <w:spacing w:beforeLines="0" w:before="0" w:afterLines="0" w:after="0"/>
              <w:jc w:val="center"/>
              <w:rPr>
                <w:rFonts w:eastAsia="宋体"/>
                <w:sz w:val="18"/>
              </w:rPr>
            </w:pPr>
            <w:r w:rsidRPr="00495807">
              <w:rPr>
                <w:rFonts w:eastAsia="宋体"/>
                <w:sz w:val="18"/>
              </w:rPr>
              <w:t>0</w:t>
            </w:r>
            <w:r w:rsidRPr="00495807">
              <w:rPr>
                <w:rFonts w:eastAsia="宋体"/>
                <w:sz w:val="18"/>
              </w:rPr>
              <w:t>～</w:t>
            </w:r>
            <w:r w:rsidRPr="00495807">
              <w:rPr>
                <w:rFonts w:eastAsia="宋体"/>
                <w:sz w:val="18"/>
              </w:rPr>
              <w:t>0.40</w:t>
            </w:r>
          </w:p>
        </w:tc>
        <w:tc>
          <w:tcPr>
            <w:tcW w:w="414" w:type="dxa"/>
            <w:vAlign w:val="center"/>
            <w:hideMark/>
          </w:tcPr>
          <w:p w14:paraId="00B061B8" w14:textId="77777777" w:rsidR="00495807" w:rsidRPr="00495807" w:rsidRDefault="00495807" w:rsidP="00495807">
            <w:pPr>
              <w:spacing w:beforeLines="0" w:before="0" w:afterLines="0" w:after="0"/>
              <w:jc w:val="center"/>
              <w:rPr>
                <w:rFonts w:eastAsia="宋体"/>
                <w:sz w:val="18"/>
              </w:rPr>
            </w:pPr>
            <w:r w:rsidRPr="00495807">
              <w:rPr>
                <w:rFonts w:eastAsia="宋体"/>
                <w:sz w:val="18"/>
              </w:rPr>
              <w:t>轻微</w:t>
            </w:r>
            <w:r w:rsidRPr="00495807">
              <w:rPr>
                <w:rFonts w:eastAsia="宋体"/>
                <w:sz w:val="18"/>
              </w:rPr>
              <w:t>—</w:t>
            </w:r>
            <w:r w:rsidRPr="00495807">
              <w:rPr>
                <w:rFonts w:eastAsia="宋体"/>
                <w:sz w:val="18"/>
              </w:rPr>
              <w:t>较弱扰动</w:t>
            </w:r>
          </w:p>
        </w:tc>
        <w:tc>
          <w:tcPr>
            <w:tcW w:w="0" w:type="auto"/>
            <w:vAlign w:val="center"/>
            <w:hideMark/>
          </w:tcPr>
          <w:p w14:paraId="09A17A7B" w14:textId="77777777" w:rsidR="00495807" w:rsidRPr="00495807" w:rsidRDefault="00495807" w:rsidP="00495807">
            <w:pPr>
              <w:spacing w:beforeLines="0" w:before="0" w:afterLines="0" w:after="0"/>
              <w:jc w:val="center"/>
              <w:rPr>
                <w:rFonts w:eastAsia="宋体"/>
                <w:sz w:val="18"/>
              </w:rPr>
            </w:pPr>
            <w:r w:rsidRPr="00495807">
              <w:rPr>
                <w:rFonts w:eastAsia="宋体"/>
                <w:sz w:val="18"/>
              </w:rPr>
              <w:t>覆岩响应较弱，对工作面布置约束较小</w:t>
            </w:r>
          </w:p>
        </w:tc>
        <w:tc>
          <w:tcPr>
            <w:tcW w:w="0" w:type="auto"/>
            <w:vAlign w:val="center"/>
            <w:hideMark/>
          </w:tcPr>
          <w:p w14:paraId="12E481BA" w14:textId="77777777" w:rsidR="00495807" w:rsidRPr="00495807" w:rsidRDefault="00495807" w:rsidP="00495807">
            <w:pPr>
              <w:spacing w:beforeLines="0" w:before="0" w:afterLines="0" w:after="0"/>
              <w:jc w:val="center"/>
              <w:rPr>
                <w:rFonts w:eastAsia="宋体"/>
                <w:sz w:val="18"/>
              </w:rPr>
            </w:pPr>
            <w:r w:rsidRPr="00495807">
              <w:rPr>
                <w:rFonts w:eastAsia="宋体"/>
                <w:sz w:val="18"/>
              </w:rPr>
              <w:t>可作为工作面优先布置区域</w:t>
            </w:r>
          </w:p>
        </w:tc>
      </w:tr>
      <w:tr w:rsidR="00495807" w:rsidRPr="00495807" w14:paraId="5527823E" w14:textId="77777777" w:rsidTr="00495807">
        <w:trPr>
          <w:tblCellSpacing w:w="15" w:type="dxa"/>
        </w:trPr>
        <w:tc>
          <w:tcPr>
            <w:tcW w:w="664" w:type="dxa"/>
            <w:vAlign w:val="center"/>
            <w:hideMark/>
          </w:tcPr>
          <w:p w14:paraId="460F206C" w14:textId="77777777" w:rsidR="00495807" w:rsidRPr="00495807" w:rsidRDefault="00495807" w:rsidP="00495807">
            <w:pPr>
              <w:spacing w:beforeLines="0" w:before="0" w:afterLines="0" w:after="0"/>
              <w:jc w:val="center"/>
              <w:rPr>
                <w:rFonts w:eastAsia="宋体"/>
                <w:sz w:val="18"/>
              </w:rPr>
            </w:pPr>
            <w:r w:rsidRPr="00495807">
              <w:rPr>
                <w:rFonts w:eastAsia="宋体"/>
                <w:sz w:val="18"/>
              </w:rPr>
              <w:t>0.40</w:t>
            </w:r>
            <w:r w:rsidRPr="00495807">
              <w:rPr>
                <w:rFonts w:eastAsia="宋体"/>
                <w:sz w:val="18"/>
              </w:rPr>
              <w:t>～</w:t>
            </w:r>
            <w:r w:rsidRPr="00495807">
              <w:rPr>
                <w:rFonts w:eastAsia="宋体"/>
                <w:sz w:val="18"/>
              </w:rPr>
              <w:t>0.60</w:t>
            </w:r>
          </w:p>
        </w:tc>
        <w:tc>
          <w:tcPr>
            <w:tcW w:w="414" w:type="dxa"/>
            <w:vAlign w:val="center"/>
            <w:hideMark/>
          </w:tcPr>
          <w:p w14:paraId="4D5BBB48" w14:textId="77777777" w:rsidR="00495807" w:rsidRPr="00495807" w:rsidRDefault="00495807" w:rsidP="00495807">
            <w:pPr>
              <w:spacing w:beforeLines="0" w:before="0" w:afterLines="0" w:after="0"/>
              <w:jc w:val="center"/>
              <w:rPr>
                <w:rFonts w:eastAsia="宋体"/>
                <w:sz w:val="18"/>
              </w:rPr>
            </w:pPr>
            <w:r w:rsidRPr="00495807">
              <w:rPr>
                <w:rFonts w:eastAsia="宋体"/>
                <w:sz w:val="18"/>
              </w:rPr>
              <w:t>中等扰动</w:t>
            </w:r>
          </w:p>
        </w:tc>
        <w:tc>
          <w:tcPr>
            <w:tcW w:w="0" w:type="auto"/>
            <w:vAlign w:val="center"/>
            <w:hideMark/>
          </w:tcPr>
          <w:p w14:paraId="532C9026" w14:textId="77777777" w:rsidR="00495807" w:rsidRPr="00495807" w:rsidRDefault="00495807" w:rsidP="00495807">
            <w:pPr>
              <w:spacing w:beforeLines="0" w:before="0" w:afterLines="0" w:after="0"/>
              <w:jc w:val="center"/>
              <w:rPr>
                <w:rFonts w:eastAsia="宋体"/>
                <w:sz w:val="18"/>
              </w:rPr>
            </w:pPr>
            <w:r w:rsidRPr="00495807">
              <w:rPr>
                <w:rFonts w:eastAsia="宋体"/>
                <w:sz w:val="18"/>
              </w:rPr>
              <w:t>覆岩响应处于中等水平，需结合煤厚资源和工程条件综合判断</w:t>
            </w:r>
          </w:p>
        </w:tc>
        <w:tc>
          <w:tcPr>
            <w:tcW w:w="0" w:type="auto"/>
            <w:vAlign w:val="center"/>
            <w:hideMark/>
          </w:tcPr>
          <w:p w14:paraId="6FA2D738" w14:textId="77777777" w:rsidR="00495807" w:rsidRPr="00495807" w:rsidRDefault="00495807" w:rsidP="00495807">
            <w:pPr>
              <w:spacing w:beforeLines="0" w:before="0" w:afterLines="0" w:after="0"/>
              <w:jc w:val="center"/>
              <w:rPr>
                <w:rFonts w:eastAsia="宋体"/>
                <w:sz w:val="18"/>
              </w:rPr>
            </w:pPr>
            <w:r w:rsidRPr="00495807">
              <w:rPr>
                <w:rFonts w:eastAsia="宋体"/>
                <w:sz w:val="18"/>
              </w:rPr>
              <w:t>可布置，但应结合方案指标进行复核</w:t>
            </w:r>
          </w:p>
        </w:tc>
      </w:tr>
      <w:tr w:rsidR="00495807" w:rsidRPr="00495807" w14:paraId="26C2199E" w14:textId="77777777" w:rsidTr="00495807">
        <w:trPr>
          <w:tblCellSpacing w:w="15" w:type="dxa"/>
        </w:trPr>
        <w:tc>
          <w:tcPr>
            <w:tcW w:w="664" w:type="dxa"/>
            <w:vAlign w:val="center"/>
            <w:hideMark/>
          </w:tcPr>
          <w:p w14:paraId="67BC6AF3" w14:textId="77777777" w:rsidR="00495807" w:rsidRPr="00495807" w:rsidRDefault="00495807" w:rsidP="00495807">
            <w:pPr>
              <w:spacing w:beforeLines="0" w:before="0" w:afterLines="0" w:after="0"/>
              <w:jc w:val="center"/>
              <w:rPr>
                <w:rFonts w:eastAsia="宋体"/>
                <w:sz w:val="18"/>
              </w:rPr>
            </w:pPr>
            <w:r w:rsidRPr="00495807">
              <w:rPr>
                <w:rFonts w:eastAsia="宋体"/>
                <w:sz w:val="18"/>
              </w:rPr>
              <w:t>0.60</w:t>
            </w:r>
            <w:r w:rsidRPr="00495807">
              <w:rPr>
                <w:rFonts w:eastAsia="宋体"/>
                <w:sz w:val="18"/>
              </w:rPr>
              <w:t>～</w:t>
            </w:r>
            <w:r w:rsidRPr="00495807">
              <w:rPr>
                <w:rFonts w:eastAsia="宋体"/>
                <w:sz w:val="18"/>
              </w:rPr>
              <w:t>0.70</w:t>
            </w:r>
          </w:p>
        </w:tc>
        <w:tc>
          <w:tcPr>
            <w:tcW w:w="414" w:type="dxa"/>
            <w:vAlign w:val="center"/>
            <w:hideMark/>
          </w:tcPr>
          <w:p w14:paraId="425FD1BB" w14:textId="77777777" w:rsidR="00495807" w:rsidRPr="00495807" w:rsidRDefault="00495807" w:rsidP="00495807">
            <w:pPr>
              <w:spacing w:beforeLines="0" w:before="0" w:afterLines="0" w:after="0"/>
              <w:jc w:val="center"/>
              <w:rPr>
                <w:rFonts w:eastAsia="宋体"/>
                <w:sz w:val="18"/>
              </w:rPr>
            </w:pPr>
            <w:r w:rsidRPr="00495807">
              <w:rPr>
                <w:rFonts w:eastAsia="宋体"/>
                <w:sz w:val="18"/>
              </w:rPr>
              <w:t>中等偏强扰动</w:t>
            </w:r>
          </w:p>
        </w:tc>
        <w:tc>
          <w:tcPr>
            <w:tcW w:w="0" w:type="auto"/>
            <w:vAlign w:val="center"/>
            <w:hideMark/>
          </w:tcPr>
          <w:p w14:paraId="70FDCA86" w14:textId="77777777" w:rsidR="00495807" w:rsidRPr="00495807" w:rsidRDefault="00495807" w:rsidP="00495807">
            <w:pPr>
              <w:spacing w:beforeLines="0" w:before="0" w:afterLines="0" w:after="0"/>
              <w:jc w:val="center"/>
              <w:rPr>
                <w:rFonts w:eastAsia="宋体"/>
                <w:sz w:val="18"/>
              </w:rPr>
            </w:pPr>
            <w:r w:rsidRPr="00495807">
              <w:rPr>
                <w:rFonts w:eastAsia="宋体"/>
                <w:sz w:val="18"/>
              </w:rPr>
              <w:t>局部扰动响应增强，接近中高扰动统计范围</w:t>
            </w:r>
          </w:p>
        </w:tc>
        <w:tc>
          <w:tcPr>
            <w:tcW w:w="0" w:type="auto"/>
            <w:vAlign w:val="center"/>
            <w:hideMark/>
          </w:tcPr>
          <w:p w14:paraId="534F5D7B" w14:textId="77777777" w:rsidR="00495807" w:rsidRPr="00495807" w:rsidRDefault="00495807" w:rsidP="00495807">
            <w:pPr>
              <w:spacing w:beforeLines="0" w:before="0" w:afterLines="0" w:after="0"/>
              <w:jc w:val="center"/>
              <w:rPr>
                <w:rFonts w:eastAsia="宋体"/>
                <w:sz w:val="18"/>
              </w:rPr>
            </w:pPr>
            <w:r w:rsidRPr="00495807">
              <w:rPr>
                <w:rFonts w:eastAsia="宋体"/>
                <w:sz w:val="18"/>
              </w:rPr>
              <w:t>不宜仅依据资源覆盖率优先布置，应结合</w:t>
            </w:r>
            <w:r w:rsidRPr="00495807">
              <w:rPr>
                <w:rFonts w:eastAsia="宋体"/>
                <w:sz w:val="18"/>
              </w:rPr>
              <w:t>ODI</w:t>
            </w:r>
            <w:r w:rsidRPr="00495807">
              <w:rPr>
                <w:rFonts w:eastAsia="宋体"/>
                <w:sz w:val="18"/>
              </w:rPr>
              <w:t>均值和</w:t>
            </w:r>
            <w:r w:rsidRPr="00495807">
              <w:rPr>
                <w:rFonts w:eastAsia="宋体"/>
                <w:sz w:val="18"/>
              </w:rPr>
              <w:t>P90</w:t>
            </w:r>
            <w:r w:rsidRPr="00495807">
              <w:rPr>
                <w:rFonts w:eastAsia="宋体"/>
                <w:sz w:val="18"/>
              </w:rPr>
              <w:t>判断</w:t>
            </w:r>
          </w:p>
        </w:tc>
      </w:tr>
      <w:tr w:rsidR="00495807" w:rsidRPr="00495807" w14:paraId="2C6339D9" w14:textId="77777777" w:rsidTr="00495807">
        <w:trPr>
          <w:tblCellSpacing w:w="15" w:type="dxa"/>
        </w:trPr>
        <w:tc>
          <w:tcPr>
            <w:tcW w:w="664" w:type="dxa"/>
            <w:vAlign w:val="center"/>
            <w:hideMark/>
          </w:tcPr>
          <w:p w14:paraId="7F5D8561" w14:textId="77777777" w:rsidR="00495807" w:rsidRPr="00495807" w:rsidRDefault="00495807" w:rsidP="00495807">
            <w:pPr>
              <w:spacing w:beforeLines="0" w:before="0" w:afterLines="0" w:after="0"/>
              <w:jc w:val="center"/>
              <w:rPr>
                <w:rFonts w:eastAsia="宋体"/>
                <w:sz w:val="18"/>
              </w:rPr>
            </w:pPr>
            <w:r w:rsidRPr="00495807">
              <w:rPr>
                <w:rFonts w:eastAsia="宋体"/>
                <w:sz w:val="18"/>
              </w:rPr>
              <w:t>0.70</w:t>
            </w:r>
            <w:r w:rsidRPr="00495807">
              <w:rPr>
                <w:rFonts w:eastAsia="宋体"/>
                <w:sz w:val="18"/>
              </w:rPr>
              <w:t>～</w:t>
            </w:r>
            <w:r w:rsidRPr="00495807">
              <w:rPr>
                <w:rFonts w:eastAsia="宋体"/>
                <w:sz w:val="18"/>
              </w:rPr>
              <w:t>0.80</w:t>
            </w:r>
          </w:p>
        </w:tc>
        <w:tc>
          <w:tcPr>
            <w:tcW w:w="414" w:type="dxa"/>
            <w:vAlign w:val="center"/>
            <w:hideMark/>
          </w:tcPr>
          <w:p w14:paraId="41D2E947" w14:textId="77777777" w:rsidR="00495807" w:rsidRPr="00495807" w:rsidRDefault="00495807" w:rsidP="00495807">
            <w:pPr>
              <w:spacing w:beforeLines="0" w:before="0" w:afterLines="0" w:after="0"/>
              <w:jc w:val="center"/>
              <w:rPr>
                <w:rFonts w:eastAsia="宋体"/>
                <w:sz w:val="18"/>
              </w:rPr>
            </w:pPr>
            <w:r w:rsidRPr="00495807">
              <w:rPr>
                <w:rFonts w:eastAsia="宋体"/>
                <w:sz w:val="18"/>
              </w:rPr>
              <w:t>中高扰动</w:t>
            </w:r>
          </w:p>
        </w:tc>
        <w:tc>
          <w:tcPr>
            <w:tcW w:w="0" w:type="auto"/>
            <w:vAlign w:val="center"/>
            <w:hideMark/>
          </w:tcPr>
          <w:p w14:paraId="534C1931" w14:textId="77777777" w:rsidR="00495807" w:rsidRPr="00495807" w:rsidRDefault="00495807" w:rsidP="00495807">
            <w:pPr>
              <w:spacing w:beforeLines="0" w:before="0" w:afterLines="0" w:after="0"/>
              <w:jc w:val="center"/>
              <w:rPr>
                <w:rFonts w:eastAsia="宋体"/>
                <w:sz w:val="18"/>
              </w:rPr>
            </w:pPr>
            <w:r w:rsidRPr="00495807">
              <w:rPr>
                <w:rFonts w:eastAsia="宋体"/>
                <w:sz w:val="18"/>
              </w:rPr>
              <w:t>可能在沉陷、裂隙发育或上覆岩层稳定性方面表现出不利响应</w:t>
            </w:r>
          </w:p>
        </w:tc>
        <w:tc>
          <w:tcPr>
            <w:tcW w:w="0" w:type="auto"/>
            <w:vAlign w:val="center"/>
            <w:hideMark/>
          </w:tcPr>
          <w:p w14:paraId="296F42D2" w14:textId="77777777" w:rsidR="00495807" w:rsidRPr="00495807" w:rsidRDefault="00495807" w:rsidP="00495807">
            <w:pPr>
              <w:spacing w:beforeLines="0" w:before="0" w:afterLines="0" w:after="0"/>
              <w:jc w:val="center"/>
              <w:rPr>
                <w:rFonts w:eastAsia="宋体"/>
                <w:sz w:val="18"/>
              </w:rPr>
            </w:pPr>
            <w:r w:rsidRPr="00495807">
              <w:rPr>
                <w:rFonts w:eastAsia="宋体"/>
                <w:sz w:val="18"/>
              </w:rPr>
              <w:t>工作面布置时应优先避让，确需布置时应开展专项复核</w:t>
            </w:r>
          </w:p>
        </w:tc>
      </w:tr>
      <w:tr w:rsidR="00495807" w:rsidRPr="00495807" w14:paraId="6D6E5046" w14:textId="77777777" w:rsidTr="00495807">
        <w:trPr>
          <w:tblCellSpacing w:w="15" w:type="dxa"/>
        </w:trPr>
        <w:tc>
          <w:tcPr>
            <w:tcW w:w="664" w:type="dxa"/>
            <w:vAlign w:val="center"/>
            <w:hideMark/>
          </w:tcPr>
          <w:p w14:paraId="75AEFF36" w14:textId="77777777" w:rsidR="00495807" w:rsidRPr="00495807" w:rsidRDefault="00495807" w:rsidP="00495807">
            <w:pPr>
              <w:spacing w:beforeLines="0" w:before="0" w:afterLines="0" w:after="0"/>
              <w:jc w:val="center"/>
              <w:rPr>
                <w:rFonts w:eastAsia="宋体"/>
                <w:sz w:val="18"/>
              </w:rPr>
            </w:pPr>
            <w:r w:rsidRPr="00495807">
              <w:rPr>
                <w:rFonts w:eastAsia="宋体"/>
                <w:sz w:val="18"/>
              </w:rPr>
              <w:t>＞</w:t>
            </w:r>
            <w:r w:rsidRPr="00495807">
              <w:rPr>
                <w:rFonts w:eastAsia="宋体"/>
                <w:sz w:val="18"/>
              </w:rPr>
              <w:t>0.80</w:t>
            </w:r>
          </w:p>
        </w:tc>
        <w:tc>
          <w:tcPr>
            <w:tcW w:w="414" w:type="dxa"/>
            <w:vAlign w:val="center"/>
            <w:hideMark/>
          </w:tcPr>
          <w:p w14:paraId="5581C276" w14:textId="77777777" w:rsidR="00495807" w:rsidRPr="00495807" w:rsidRDefault="00495807" w:rsidP="00495807">
            <w:pPr>
              <w:spacing w:beforeLines="0" w:before="0" w:afterLines="0" w:after="0"/>
              <w:jc w:val="center"/>
              <w:rPr>
                <w:rFonts w:eastAsia="宋体"/>
                <w:sz w:val="18"/>
              </w:rPr>
            </w:pPr>
            <w:r w:rsidRPr="00495807">
              <w:rPr>
                <w:rFonts w:eastAsia="宋体"/>
                <w:sz w:val="18"/>
              </w:rPr>
              <w:t>较强扰动</w:t>
            </w:r>
          </w:p>
        </w:tc>
        <w:tc>
          <w:tcPr>
            <w:tcW w:w="0" w:type="auto"/>
            <w:vAlign w:val="center"/>
            <w:hideMark/>
          </w:tcPr>
          <w:p w14:paraId="6E0E0ED8" w14:textId="77777777" w:rsidR="00495807" w:rsidRPr="00495807" w:rsidRDefault="00495807" w:rsidP="00495807">
            <w:pPr>
              <w:spacing w:beforeLines="0" w:before="0" w:afterLines="0" w:after="0"/>
              <w:jc w:val="center"/>
              <w:rPr>
                <w:rFonts w:eastAsia="宋体"/>
                <w:sz w:val="18"/>
              </w:rPr>
            </w:pPr>
            <w:r w:rsidRPr="00495807">
              <w:rPr>
                <w:rFonts w:eastAsia="宋体"/>
                <w:sz w:val="18"/>
              </w:rPr>
              <w:t>扰动水平较高，后续沉陷控制、含水层保护或上行开采安全校核压力较大</w:t>
            </w:r>
          </w:p>
        </w:tc>
        <w:tc>
          <w:tcPr>
            <w:tcW w:w="0" w:type="auto"/>
            <w:vAlign w:val="center"/>
            <w:hideMark/>
          </w:tcPr>
          <w:p w14:paraId="2C5C567A" w14:textId="77777777" w:rsidR="00495807" w:rsidRPr="00495807" w:rsidRDefault="00495807" w:rsidP="00495807">
            <w:pPr>
              <w:spacing w:beforeLines="0" w:before="0" w:afterLines="0" w:after="0"/>
              <w:jc w:val="center"/>
              <w:rPr>
                <w:rFonts w:eastAsia="宋体"/>
                <w:sz w:val="18"/>
              </w:rPr>
            </w:pPr>
            <w:r w:rsidRPr="00495807">
              <w:rPr>
                <w:rFonts w:eastAsia="宋体"/>
                <w:sz w:val="18"/>
              </w:rPr>
              <w:t>不宜作为优先布置区域，应作为重点复核对象</w:t>
            </w:r>
          </w:p>
        </w:tc>
      </w:tr>
    </w:tbl>
    <w:p w14:paraId="43A04BB5" w14:textId="20F4ED81" w:rsidR="00495807" w:rsidRPr="00495807" w:rsidRDefault="00495807" w:rsidP="00495807">
      <w:pPr>
        <w:pStyle w:val="100"/>
        <w:ind w:firstLine="420"/>
      </w:pPr>
      <w:r w:rsidRPr="00495807">
        <w:t>由表</w:t>
      </w:r>
      <w:r>
        <w:rPr>
          <w:rFonts w:hint="eastAsia"/>
        </w:rPr>
        <w:t>1</w:t>
      </w:r>
      <w:r w:rsidRPr="00495807">
        <w:t>可知，</w:t>
      </w:r>
      <w:r w:rsidRPr="00495807">
        <w:t>ODI</w:t>
      </w:r>
      <w:r w:rsidRPr="00495807">
        <w:t>＞</w:t>
      </w:r>
      <w:r w:rsidRPr="00495807">
        <w:t>0.70</w:t>
      </w:r>
      <w:r w:rsidRPr="00495807">
        <w:t>对应规划阶段的中高扰动水平，表示该区域可能在一个或多个采动扰动场景下表现出较强响应。因此，本文在后续工程应用中将</w:t>
      </w:r>
      <w:r w:rsidRPr="00495807">
        <w:t>ODI</w:t>
      </w:r>
      <w:r w:rsidRPr="00495807">
        <w:t>＞</w:t>
      </w:r>
      <w:r w:rsidRPr="00495807">
        <w:t>0.70</w:t>
      </w:r>
      <w:r w:rsidRPr="00495807">
        <w:t>作为中高扰动区域的统计阈值，用于计算候选工作面方案与扰动较强区域的重叠程度。该阈值主要用于方案筛选和规划复核提示，最终方案仍需结合地表沉陷预计、导水裂隙带高度判定、含水层保护和上行开采安全性等专项评价进一步校核。</w:t>
      </w:r>
    </w:p>
    <w:p w14:paraId="241ADE63" w14:textId="39486B0C" w:rsidR="0037587A" w:rsidRPr="0037587A" w:rsidRDefault="0037587A" w:rsidP="0037587A">
      <w:pPr>
        <w:pStyle w:val="100"/>
        <w:ind w:firstLine="420"/>
      </w:pPr>
      <w:r w:rsidRPr="0037587A">
        <w:t>本文所用</w:t>
      </w:r>
      <w:r w:rsidRPr="0037587A">
        <w:t>ODI</w:t>
      </w:r>
      <w:r w:rsidRPr="0037587A">
        <w:t>来源于前期建立的覆岩扰动强度量化指标体系。该体系以关键层控制理论为基</w:t>
      </w:r>
      <w:r w:rsidRPr="0037587A">
        <w:t>础，将地质条件和开采条件作为扰动输入因素，将位移响应、应力响应和裂隙发育响应作为覆岩扰动的主要表征维度。其中，位移响应用于反映关键层挠曲变形及其空间变化，应力响应用于反映采动应力重分布和高应力区发育，裂隙发育响应用于反映导水裂隙带高度、横向扩展及岩层结构破坏程度。因此，</w:t>
      </w:r>
      <w:r w:rsidRPr="0037587A">
        <w:t>ODI</w:t>
      </w:r>
      <w:r w:rsidRPr="0037587A">
        <w:t>并不是单纯的数学归一化结果，而是对采动引起的变形、应力和裂隙发育等响应的综合表达。</w:t>
      </w:r>
    </w:p>
    <w:p w14:paraId="50210D17" w14:textId="3E254D6A" w:rsidR="009F3BA1" w:rsidRDefault="009F3BA1" w:rsidP="009F3BA1">
      <w:pPr>
        <w:pStyle w:val="100"/>
        <w:ind w:firstLine="420"/>
      </w:pPr>
      <w:r w:rsidRPr="009F3BA1">
        <w:t>多场景覆岩扰动分量及其规划作用见表</w:t>
      </w:r>
      <w:r w:rsidR="00495807">
        <w:rPr>
          <w:rFonts w:hint="eastAsia"/>
        </w:rPr>
        <w:t>2</w:t>
      </w:r>
      <w:r w:rsidRPr="009F3BA1">
        <w:t>。</w:t>
      </w:r>
    </w:p>
    <w:p w14:paraId="588637C2" w14:textId="0661F769" w:rsidR="009F3BA1" w:rsidRDefault="009F3BA1" w:rsidP="009F3BA1">
      <w:pPr>
        <w:pStyle w:val="15"/>
      </w:pPr>
      <w:bookmarkStart w:id="2" w:name="_Ref228223867"/>
      <w:r>
        <w:rPr>
          <w:rFonts w:hint="eastAsia"/>
        </w:rPr>
        <w:t>表</w:t>
      </w:r>
      <w:r w:rsidR="00495807">
        <w:fldChar w:fldCharType="begin"/>
      </w:r>
      <w:r w:rsidR="00495807">
        <w:instrText xml:space="preserve"> </w:instrText>
      </w:r>
      <w:r w:rsidR="00495807">
        <w:rPr>
          <w:rFonts w:hint="eastAsia"/>
        </w:rPr>
        <w:instrText xml:space="preserve">SEQ </w:instrText>
      </w:r>
      <w:r w:rsidR="00495807">
        <w:rPr>
          <w:rFonts w:hint="eastAsia"/>
        </w:rPr>
        <w:instrText>表</w:instrText>
      </w:r>
      <w:r w:rsidR="00495807">
        <w:rPr>
          <w:rFonts w:hint="eastAsia"/>
        </w:rPr>
        <w:instrText xml:space="preserve"> \* ARABIC</w:instrText>
      </w:r>
      <w:r w:rsidR="00495807">
        <w:instrText xml:space="preserve"> </w:instrText>
      </w:r>
      <w:r w:rsidR="00495807">
        <w:fldChar w:fldCharType="separate"/>
      </w:r>
      <w:r w:rsidR="00495807">
        <w:rPr>
          <w:noProof/>
        </w:rPr>
        <w:t>2</w:t>
      </w:r>
      <w:r w:rsidR="00495807">
        <w:fldChar w:fldCharType="end"/>
      </w:r>
      <w:bookmarkEnd w:id="2"/>
      <w:r>
        <w:rPr>
          <w:rFonts w:hint="eastAsia"/>
        </w:rPr>
        <w:t xml:space="preserve"> </w:t>
      </w:r>
      <w:r w:rsidRPr="00EF255B">
        <w:t>多场景覆岩扰动评价对象及规划作用</w:t>
      </w:r>
    </w:p>
    <w:p w14:paraId="3015F2B5" w14:textId="545233D7" w:rsidR="009F3BA1" w:rsidRDefault="009F3BA1" w:rsidP="009F3BA1">
      <w:pPr>
        <w:pStyle w:val="15"/>
      </w:pPr>
      <w:r w:rsidRPr="00EF255B">
        <w:t xml:space="preserve">Table </w:t>
      </w:r>
      <w:r w:rsidR="00495807">
        <w:rPr>
          <w:rFonts w:hint="eastAsia"/>
        </w:rPr>
        <w:t>2</w:t>
      </w:r>
      <w:r w:rsidRPr="00EF255B">
        <w:t xml:space="preserve"> Evaluation objects and planning functions of multi-scenario overburden disturbance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024"/>
        <w:gridCol w:w="1595"/>
        <w:gridCol w:w="1235"/>
      </w:tblGrid>
      <w:tr w:rsidR="009F3BA1" w:rsidRPr="00210CE2" w14:paraId="3E4850C6" w14:textId="77777777" w:rsidTr="000238F5">
        <w:trPr>
          <w:tblHeader/>
          <w:tblCellSpacing w:w="15" w:type="dxa"/>
        </w:trPr>
        <w:tc>
          <w:tcPr>
            <w:tcW w:w="0" w:type="auto"/>
            <w:tcBorders>
              <w:top w:val="nil"/>
              <w:bottom w:val="single" w:sz="4" w:space="0" w:color="auto"/>
            </w:tcBorders>
            <w:vAlign w:val="center"/>
            <w:hideMark/>
          </w:tcPr>
          <w:p w14:paraId="550CCC70"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场景</w:t>
            </w:r>
          </w:p>
        </w:tc>
        <w:tc>
          <w:tcPr>
            <w:tcW w:w="0" w:type="auto"/>
            <w:tcBorders>
              <w:top w:val="nil"/>
              <w:bottom w:val="single" w:sz="4" w:space="0" w:color="auto"/>
            </w:tcBorders>
            <w:vAlign w:val="center"/>
            <w:hideMark/>
          </w:tcPr>
          <w:p w14:paraId="670BD7DA" w14:textId="77777777" w:rsidR="009F3BA1" w:rsidRPr="00210CE2" w:rsidRDefault="009F3BA1" w:rsidP="000238F5">
            <w:pPr>
              <w:spacing w:beforeLines="0" w:before="0" w:afterLines="0" w:after="0"/>
              <w:jc w:val="center"/>
              <w:rPr>
                <w:rFonts w:eastAsia="宋体"/>
                <w:sz w:val="18"/>
              </w:rPr>
            </w:pPr>
            <w:r w:rsidRPr="00210CE2">
              <w:rPr>
                <w:rFonts w:eastAsia="宋体"/>
                <w:sz w:val="18"/>
              </w:rPr>
              <w:t>关注对象</w:t>
            </w:r>
          </w:p>
        </w:tc>
        <w:tc>
          <w:tcPr>
            <w:tcW w:w="0" w:type="auto"/>
            <w:tcBorders>
              <w:top w:val="nil"/>
              <w:bottom w:val="single" w:sz="4" w:space="0" w:color="auto"/>
            </w:tcBorders>
            <w:vAlign w:val="center"/>
            <w:hideMark/>
          </w:tcPr>
          <w:p w14:paraId="4C64A701"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主要输入依据</w:t>
            </w:r>
          </w:p>
        </w:tc>
        <w:tc>
          <w:tcPr>
            <w:tcW w:w="0" w:type="auto"/>
            <w:tcBorders>
              <w:top w:val="nil"/>
              <w:bottom w:val="single" w:sz="4" w:space="0" w:color="auto"/>
            </w:tcBorders>
            <w:vAlign w:val="center"/>
            <w:hideMark/>
          </w:tcPr>
          <w:p w14:paraId="4C679EEA" w14:textId="77777777" w:rsidR="009F3BA1" w:rsidRPr="00210CE2" w:rsidRDefault="009F3BA1" w:rsidP="000238F5">
            <w:pPr>
              <w:spacing w:beforeLines="0" w:before="0" w:afterLines="0" w:after="0"/>
              <w:jc w:val="center"/>
              <w:rPr>
                <w:rFonts w:eastAsia="宋体"/>
                <w:sz w:val="18"/>
              </w:rPr>
            </w:pPr>
            <w:r w:rsidRPr="00210CE2">
              <w:rPr>
                <w:rFonts w:eastAsia="宋体"/>
                <w:sz w:val="18"/>
              </w:rPr>
              <w:t>规划作用</w:t>
            </w:r>
          </w:p>
        </w:tc>
      </w:tr>
      <w:tr w:rsidR="009F3BA1" w:rsidRPr="00210CE2" w14:paraId="65C5E6FE" w14:textId="77777777" w:rsidTr="000238F5">
        <w:trPr>
          <w:tblCellSpacing w:w="15" w:type="dxa"/>
        </w:trPr>
        <w:tc>
          <w:tcPr>
            <w:tcW w:w="0" w:type="auto"/>
            <w:vAlign w:val="center"/>
            <w:hideMark/>
          </w:tcPr>
          <w:p w14:paraId="774F86A1"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地表沉陷</w:t>
            </w:r>
          </w:p>
        </w:tc>
        <w:tc>
          <w:tcPr>
            <w:tcW w:w="0" w:type="auto"/>
            <w:vAlign w:val="center"/>
            <w:hideMark/>
          </w:tcPr>
          <w:p w14:paraId="40ECD25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地表移动与沉陷风险</w:t>
            </w:r>
          </w:p>
        </w:tc>
        <w:tc>
          <w:tcPr>
            <w:tcW w:w="0" w:type="auto"/>
            <w:vAlign w:val="center"/>
            <w:hideMark/>
          </w:tcPr>
          <w:p w14:paraId="584F07A2" w14:textId="77777777" w:rsidR="009F3BA1" w:rsidRPr="00210CE2" w:rsidRDefault="009F3BA1" w:rsidP="000238F5">
            <w:pPr>
              <w:spacing w:beforeLines="0" w:before="0" w:afterLines="0" w:after="0"/>
              <w:jc w:val="center"/>
              <w:rPr>
                <w:rFonts w:eastAsia="宋体"/>
                <w:sz w:val="18"/>
              </w:rPr>
            </w:pPr>
            <w:r w:rsidRPr="00210CE2">
              <w:rPr>
                <w:rFonts w:eastAsia="宋体"/>
                <w:sz w:val="18"/>
              </w:rPr>
              <w:t>沉陷预测结果、地表保护约束</w:t>
            </w:r>
          </w:p>
        </w:tc>
        <w:tc>
          <w:tcPr>
            <w:tcW w:w="0" w:type="auto"/>
            <w:vAlign w:val="center"/>
            <w:hideMark/>
          </w:tcPr>
          <w:p w14:paraId="6AE4C77D" w14:textId="77777777" w:rsidR="009F3BA1" w:rsidRPr="00210CE2" w:rsidRDefault="009F3BA1" w:rsidP="000238F5">
            <w:pPr>
              <w:spacing w:beforeLines="0" w:before="0" w:afterLines="0" w:after="0"/>
              <w:jc w:val="center"/>
              <w:rPr>
                <w:rFonts w:eastAsia="宋体"/>
                <w:sz w:val="18"/>
              </w:rPr>
            </w:pPr>
            <w:r w:rsidRPr="00210CE2">
              <w:rPr>
                <w:rFonts w:eastAsia="宋体"/>
                <w:sz w:val="18"/>
              </w:rPr>
              <w:t>约束工作面布局范围与高敏感区避让</w:t>
            </w:r>
          </w:p>
        </w:tc>
      </w:tr>
      <w:tr w:rsidR="009F3BA1" w:rsidRPr="00210CE2" w14:paraId="0C4FED35" w14:textId="77777777" w:rsidTr="000238F5">
        <w:trPr>
          <w:tblCellSpacing w:w="15" w:type="dxa"/>
        </w:trPr>
        <w:tc>
          <w:tcPr>
            <w:tcW w:w="0" w:type="auto"/>
            <w:vAlign w:val="center"/>
            <w:hideMark/>
          </w:tcPr>
          <w:p w14:paraId="743B7D5B"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含水层扰动</w:t>
            </w:r>
          </w:p>
        </w:tc>
        <w:tc>
          <w:tcPr>
            <w:tcW w:w="0" w:type="auto"/>
            <w:vAlign w:val="center"/>
            <w:hideMark/>
          </w:tcPr>
          <w:p w14:paraId="2944F928"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导水裂隙带与含水层受扰风险</w:t>
            </w:r>
          </w:p>
        </w:tc>
        <w:tc>
          <w:tcPr>
            <w:tcW w:w="0" w:type="auto"/>
            <w:vAlign w:val="center"/>
            <w:hideMark/>
          </w:tcPr>
          <w:p w14:paraId="561738F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导水裂隙带高度、含水层敏感性、隔水层条件</w:t>
            </w:r>
          </w:p>
        </w:tc>
        <w:tc>
          <w:tcPr>
            <w:tcW w:w="0" w:type="auto"/>
            <w:vAlign w:val="center"/>
            <w:hideMark/>
          </w:tcPr>
          <w:p w14:paraId="53F22A5C" w14:textId="77777777" w:rsidR="009F3BA1" w:rsidRPr="00210CE2" w:rsidRDefault="009F3BA1" w:rsidP="000238F5">
            <w:pPr>
              <w:spacing w:beforeLines="0" w:before="0" w:afterLines="0" w:after="0"/>
              <w:jc w:val="center"/>
              <w:rPr>
                <w:rFonts w:eastAsia="宋体"/>
                <w:sz w:val="18"/>
              </w:rPr>
            </w:pPr>
            <w:r w:rsidRPr="00210CE2">
              <w:rPr>
                <w:rFonts w:eastAsia="宋体"/>
                <w:sz w:val="18"/>
              </w:rPr>
              <w:t>参与风险筛选与含水层敏感区避让</w:t>
            </w:r>
          </w:p>
        </w:tc>
      </w:tr>
      <w:tr w:rsidR="009F3BA1" w:rsidRPr="00210CE2" w14:paraId="2ED89D16" w14:textId="77777777" w:rsidTr="000238F5">
        <w:trPr>
          <w:tblCellSpacing w:w="15" w:type="dxa"/>
        </w:trPr>
        <w:tc>
          <w:tcPr>
            <w:tcW w:w="0" w:type="auto"/>
            <w:vAlign w:val="center"/>
            <w:hideMark/>
          </w:tcPr>
          <w:p w14:paraId="714BBF4D"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上行开采</w:t>
            </w:r>
          </w:p>
        </w:tc>
        <w:tc>
          <w:tcPr>
            <w:tcW w:w="0" w:type="auto"/>
            <w:vAlign w:val="center"/>
            <w:hideMark/>
          </w:tcPr>
          <w:p w14:paraId="01F6DDE5"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上覆岩层再扰动与安全边界</w:t>
            </w:r>
          </w:p>
        </w:tc>
        <w:tc>
          <w:tcPr>
            <w:tcW w:w="0" w:type="auto"/>
            <w:vAlign w:val="center"/>
            <w:hideMark/>
          </w:tcPr>
          <w:p w14:paraId="76AB4379" w14:textId="77777777" w:rsidR="009F3BA1" w:rsidRPr="00210CE2" w:rsidRDefault="009F3BA1" w:rsidP="000238F5">
            <w:pPr>
              <w:spacing w:beforeLines="0" w:before="0" w:afterLines="0" w:after="0"/>
              <w:jc w:val="center"/>
              <w:rPr>
                <w:rFonts w:eastAsia="宋体"/>
                <w:sz w:val="18"/>
              </w:rPr>
            </w:pPr>
            <w:r w:rsidRPr="00210CE2">
              <w:rPr>
                <w:rFonts w:eastAsia="宋体"/>
                <w:sz w:val="18"/>
              </w:rPr>
              <w:t>采动应力、覆岩破坏特征、上行开采条件</w:t>
            </w:r>
          </w:p>
        </w:tc>
        <w:tc>
          <w:tcPr>
            <w:tcW w:w="0" w:type="auto"/>
            <w:vAlign w:val="center"/>
            <w:hideMark/>
          </w:tcPr>
          <w:p w14:paraId="23487C63" w14:textId="77777777" w:rsidR="009F3BA1" w:rsidRPr="00210CE2" w:rsidRDefault="009F3BA1" w:rsidP="000238F5">
            <w:pPr>
              <w:spacing w:beforeLines="0" w:before="0" w:afterLines="0" w:after="0"/>
              <w:jc w:val="center"/>
              <w:rPr>
                <w:rFonts w:eastAsia="宋体"/>
                <w:sz w:val="18"/>
              </w:rPr>
            </w:pPr>
            <w:r w:rsidRPr="00210CE2">
              <w:rPr>
                <w:rFonts w:eastAsia="宋体"/>
                <w:sz w:val="18"/>
              </w:rPr>
              <w:t>支撑上行开采可行性评价与约束表达</w:t>
            </w:r>
          </w:p>
        </w:tc>
      </w:tr>
      <w:tr w:rsidR="009F3BA1" w:rsidRPr="00210CE2" w14:paraId="6629F313" w14:textId="77777777" w:rsidTr="000238F5">
        <w:trPr>
          <w:tblCellSpacing w:w="15" w:type="dxa"/>
        </w:trPr>
        <w:tc>
          <w:tcPr>
            <w:tcW w:w="0" w:type="auto"/>
            <w:vAlign w:val="center"/>
            <w:hideMark/>
          </w:tcPr>
          <w:p w14:paraId="470F1488" w14:textId="77777777" w:rsidR="009F3BA1" w:rsidRPr="00210CE2" w:rsidRDefault="009F3BA1" w:rsidP="000238F5">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0" w:type="auto"/>
            <w:vAlign w:val="center"/>
            <w:hideMark/>
          </w:tcPr>
          <w:p w14:paraId="28938072" w14:textId="77777777" w:rsidR="009F3BA1" w:rsidRPr="00210CE2" w:rsidRDefault="009F3BA1" w:rsidP="000238F5">
            <w:pPr>
              <w:spacing w:beforeLines="0" w:before="0" w:afterLines="0" w:after="0"/>
              <w:jc w:val="center"/>
              <w:rPr>
                <w:rFonts w:eastAsia="宋体"/>
                <w:sz w:val="18"/>
              </w:rPr>
            </w:pPr>
            <w:r w:rsidRPr="00210CE2">
              <w:rPr>
                <w:rFonts w:eastAsia="宋体"/>
                <w:sz w:val="18"/>
              </w:rPr>
              <w:t>多场景叠加扰动</w:t>
            </w:r>
          </w:p>
        </w:tc>
        <w:tc>
          <w:tcPr>
            <w:tcW w:w="0" w:type="auto"/>
            <w:vAlign w:val="center"/>
            <w:hideMark/>
          </w:tcPr>
          <w:p w14:paraId="3DB3637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各分量归一化及权重组织结果</w:t>
            </w:r>
          </w:p>
        </w:tc>
        <w:tc>
          <w:tcPr>
            <w:tcW w:w="0" w:type="auto"/>
            <w:vAlign w:val="center"/>
            <w:hideMark/>
          </w:tcPr>
          <w:p w14:paraId="25FC9697" w14:textId="77777777" w:rsidR="009F3BA1" w:rsidRPr="00210CE2" w:rsidRDefault="009F3BA1" w:rsidP="000238F5">
            <w:pPr>
              <w:spacing w:beforeLines="0" w:before="0" w:afterLines="0" w:after="0"/>
              <w:jc w:val="center"/>
              <w:rPr>
                <w:rFonts w:eastAsia="宋体"/>
                <w:sz w:val="18"/>
              </w:rPr>
            </w:pPr>
            <w:r w:rsidRPr="00210CE2">
              <w:rPr>
                <w:rFonts w:eastAsia="宋体"/>
                <w:sz w:val="18"/>
              </w:rPr>
              <w:t>形成候选方案级风险统计指标</w:t>
            </w:r>
          </w:p>
        </w:tc>
      </w:tr>
    </w:tbl>
    <w:p w14:paraId="1C4C9639" w14:textId="349D3F6A" w:rsidR="009F3BA1" w:rsidRDefault="009F3BA1" w:rsidP="009F3BA1">
      <w:pPr>
        <w:pStyle w:val="100"/>
        <w:ind w:firstLine="420"/>
      </w:pPr>
      <w:r w:rsidRPr="009F3BA1">
        <w:t>设规划域为</w:t>
      </w:r>
      <w:r w:rsidRPr="00025957">
        <w:rPr>
          <w:position w:val="-4"/>
        </w:rPr>
        <w:object w:dxaOrig="260" w:dyaOrig="260" w14:anchorId="1E9A54F8">
          <v:shape id="_x0000_i1042" type="#_x0000_t75" style="width:13.35pt;height:13.35pt" o:ole="">
            <v:imagedata r:id="rId47" o:title=""/>
          </v:shape>
          <o:OLEObject Type="Embed" ProgID="Equation.DSMT4" ShapeID="_x0000_i1042" DrawAspect="Content" ObjectID="_1840029943" r:id="rId48"/>
        </w:object>
      </w:r>
      <w:r w:rsidRPr="009F3BA1">
        <w:t>，任意位置</w:t>
      </w:r>
      <w:r w:rsidRPr="009F3BA1">
        <w:t xml:space="preserve"> </w:t>
      </w:r>
      <m:oMath>
        <m:r>
          <w:rPr>
            <w:rFonts w:ascii="Cambria Math" w:hAnsi="Cambria Math"/>
          </w:rPr>
          <m:t>x</m:t>
        </m:r>
      </m:oMath>
      <w:r w:rsidRPr="009F3BA1">
        <w:t>处的地表沉陷扰动、含水层扰动和上行开采扰动分别为</w:t>
      </w:r>
      <w:r w:rsidRPr="009F3BA1">
        <w:rPr>
          <w:position w:val="-10"/>
        </w:rPr>
        <w:object w:dxaOrig="520" w:dyaOrig="320" w14:anchorId="7960885C">
          <v:shape id="_x0000_i1043" type="#_x0000_t75" style="width:26pt;height:16pt" o:ole="">
            <v:imagedata r:id="rId49" o:title=""/>
          </v:shape>
          <o:OLEObject Type="Embed" ProgID="Equation.DSMT4" ShapeID="_x0000_i1043" DrawAspect="Content" ObjectID="_1840029944" r:id="rId50"/>
        </w:object>
      </w:r>
      <w:r w:rsidRPr="009F3BA1">
        <w:t>、</w:t>
      </w:r>
      <w:r w:rsidRPr="009F3BA1">
        <w:rPr>
          <w:position w:val="-10"/>
        </w:rPr>
        <w:object w:dxaOrig="520" w:dyaOrig="320" w14:anchorId="181FBEE9">
          <v:shape id="_x0000_i1044" type="#_x0000_t75" style="width:26pt;height:16pt" o:ole="">
            <v:imagedata r:id="rId51" o:title=""/>
          </v:shape>
          <o:OLEObject Type="Embed" ProgID="Equation.DSMT4" ShapeID="_x0000_i1044" DrawAspect="Content" ObjectID="_1840029945" r:id="rId52"/>
        </w:object>
      </w:r>
      <w:r w:rsidRPr="009F3BA1">
        <w:t>和</w:t>
      </w:r>
      <w:r w:rsidRPr="009F3BA1">
        <w:rPr>
          <w:position w:val="-10"/>
        </w:rPr>
        <w:object w:dxaOrig="560" w:dyaOrig="320" w14:anchorId="7C464172">
          <v:shape id="_x0000_i1045" type="#_x0000_t75" style="width:28pt;height:16pt" o:ole="">
            <v:imagedata r:id="rId53" o:title=""/>
          </v:shape>
          <o:OLEObject Type="Embed" ProgID="Equation.DSMT4" ShapeID="_x0000_i1045" DrawAspect="Content" ObjectID="_1840029946" r:id="rId54"/>
        </w:object>
      </w:r>
      <w:r w:rsidRPr="009F3BA1">
        <w:t>。各分量经归一化处理后，其取值范围均为</w:t>
      </w:r>
      <w:r w:rsidRPr="009F3BA1">
        <w:t>0</w:t>
      </w:r>
      <w:r w:rsidRPr="009F3BA1">
        <w:t>～</w:t>
      </w:r>
      <w:r w:rsidRPr="009F3BA1">
        <w:t>1</w:t>
      </w:r>
      <w:r w:rsidRPr="009F3BA1">
        <w:t>，数值越大表示对应场景下扰动越强。综合覆岩扰动指数可表示为：</w:t>
      </w:r>
    </w:p>
    <w:p w14:paraId="1CD41464" w14:textId="2C129ABC" w:rsidR="009F3BA1" w:rsidRDefault="009F3BA1" w:rsidP="009F3BA1">
      <w:pPr>
        <w:pStyle w:val="MTDisplayEquation"/>
        <w:ind w:firstLine="480"/>
      </w:pPr>
      <w:r>
        <w:tab/>
      </w:r>
      <w:r w:rsidRPr="009F3BA1">
        <w:rPr>
          <w:position w:val="-12"/>
        </w:rPr>
        <w:object w:dxaOrig="3560" w:dyaOrig="360" w14:anchorId="310A40B0">
          <v:shape id="_x0000_i1046" type="#_x0000_t75" style="width:178pt;height:18pt" o:ole="">
            <v:imagedata r:id="rId55" o:title=""/>
          </v:shape>
          <o:OLEObject Type="Embed" ProgID="Equation.DSMT4" ShapeID="_x0000_i1046" DrawAspect="Content" ObjectID="_1840029947"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5</w:instrText>
        </w:r>
      </w:fldSimple>
      <w:r>
        <w:instrText>)</w:instrText>
      </w:r>
      <w:r>
        <w:fldChar w:fldCharType="end"/>
      </w:r>
    </w:p>
    <w:p w14:paraId="563108B5" w14:textId="62623C61" w:rsidR="009F3BA1" w:rsidRDefault="009F3BA1" w:rsidP="009F3BA1">
      <w:pPr>
        <w:pStyle w:val="100"/>
        <w:ind w:firstLine="420"/>
      </w:pPr>
      <w:r w:rsidRPr="009F3BA1">
        <w:t>式中：</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Pr="009F3BA1">
        <w:t>、</w:t>
      </w:r>
      <m:oMath>
        <m:sSub>
          <m:sSubPr>
            <m:ctrlPr>
              <w:rPr>
                <w:rFonts w:ascii="Cambria Math" w:hAnsi="Cambria Math"/>
              </w:rPr>
            </m:ctrlPr>
          </m:sSubPr>
          <m:e>
            <m:r>
              <w:rPr>
                <w:rFonts w:ascii="Cambria Math" w:hAnsi="Cambria Math"/>
              </w:rPr>
              <m:t>w</m:t>
            </m:r>
          </m:e>
          <m:sub>
            <m:r>
              <w:rPr>
                <w:rFonts w:ascii="Cambria Math" w:hAnsi="Cambria Math"/>
              </w:rPr>
              <m:t>a</m:t>
            </m:r>
          </m:sub>
        </m:sSub>
      </m:oMath>
      <w:r w:rsidRPr="009F3BA1">
        <w:t>、</w:t>
      </w:r>
      <m:oMath>
        <m:sSub>
          <m:sSubPr>
            <m:ctrlPr>
              <w:rPr>
                <w:rFonts w:ascii="Cambria Math" w:hAnsi="Cambria Math"/>
              </w:rPr>
            </m:ctrlPr>
          </m:sSubPr>
          <m:e>
            <m:r>
              <w:rPr>
                <w:rFonts w:ascii="Cambria Math" w:hAnsi="Cambria Math"/>
              </w:rPr>
              <m:t>w</m:t>
            </m:r>
          </m:e>
          <m:sub>
            <m:r>
              <w:rPr>
                <w:rFonts w:ascii="Cambria Math" w:hAnsi="Cambria Math"/>
              </w:rPr>
              <m:t>u</m:t>
            </m:r>
          </m:sub>
        </m:sSub>
      </m:oMath>
      <w:r w:rsidRPr="009F3BA1">
        <w:t xml:space="preserve"> </w:t>
      </w:r>
      <w:r w:rsidRPr="009F3BA1">
        <w:t>分别为地表沉陷扰动、含水层扰动和上行开采扰动权重，且满足：</w:t>
      </w:r>
    </w:p>
    <w:p w14:paraId="108BE823" w14:textId="2F5FE739" w:rsidR="009F3BA1" w:rsidRPr="009F3BA1" w:rsidRDefault="009F3BA1" w:rsidP="009F3BA1">
      <w:pPr>
        <w:pStyle w:val="MTDisplayEquation"/>
        <w:ind w:firstLine="480"/>
      </w:pPr>
      <w:r>
        <w:tab/>
      </w:r>
      <w:r w:rsidRPr="009F3BA1">
        <w:rPr>
          <w:position w:val="-12"/>
        </w:rPr>
        <w:object w:dxaOrig="1560" w:dyaOrig="360" w14:anchorId="6F3C4DEB">
          <v:shape id="_x0000_i1047" type="#_x0000_t75" style="width:78pt;height:18pt" o:ole="">
            <v:imagedata r:id="rId57" o:title=""/>
          </v:shape>
          <o:OLEObject Type="Embed" ProgID="Equation.DSMT4" ShapeID="_x0000_i1047" DrawAspect="Content" ObjectID="_1840029948"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6</w:instrText>
        </w:r>
      </w:fldSimple>
      <w:r>
        <w:instrText>)</w:instrText>
      </w:r>
      <w:r>
        <w:fldChar w:fldCharType="end"/>
      </w:r>
    </w:p>
    <w:p w14:paraId="60051F38" w14:textId="77777777" w:rsidR="009F3BA1" w:rsidRDefault="009F3BA1" w:rsidP="00F10457">
      <w:pPr>
        <w:pStyle w:val="100"/>
        <w:ind w:firstLine="420"/>
      </w:pPr>
      <w:r w:rsidRPr="009F3BA1">
        <w:t>ODI</w:t>
      </w:r>
      <w:r w:rsidRPr="009F3BA1">
        <w:t>取值范围为</w:t>
      </w:r>
      <w:r w:rsidRPr="009F3BA1">
        <w:t>0</w:t>
      </w:r>
      <w:r w:rsidRPr="009F3BA1">
        <w:t>～</w:t>
      </w:r>
      <w:r w:rsidRPr="009F3BA1">
        <w:t>1</w:t>
      </w:r>
      <w:r w:rsidRPr="009F3BA1">
        <w:t>，数值越大表示综合覆岩扰动越强。对于不同量纲和不同取值范围的扰动分量，可采用极差归一化或阈值归一化方法进行无量纲处理。以正向扰动指标为例，其归一化形式可表示为：</w:t>
      </w:r>
    </w:p>
    <w:p w14:paraId="6699F1BA" w14:textId="737CA5EF" w:rsidR="009F3BA1" w:rsidRDefault="009F3BA1" w:rsidP="009F3BA1">
      <w:pPr>
        <w:pStyle w:val="MTDisplayEquation"/>
        <w:ind w:firstLine="480"/>
      </w:pPr>
      <w:r>
        <w:tab/>
      </w:r>
      <w:r w:rsidRPr="009F3BA1">
        <w:rPr>
          <w:position w:val="-32"/>
        </w:rPr>
        <w:object w:dxaOrig="2160" w:dyaOrig="720" w14:anchorId="5B7F3DD0">
          <v:shape id="_x0000_i1048" type="#_x0000_t75" style="width:108pt;height:36pt" o:ole="">
            <v:imagedata r:id="rId59" o:title=""/>
          </v:shape>
          <o:OLEObject Type="Embed" ProgID="Equation.DSMT4" ShapeID="_x0000_i1048" DrawAspect="Content" ObjectID="_1840029949"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7</w:instrText>
        </w:r>
      </w:fldSimple>
      <w:r>
        <w:instrText>)</w:instrText>
      </w:r>
      <w:r>
        <w:fldChar w:fldCharType="end"/>
      </w:r>
    </w:p>
    <w:p w14:paraId="7123E503" w14:textId="345DAAC8" w:rsidR="009F3BA1" w:rsidRDefault="009F3BA1" w:rsidP="00F10457">
      <w:pPr>
        <w:pStyle w:val="100"/>
        <w:ind w:firstLine="420"/>
      </w:pPr>
      <w:r w:rsidRPr="009F3BA1">
        <w:t>式中：</w:t>
      </w:r>
      <w:r w:rsidRPr="009F3BA1">
        <w:rPr>
          <w:position w:val="-12"/>
        </w:rPr>
        <w:object w:dxaOrig="620" w:dyaOrig="360" w14:anchorId="2EC7CDAC">
          <v:shape id="_x0000_i1049" type="#_x0000_t75" style="width:31.35pt;height:18pt" o:ole="">
            <v:imagedata r:id="rId61" o:title=""/>
          </v:shape>
          <o:OLEObject Type="Embed" ProgID="Equation.DSMT4" ShapeID="_x0000_i1049" DrawAspect="Content" ObjectID="_1840029950" r:id="rId62"/>
        </w:object>
      </w:r>
      <w:r w:rsidRPr="009F3BA1">
        <w:t>为第</w:t>
      </w:r>
      <w:r w:rsidRPr="009F3BA1">
        <w:t xml:space="preserve"> </w:t>
      </w:r>
      <m:oMath>
        <m:r>
          <w:rPr>
            <w:rFonts w:ascii="Cambria Math" w:hAnsi="Cambria Math"/>
          </w:rPr>
          <m:t>k</m:t>
        </m:r>
      </m:oMath>
      <w:r w:rsidRPr="009F3BA1">
        <w:t>类扰动分量原始值；</w:t>
      </w:r>
      <w:r w:rsidRPr="009F3BA1">
        <w:rPr>
          <w:position w:val="-14"/>
        </w:rPr>
        <w:object w:dxaOrig="560" w:dyaOrig="380" w14:anchorId="1EE0EEEA">
          <v:shape id="_x0000_i1050" type="#_x0000_t75" style="width:28pt;height:19.35pt" o:ole="">
            <v:imagedata r:id="rId63" o:title=""/>
          </v:shape>
          <o:OLEObject Type="Embed" ProgID="Equation.DSMT4" ShapeID="_x0000_i1050" DrawAspect="Content" ObjectID="_1840029951" r:id="rId64"/>
        </w:object>
      </w:r>
      <w:r w:rsidRPr="009F3BA1">
        <w:t>和</w:t>
      </w:r>
      <w:r w:rsidRPr="009F3BA1">
        <w:rPr>
          <w:position w:val="-14"/>
        </w:rPr>
        <w:object w:dxaOrig="600" w:dyaOrig="380" w14:anchorId="24757F53">
          <v:shape id="_x0000_i1051" type="#_x0000_t75" style="width:30pt;height:19.35pt" o:ole="">
            <v:imagedata r:id="rId65" o:title=""/>
          </v:shape>
          <o:OLEObject Type="Embed" ProgID="Equation.DSMT4" ShapeID="_x0000_i1051" DrawAspect="Content" ObjectID="_1840029952" r:id="rId66"/>
        </w:object>
      </w:r>
      <w:r w:rsidRPr="009F3BA1">
        <w:t>分别为该分量在规划域内的最小值和最大值；</w:t>
      </w:r>
      <w:r w:rsidRPr="009F3BA1">
        <w:rPr>
          <w:position w:val="-12"/>
        </w:rPr>
        <w:object w:dxaOrig="620" w:dyaOrig="380" w14:anchorId="279E1438">
          <v:shape id="_x0000_i1052" type="#_x0000_t75" style="width:31.35pt;height:19.35pt" o:ole="">
            <v:imagedata r:id="rId67" o:title=""/>
          </v:shape>
          <o:OLEObject Type="Embed" ProgID="Equation.DSMT4" ShapeID="_x0000_i1052" DrawAspect="Content" ObjectID="_1840029953" r:id="rId68"/>
        </w:object>
      </w:r>
      <w:r w:rsidRPr="009F3BA1">
        <w:t>为归一化后的扰动分量。若某类指标存在明确工程安全阈值，也可采用基于阈</w:t>
      </w:r>
      <w:r w:rsidRPr="009F3BA1">
        <w:lastRenderedPageBreak/>
        <w:t>值的归一化方式，使其更符合现场安全判据。</w:t>
      </w:r>
    </w:p>
    <w:p w14:paraId="6E512488" w14:textId="423919B7" w:rsidR="009F3BA1" w:rsidRDefault="009F3BA1" w:rsidP="00F10457">
      <w:pPr>
        <w:pStyle w:val="100"/>
        <w:ind w:firstLine="420"/>
      </w:pPr>
      <w:r w:rsidRPr="009F3BA1">
        <w:t>权重</w:t>
      </w:r>
      <w:r w:rsidRPr="009F3BA1">
        <w:rPr>
          <w:position w:val="-12"/>
        </w:rPr>
        <w:object w:dxaOrig="300" w:dyaOrig="360" w14:anchorId="6445C841">
          <v:shape id="_x0000_i1053" type="#_x0000_t75" style="width:15.35pt;height:18pt" o:ole="">
            <v:imagedata r:id="rId69" o:title=""/>
          </v:shape>
          <o:OLEObject Type="Embed" ProgID="Equation.DSMT4" ShapeID="_x0000_i1053" DrawAspect="Content" ObjectID="_1840029954" r:id="rId70"/>
        </w:object>
      </w:r>
      <w:r w:rsidRPr="009F3BA1">
        <w:t>、</w:t>
      </w:r>
      <w:r w:rsidRPr="009F3BA1">
        <w:rPr>
          <w:position w:val="-12"/>
        </w:rPr>
        <w:object w:dxaOrig="300" w:dyaOrig="360" w14:anchorId="5D6AFBA2">
          <v:shape id="_x0000_i1054" type="#_x0000_t75" style="width:15.35pt;height:18pt" o:ole="">
            <v:imagedata r:id="rId71" o:title=""/>
          </v:shape>
          <o:OLEObject Type="Embed" ProgID="Equation.DSMT4" ShapeID="_x0000_i1054" DrawAspect="Content" ObjectID="_1840029955" r:id="rId72"/>
        </w:object>
      </w:r>
      <w:r w:rsidRPr="009F3BA1">
        <w:t>、</w:t>
      </w:r>
      <w:r w:rsidRPr="009F3BA1">
        <w:rPr>
          <w:position w:val="-12"/>
        </w:rPr>
        <w:object w:dxaOrig="300" w:dyaOrig="360" w14:anchorId="298004B7">
          <v:shape id="_x0000_i1055" type="#_x0000_t75" style="width:15.35pt;height:18pt" o:ole="">
            <v:imagedata r:id="rId73" o:title=""/>
          </v:shape>
          <o:OLEObject Type="Embed" ProgID="Equation.DSMT4" ShapeID="_x0000_i1055" DrawAspect="Content" ObjectID="_1840029956" r:id="rId74"/>
        </w:object>
      </w:r>
      <w:r w:rsidRPr="009F3BA1">
        <w:t>反映不同扰动场景在采区规划中的相对重要性，其取值不应作为跨矿区通用常量，而应结合矿区主控风险、保护对象类型、水文地质条件和开采技术条件确定。一般可表示为：</w:t>
      </w:r>
    </w:p>
    <w:p w14:paraId="6CCDD834" w14:textId="49BB8650" w:rsidR="009F3BA1" w:rsidRDefault="009F3BA1" w:rsidP="009F3BA1">
      <w:pPr>
        <w:pStyle w:val="MTDisplayEquation"/>
        <w:ind w:firstLine="480"/>
      </w:pPr>
      <w:r>
        <w:tab/>
      </w:r>
      <w:r w:rsidRPr="009F3BA1">
        <w:rPr>
          <w:position w:val="-38"/>
        </w:rPr>
        <w:object w:dxaOrig="1320" w:dyaOrig="760" w14:anchorId="3849409D">
          <v:shape id="_x0000_i1056" type="#_x0000_t75" style="width:66pt;height:38pt" o:ole="">
            <v:imagedata r:id="rId75" o:title=""/>
          </v:shape>
          <o:OLEObject Type="Embed" ProgID="Equation.DSMT4" ShapeID="_x0000_i1056" DrawAspect="Content" ObjectID="_1840029957"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8</w:instrText>
        </w:r>
      </w:fldSimple>
      <w:r>
        <w:instrText>)</w:instrText>
      </w:r>
      <w:r>
        <w:fldChar w:fldCharType="end"/>
      </w:r>
    </w:p>
    <w:p w14:paraId="1DBB21C4" w14:textId="2A8E5C46" w:rsidR="00F35FD2" w:rsidRDefault="00F35FD2" w:rsidP="00F10457">
      <w:pPr>
        <w:pStyle w:val="100"/>
        <w:ind w:firstLine="420"/>
      </w:pPr>
      <w:r w:rsidRPr="00F35FD2">
        <w:t>式中：</w:t>
      </w:r>
      <w:r w:rsidRPr="00F35FD2">
        <w:rPr>
          <w:position w:val="-12"/>
        </w:rPr>
        <w:object w:dxaOrig="300" w:dyaOrig="360" w14:anchorId="5CD27B80">
          <v:shape id="_x0000_i1057" type="#_x0000_t75" style="width:15.35pt;height:18pt" o:ole="">
            <v:imagedata r:id="rId77" o:title=""/>
          </v:shape>
          <o:OLEObject Type="Embed" ProgID="Equation.DSMT4" ShapeID="_x0000_i1057" DrawAspect="Content" ObjectID="_1840029958" r:id="rId78"/>
        </w:object>
      </w:r>
      <w:r w:rsidRPr="00F35FD2">
        <w:t>为第</w:t>
      </w:r>
      <w:r w:rsidRPr="00F35FD2">
        <w:rPr>
          <w:position w:val="-6"/>
        </w:rPr>
        <w:object w:dxaOrig="200" w:dyaOrig="279" w14:anchorId="2D10922E">
          <v:shape id="_x0000_i1058" type="#_x0000_t75" style="width:10pt;height:14pt" o:ole="">
            <v:imagedata r:id="rId79" o:title=""/>
          </v:shape>
          <o:OLEObject Type="Embed" ProgID="Equation.DSMT4" ShapeID="_x0000_i1058" DrawAspect="Content" ObjectID="_1840029959" r:id="rId80"/>
        </w:object>
      </w:r>
      <w:r w:rsidRPr="00F35FD2">
        <w:t>类扰动场景的重要性判别值，可由专家判别、历史灾害统计、专项评价结果或现场约束等级综合确定；</w:t>
      </w:r>
      <w:r w:rsidRPr="00F35FD2">
        <w:rPr>
          <w:position w:val="-6"/>
        </w:rPr>
        <w:object w:dxaOrig="260" w:dyaOrig="220" w14:anchorId="1B0395BC">
          <v:shape id="_x0000_i1059" type="#_x0000_t75" style="width:13.35pt;height:10.65pt" o:ole="">
            <v:imagedata r:id="rId81" o:title=""/>
          </v:shape>
          <o:OLEObject Type="Embed" ProgID="Equation.DSMT4" ShapeID="_x0000_i1059" DrawAspect="Content" ObjectID="_1840029960" r:id="rId82"/>
        </w:object>
      </w:r>
      <w:r w:rsidRPr="00F35FD2">
        <w:t>为扰动场景数量。</w:t>
      </w:r>
    </w:p>
    <w:p w14:paraId="61E42B9B" w14:textId="68A08183" w:rsidR="00F35FD2" w:rsidRPr="00F35FD2" w:rsidRDefault="0037587A" w:rsidP="00F35FD2">
      <w:pPr>
        <w:pStyle w:val="100"/>
        <w:ind w:firstLine="420"/>
      </w:pPr>
      <w:r w:rsidRPr="0037587A">
        <w:t>本文以敏东矿区采区规划需求为基础，综合考虑地表沉陷影响、含水层扰动敏感性和上行开采约束强度，选取</w:t>
      </w:r>
      <w:r w:rsidRPr="0037587A">
        <w:rPr>
          <w:position w:val="-12"/>
        </w:rPr>
        <w:object w:dxaOrig="2860" w:dyaOrig="360" w14:anchorId="61D0875A">
          <v:shape id="_x0000_i1060" type="#_x0000_t75" style="width:142.65pt;height:18pt" o:ole="">
            <v:imagedata r:id="rId83" o:title=""/>
          </v:shape>
          <o:OLEObject Type="Embed" ProgID="Equation.DSMT4" ShapeID="_x0000_i1060" DrawAspect="Content" ObjectID="_1840029961" r:id="rId84"/>
        </w:object>
      </w:r>
      <w:r w:rsidRPr="0037587A">
        <w:t>作为基准权重，用于后续方案生成和比较。为避免单一权重组合影响方案判定，后文进一步设置多组权重情景开展敏感性分析。</w:t>
      </w:r>
      <w:r w:rsidR="00F35FD2" w:rsidRPr="00F35FD2">
        <w:t>。</w:t>
      </w:r>
    </w:p>
    <w:p w14:paraId="63765EAC" w14:textId="7287813F" w:rsidR="0037587A" w:rsidRPr="0037587A" w:rsidRDefault="003B394F" w:rsidP="0037587A">
      <w:pPr>
        <w:pStyle w:val="100"/>
        <w:ind w:firstLine="420"/>
      </w:pPr>
      <w:r w:rsidRPr="003B394F">
        <w:t>需要强调的是，</w:t>
      </w:r>
      <w:r w:rsidRPr="003B394F">
        <w:t>ODI</w:t>
      </w:r>
      <w:r w:rsidRPr="003B394F">
        <w:t>主要用于采区规划阶段的方案比较和扰动区域识别，并不直接等同于某一单项灾害的失稳判据。前期地表沉陷和含水层扰动验证结果表明，</w:t>
      </w:r>
      <w:r w:rsidRPr="003B394F">
        <w:t>ODI</w:t>
      </w:r>
      <w:r w:rsidRPr="003B394F">
        <w:t>高值区与实测采动响应较强区域具有较好对应关系，因此本文选取</w:t>
      </w:r>
      <w:r w:rsidRPr="003B394F">
        <w:t>ODI</w:t>
      </w:r>
      <w:r w:rsidRPr="003B394F">
        <w:t>＞</w:t>
      </w:r>
      <w:r w:rsidRPr="003B394F">
        <w:t>0.70</w:t>
      </w:r>
      <w:r w:rsidRPr="003B394F">
        <w:t>作为采区规划阶段中高扰动区域的统计阈值。最终推荐方案仍需结合地表沉陷预计、导水裂隙带高度判定、含水层保护和上行开采安全性等专项评价进行复核。</w:t>
      </w:r>
    </w:p>
    <w:p w14:paraId="4F1AC8B8" w14:textId="77777777" w:rsidR="0037587A" w:rsidRPr="0037587A" w:rsidRDefault="0037587A" w:rsidP="0037587A">
      <w:pPr>
        <w:pStyle w:val="100"/>
        <w:ind w:firstLine="420"/>
      </w:pPr>
      <w:r w:rsidRPr="0037587A">
        <w:t>在后续方案评价中，</w:t>
      </w:r>
      <w:r w:rsidRPr="0037587A">
        <w:t>ODI</w:t>
      </w:r>
      <w:r w:rsidRPr="0037587A">
        <w:t>主要用于两个方面：一是根据</w:t>
      </w:r>
      <w:r w:rsidRPr="0037587A">
        <w:t>ODI</w:t>
      </w:r>
      <w:r w:rsidRPr="0037587A">
        <w:t>分布识别采区内扰动较强的区域；二是统计各候选方案覆盖范围内的</w:t>
      </w:r>
      <w:r w:rsidRPr="0037587A">
        <w:t>ODI</w:t>
      </w:r>
      <w:r w:rsidRPr="0037587A">
        <w:t>均值、</w:t>
      </w:r>
      <w:r w:rsidRPr="0037587A">
        <w:t>P90</w:t>
      </w:r>
      <w:r w:rsidRPr="0037587A">
        <w:t>和超阈值比例，将采动扰动影响转化为方案级评价指标，并与工程效率、资源覆盖指标共同用于工作面方案比较。</w:t>
      </w:r>
    </w:p>
    <w:p w14:paraId="0FBE67DF" w14:textId="2485B1A6" w:rsidR="00210CE2" w:rsidRPr="00DF00E8" w:rsidRDefault="00210CE2" w:rsidP="00DF00E8">
      <w:pPr>
        <w:pStyle w:val="12"/>
      </w:pPr>
      <w:r w:rsidRPr="00DF00E8">
        <w:t xml:space="preserve">2.3 </w:t>
      </w:r>
      <w:r w:rsidR="00365DBA" w:rsidRPr="00365DBA">
        <w:t>工作面布置方案形成与综合评价</w:t>
      </w:r>
    </w:p>
    <w:p w14:paraId="73A8CF12" w14:textId="324A2BFF" w:rsidR="00F35FD2" w:rsidRPr="00F35FD2" w:rsidRDefault="00365DBA" w:rsidP="00F35FD2">
      <w:pPr>
        <w:pStyle w:val="100"/>
        <w:ind w:firstLine="420"/>
      </w:pPr>
      <w:r w:rsidRPr="00365DBA">
        <w:t>在工作面可布置区域、煤层厚度分布和</w:t>
      </w:r>
      <w:r w:rsidRPr="00365DBA">
        <w:t>ODI</w:t>
      </w:r>
      <w:r w:rsidRPr="00365DBA">
        <w:t>图层确定后，采区规划需要进一步解决工作面如何布置以及不同方案如何评价的问题。对于同一采区，满足边界、煤柱、工作面宽度和推进长度等基本要求的布置方案往往不止一个。不同方案可能在覆盖率、工作面数量、推进长度、资源利用程度和扰动风险方面表现不同，因此需要建立一套能够反映工程效率、资源回收和扰动控制差异的评价方法</w:t>
      </w:r>
      <w:r w:rsidR="00F35FD2" w:rsidRPr="00F35FD2">
        <w:t>。</w:t>
      </w:r>
    </w:p>
    <w:p w14:paraId="2E1CDF73" w14:textId="77777777" w:rsidR="00F35FD2" w:rsidRDefault="00F35FD2" w:rsidP="00F35FD2">
      <w:pPr>
        <w:pStyle w:val="100"/>
        <w:ind w:firstLine="420"/>
      </w:pPr>
      <w:r w:rsidRPr="00F35FD2">
        <w:t>设工作面布置候选方案集合为：</w:t>
      </w:r>
    </w:p>
    <w:p w14:paraId="19C29A21" w14:textId="153EBEB1" w:rsidR="00F35FD2" w:rsidRPr="00F35FD2" w:rsidRDefault="00F35FD2" w:rsidP="00F35FD2">
      <w:pPr>
        <w:pStyle w:val="MTDisplayEquation"/>
        <w:ind w:firstLine="480"/>
      </w:pPr>
      <w:r>
        <w:tab/>
      </w:r>
      <w:r w:rsidRPr="00F35FD2">
        <w:rPr>
          <w:position w:val="-12"/>
        </w:rPr>
        <w:object w:dxaOrig="1820" w:dyaOrig="360" w14:anchorId="44E16490">
          <v:shape id="_x0000_i1061" type="#_x0000_t75" style="width:91.35pt;height:18pt" o:ole="">
            <v:imagedata r:id="rId85" o:title=""/>
          </v:shape>
          <o:OLEObject Type="Embed" ProgID="Equation.DSMT4" ShapeID="_x0000_i1061" DrawAspect="Content" ObjectID="_1840029962"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9</w:instrText>
        </w:r>
      </w:fldSimple>
      <w:r>
        <w:instrText>)</w:instrText>
      </w:r>
      <w:r>
        <w:fldChar w:fldCharType="end"/>
      </w:r>
    </w:p>
    <w:p w14:paraId="40E5711A" w14:textId="41FD908D" w:rsidR="00F35FD2" w:rsidRDefault="00F35FD2" w:rsidP="00067EEE">
      <w:pPr>
        <w:pStyle w:val="100"/>
        <w:ind w:firstLine="420"/>
      </w:pPr>
      <w:r w:rsidRPr="00F35FD2">
        <w:t>其中，第</w:t>
      </w:r>
      <w:r w:rsidRPr="00F35FD2">
        <w:t xml:space="preserve"> </w:t>
      </w:r>
      <m:oMath>
        <m:r>
          <w:rPr>
            <w:rFonts w:ascii="Cambria Math" w:hAnsi="Cambria Math"/>
          </w:rPr>
          <m:t>i</m:t>
        </m:r>
      </m:oMath>
      <w:r w:rsidRPr="00F35FD2">
        <w:t>个候选方案</w:t>
      </w:r>
      <w:r w:rsidRPr="00F35FD2">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35FD2">
        <w:t>可表示为：</w:t>
      </w:r>
    </w:p>
    <w:p w14:paraId="7288B394" w14:textId="16EB0199" w:rsidR="00F35FD2" w:rsidRDefault="00F35FD2" w:rsidP="00F35FD2">
      <w:pPr>
        <w:pStyle w:val="MTDisplayEquation"/>
        <w:ind w:firstLine="480"/>
      </w:pPr>
      <w:r>
        <w:tab/>
      </w:r>
      <w:r w:rsidRPr="00F35FD2">
        <w:rPr>
          <w:position w:val="-12"/>
        </w:rPr>
        <w:object w:dxaOrig="2340" w:dyaOrig="360" w14:anchorId="6670621F">
          <v:shape id="_x0000_i1062" type="#_x0000_t75" style="width:117.35pt;height:18pt" o:ole="">
            <v:imagedata r:id="rId87" o:title=""/>
          </v:shape>
          <o:OLEObject Type="Embed" ProgID="Equation.DSMT4" ShapeID="_x0000_i1062" DrawAspect="Content" ObjectID="_1840029963"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10</w:instrText>
        </w:r>
      </w:fldSimple>
      <w:r>
        <w:instrText>)</w:instrText>
      </w:r>
      <w:r>
        <w:fldChar w:fldCharType="end"/>
      </w:r>
    </w:p>
    <w:p w14:paraId="2D94357F" w14:textId="4384B9E0" w:rsidR="00067EEE" w:rsidRDefault="00F35FD2" w:rsidP="00067EEE">
      <w:pPr>
        <w:pStyle w:val="100"/>
        <w:ind w:firstLine="420"/>
      </w:pPr>
      <w:r w:rsidRPr="00F35FD2">
        <w:t>式中：</w:t>
      </w:r>
      <w:r w:rsidRPr="00F35FD2">
        <w:rPr>
          <w:position w:val="-12"/>
        </w:rPr>
        <w:object w:dxaOrig="240" w:dyaOrig="360" w14:anchorId="7A7B9943">
          <v:shape id="_x0000_i1063" type="#_x0000_t75" style="width:12pt;height:18pt" o:ole="">
            <v:imagedata r:id="rId89" o:title=""/>
          </v:shape>
          <o:OLEObject Type="Embed" ProgID="Equation.DSMT4" ShapeID="_x0000_i1063" DrawAspect="Content" ObjectID="_1840029964" r:id="rId90"/>
        </w:object>
      </w:r>
      <w:r w:rsidRPr="00F35FD2">
        <w:t>为工作面数量；</w:t>
      </w:r>
      <w:r w:rsidRPr="00F35FD2">
        <w:rPr>
          <w:position w:val="-12"/>
        </w:rPr>
        <w:object w:dxaOrig="260" w:dyaOrig="360" w14:anchorId="4D442255">
          <v:shape id="_x0000_i1064" type="#_x0000_t75" style="width:13.35pt;height:18pt" o:ole="">
            <v:imagedata r:id="rId91" o:title=""/>
          </v:shape>
          <o:OLEObject Type="Embed" ProgID="Equation.DSMT4" ShapeID="_x0000_i1064" DrawAspect="Content" ObjectID="_1840029965" r:id="rId92"/>
        </w:object>
      </w:r>
      <w:r w:rsidRPr="00F35FD2">
        <w:t>为工作面宽度；</w:t>
      </w:r>
      <w:r w:rsidRPr="00F35FD2">
        <w:rPr>
          <w:position w:val="-12"/>
        </w:rPr>
        <w:object w:dxaOrig="240" w:dyaOrig="360" w14:anchorId="06F82AFE">
          <v:shape id="_x0000_i1065" type="#_x0000_t75" style="width:12pt;height:18pt" o:ole="">
            <v:imagedata r:id="rId93" o:title=""/>
          </v:shape>
          <o:OLEObject Type="Embed" ProgID="Equation.DSMT4" ShapeID="_x0000_i1065" DrawAspect="Content" ObjectID="_1840029966" r:id="rId94"/>
        </w:object>
      </w:r>
      <w:r w:rsidRPr="00F35FD2">
        <w:t>为推进方向；</w:t>
      </w:r>
      <w:r w:rsidRPr="00F35FD2">
        <w:rPr>
          <w:position w:val="-12"/>
        </w:rPr>
        <w:object w:dxaOrig="279" w:dyaOrig="360" w14:anchorId="16793E15">
          <v:shape id="_x0000_i1066" type="#_x0000_t75" style="width:14pt;height:18pt" o:ole="">
            <v:imagedata r:id="rId95" o:title=""/>
          </v:shape>
          <o:OLEObject Type="Embed" ProgID="Equation.DSMT4" ShapeID="_x0000_i1066" DrawAspect="Content" ObjectID="_1840029967" r:id="rId96"/>
        </w:object>
      </w:r>
      <w:r w:rsidRPr="00F35FD2">
        <w:t>为煤柱配置；</w:t>
      </w:r>
      <w:r w:rsidRPr="00F35FD2">
        <w:rPr>
          <w:position w:val="-12"/>
        </w:rPr>
        <w:object w:dxaOrig="300" w:dyaOrig="360" w14:anchorId="011510E7">
          <v:shape id="_x0000_i1067" type="#_x0000_t75" style="width:15.35pt;height:18pt" o:ole="">
            <v:imagedata r:id="rId97" o:title=""/>
          </v:shape>
          <o:OLEObject Type="Embed" ProgID="Equation.DSMT4" ShapeID="_x0000_i1067" DrawAspect="Content" ObjectID="_1840029968" r:id="rId98"/>
        </w:object>
      </w:r>
      <w:r w:rsidRPr="00F35FD2">
        <w:t>为工作面占用区域集合；</w:t>
      </w:r>
      <w:r w:rsidRPr="00F35FD2">
        <w:rPr>
          <w:position w:val="-12"/>
        </w:rPr>
        <w:object w:dxaOrig="240" w:dyaOrig="360" w14:anchorId="57558D37">
          <v:shape id="_x0000_i1068" type="#_x0000_t75" style="width:12pt;height:18pt" o:ole="">
            <v:imagedata r:id="rId99" o:title=""/>
          </v:shape>
          <o:OLEObject Type="Embed" ProgID="Equation.DSMT4" ShapeID="_x0000_i1068" DrawAspect="Content" ObjectID="_1840029969" r:id="rId100"/>
        </w:object>
      </w:r>
      <w:r w:rsidRPr="00F35FD2">
        <w:t>为推进长度集合。</w:t>
      </w:r>
    </w:p>
    <w:p w14:paraId="64C0D99C" w14:textId="13EFF7F5" w:rsidR="00F35FD2" w:rsidRDefault="00F35FD2" w:rsidP="00067EEE">
      <w:pPr>
        <w:pStyle w:val="100"/>
        <w:ind w:firstLine="420"/>
      </w:pPr>
      <w:r w:rsidRPr="00F35FD2">
        <w:t>工作面布置方案需满足以下基本采矿约束：</w:t>
      </w:r>
    </w:p>
    <w:p w14:paraId="3C682F31" w14:textId="11C1AC73" w:rsidR="00F35FD2" w:rsidRDefault="00F35FD2" w:rsidP="00F35FD2">
      <w:pPr>
        <w:pStyle w:val="MTDisplayEquation"/>
        <w:ind w:firstLine="480"/>
      </w:pPr>
      <w:r>
        <w:tab/>
      </w:r>
      <w:r w:rsidRPr="00F35FD2">
        <w:rPr>
          <w:position w:val="-12"/>
        </w:rPr>
        <w:object w:dxaOrig="859" w:dyaOrig="360" w14:anchorId="703D49B5">
          <v:shape id="_x0000_i1069" type="#_x0000_t75" style="width:43.35pt;height:18pt" o:ole="">
            <v:imagedata r:id="rId101" o:title=""/>
          </v:shape>
          <o:OLEObject Type="Embed" ProgID="Equation.DSMT4" ShapeID="_x0000_i1069" DrawAspect="Content" ObjectID="_1840029970"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11</w:instrText>
        </w:r>
      </w:fldSimple>
      <w:r>
        <w:instrText>)</w:instrText>
      </w:r>
      <w:r>
        <w:fldChar w:fldCharType="end"/>
      </w:r>
    </w:p>
    <w:p w14:paraId="076ACA66" w14:textId="73E590EE" w:rsidR="00F35FD2" w:rsidRPr="00F35FD2" w:rsidRDefault="00F35FD2" w:rsidP="00F35FD2">
      <w:pPr>
        <w:pStyle w:val="MTDisplayEquation"/>
        <w:ind w:firstLine="480"/>
      </w:pPr>
      <w:r>
        <w:tab/>
      </w:r>
      <w:r w:rsidRPr="00F35FD2">
        <w:rPr>
          <w:position w:val="-12"/>
        </w:rPr>
        <w:object w:dxaOrig="1540" w:dyaOrig="360" w14:anchorId="71DF2984">
          <v:shape id="_x0000_i1070" type="#_x0000_t75" style="width:76.65pt;height:18pt" o:ole="">
            <v:imagedata r:id="rId103" o:title=""/>
          </v:shape>
          <o:OLEObject Type="Embed" ProgID="Equation.DSMT4" ShapeID="_x0000_i1070" DrawAspect="Content" ObjectID="_1840029971"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12</w:instrText>
        </w:r>
      </w:fldSimple>
      <w:r>
        <w:instrText>)</w:instrText>
      </w:r>
      <w:r>
        <w:fldChar w:fldCharType="end"/>
      </w:r>
    </w:p>
    <w:p w14:paraId="79C2CF31" w14:textId="7D2A53D7" w:rsidR="00F35FD2" w:rsidRDefault="00F35FD2" w:rsidP="00F35FD2">
      <w:pPr>
        <w:pStyle w:val="MTDisplayEquation"/>
        <w:ind w:firstLine="480"/>
      </w:pPr>
      <w:r>
        <w:tab/>
      </w:r>
      <w:r w:rsidRPr="00F35FD2">
        <w:rPr>
          <w:position w:val="-12"/>
        </w:rPr>
        <w:object w:dxaOrig="859" w:dyaOrig="360" w14:anchorId="588374EF">
          <v:shape id="_x0000_i1071" type="#_x0000_t75" style="width:43.35pt;height:18pt" o:ole="">
            <v:imagedata r:id="rId105" o:title=""/>
          </v:shape>
          <o:OLEObject Type="Embed" ProgID="Equation.DSMT4" ShapeID="_x0000_i1071" DrawAspect="Content" ObjectID="_1840029972"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13</w:instrText>
        </w:r>
      </w:fldSimple>
      <w:r>
        <w:instrText>)</w:instrText>
      </w:r>
      <w:r>
        <w:fldChar w:fldCharType="end"/>
      </w:r>
    </w:p>
    <w:p w14:paraId="5096C1BC" w14:textId="65700091" w:rsidR="00F35FD2" w:rsidRDefault="00F35FD2" w:rsidP="00F35FD2">
      <w:pPr>
        <w:pStyle w:val="MTDisplayEquation"/>
        <w:ind w:firstLine="480"/>
      </w:pPr>
      <w:r>
        <w:tab/>
      </w:r>
      <w:r w:rsidRPr="00F35FD2">
        <w:rPr>
          <w:position w:val="-14"/>
        </w:rPr>
        <w:object w:dxaOrig="2260" w:dyaOrig="380" w14:anchorId="34A87FE3">
          <v:shape id="_x0000_i1072" type="#_x0000_t75" style="width:112.65pt;height:19.35pt" o:ole="">
            <v:imagedata r:id="rId107" o:title=""/>
          </v:shape>
          <o:OLEObject Type="Embed" ProgID="Equation.DSMT4" ShapeID="_x0000_i1072" DrawAspect="Content" ObjectID="_1840029973"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14</w:instrText>
        </w:r>
      </w:fldSimple>
      <w:r>
        <w:instrText>)</w:instrText>
      </w:r>
      <w:r>
        <w:fldChar w:fldCharType="end"/>
      </w:r>
    </w:p>
    <w:p w14:paraId="4B76C2A2" w14:textId="650B9335" w:rsidR="00F35FD2" w:rsidRPr="00F35FD2" w:rsidRDefault="00F35FD2" w:rsidP="00F35FD2">
      <w:pPr>
        <w:pStyle w:val="100"/>
        <w:ind w:firstLine="420"/>
      </w:pPr>
      <w:r w:rsidRPr="00F35FD2">
        <w:t>式中：</w:t>
      </w:r>
      <w:r w:rsidR="00AC546D" w:rsidRPr="00AC546D">
        <w:rPr>
          <w:position w:val="-12"/>
        </w:rPr>
        <w:object w:dxaOrig="320" w:dyaOrig="360" w14:anchorId="71689D23">
          <v:shape id="_x0000_i1073" type="#_x0000_t75" style="width:16pt;height:18pt" o:ole="">
            <v:imagedata r:id="rId109" o:title=""/>
          </v:shape>
          <o:OLEObject Type="Embed" ProgID="Equation.DSMT4" ShapeID="_x0000_i1073" DrawAspect="Content" ObjectID="_1840029974" r:id="rId110"/>
        </w:object>
      </w:r>
      <w:r w:rsidRPr="00F35FD2">
        <w:t>为</w:t>
      </w:r>
      <w:r w:rsidR="003B394F">
        <w:t>工作面可布置区域</w:t>
      </w:r>
      <w:r w:rsidRPr="00F35FD2">
        <w:t>；</w:t>
      </w:r>
      <w:r w:rsidR="00AC546D" w:rsidRPr="00AC546D">
        <w:rPr>
          <w:position w:val="-12"/>
        </w:rPr>
        <w:object w:dxaOrig="440" w:dyaOrig="360" w14:anchorId="55D107B8">
          <v:shape id="_x0000_i1074" type="#_x0000_t75" style="width:22pt;height:18pt" o:ole="">
            <v:imagedata r:id="rId111" o:title=""/>
          </v:shape>
          <o:OLEObject Type="Embed" ProgID="Equation.DSMT4" ShapeID="_x0000_i1074" DrawAspect="Content" ObjectID="_1840029975" r:id="rId112"/>
        </w:object>
      </w:r>
      <w:r w:rsidRPr="00F35FD2">
        <w:t>和</w:t>
      </w:r>
      <w:r w:rsidR="00AC546D" w:rsidRPr="00AC546D">
        <w:rPr>
          <w:position w:val="-12"/>
        </w:rPr>
        <w:object w:dxaOrig="480" w:dyaOrig="360" w14:anchorId="2BE2AA8B">
          <v:shape id="_x0000_i1075" type="#_x0000_t75" style="width:24pt;height:18pt" o:ole="">
            <v:imagedata r:id="rId113" o:title=""/>
          </v:shape>
          <o:OLEObject Type="Embed" ProgID="Equation.DSMT4" ShapeID="_x0000_i1075" DrawAspect="Content" ObjectID="_1840029976" r:id="rId114"/>
        </w:object>
      </w:r>
      <w:r w:rsidRPr="00F35FD2">
        <w:t>分别为工作面宽度允许范围；</w:t>
      </w:r>
      <w:r w:rsidR="00AC546D" w:rsidRPr="00AC546D">
        <w:rPr>
          <w:position w:val="-12"/>
        </w:rPr>
        <w:object w:dxaOrig="440" w:dyaOrig="360" w14:anchorId="2EAC5A3F">
          <v:shape id="_x0000_i1076" type="#_x0000_t75" style="width:22pt;height:18pt" o:ole="">
            <v:imagedata r:id="rId115" o:title=""/>
          </v:shape>
          <o:OLEObject Type="Embed" ProgID="Equation.DSMT4" ShapeID="_x0000_i1076" DrawAspect="Content" ObjectID="_1840029977" r:id="rId116"/>
        </w:object>
      </w:r>
      <w:r w:rsidRPr="00F35FD2">
        <w:t>为最小推进长度校核阈值；</w:t>
      </w:r>
      <w:r w:rsidR="00AC546D" w:rsidRPr="00AC546D">
        <w:rPr>
          <w:position w:val="-14"/>
        </w:rPr>
        <w:object w:dxaOrig="340" w:dyaOrig="380" w14:anchorId="7534FC90">
          <v:shape id="_x0000_i1077" type="#_x0000_t75" style="width:16.65pt;height:19.35pt" o:ole="">
            <v:imagedata r:id="rId117" o:title=""/>
          </v:shape>
          <o:OLEObject Type="Embed" ProgID="Equation.DSMT4" ShapeID="_x0000_i1077" DrawAspect="Content" ObjectID="_1840029978" r:id="rId118"/>
        </w:object>
      </w:r>
      <w:r w:rsidRPr="00F35FD2">
        <w:t>和</w:t>
      </w:r>
      <w:r w:rsidR="00AC546D" w:rsidRPr="00AC546D">
        <w:rPr>
          <w:position w:val="-12"/>
        </w:rPr>
        <w:object w:dxaOrig="380" w:dyaOrig="360" w14:anchorId="09AA0BE6">
          <v:shape id="_x0000_i1078" type="#_x0000_t75" style="width:19.35pt;height:18pt" o:ole="">
            <v:imagedata r:id="rId119" o:title=""/>
          </v:shape>
          <o:OLEObject Type="Embed" ProgID="Equation.DSMT4" ShapeID="_x0000_i1078" DrawAspect="Content" ObjectID="_1840029979" r:id="rId120"/>
        </w:object>
      </w:r>
      <w:r w:rsidRPr="00F35FD2">
        <w:t>分别为同一候选方案中不同工作面的占用区域。上述约束分别表示工作面不得超出</w:t>
      </w:r>
      <w:r w:rsidR="003B394F">
        <w:t>工作面可布置区域</w:t>
      </w:r>
      <w:r w:rsidRPr="00F35FD2">
        <w:t>、工作面宽度满足设计要求、推进长度满足校核要求，以及不同工作面之间不得重叠。</w:t>
      </w:r>
    </w:p>
    <w:p w14:paraId="1680224D" w14:textId="77777777" w:rsidR="00365DBA" w:rsidRPr="00365DBA" w:rsidRDefault="00365DBA" w:rsidP="00365DBA">
      <w:pPr>
        <w:pStyle w:val="100"/>
        <w:ind w:firstLine="420"/>
      </w:pPr>
      <w:r w:rsidRPr="00365DBA">
        <w:t>本文采用规则布置与工程约束检查相结合的方式形成候选方案。具体做法是：根据推进方向、工作面宽度、边界煤柱和区段煤柱等参数，在工作面可布置区域内构造平行工作面条带；再通过条带平移、组合和裁剪形成多组初始方案；随后检查其是否存在越界、重叠、煤柱不足、推进长度不足或局部形态不利于实施等问题。满足基本要求的方案进入后续评价，不满足要求的方案直接剔除。</w:t>
      </w:r>
    </w:p>
    <w:p w14:paraId="4CB09460" w14:textId="77777777" w:rsidR="00365DBA" w:rsidRPr="00365DBA" w:rsidRDefault="00365DBA" w:rsidP="00365DBA">
      <w:pPr>
        <w:pStyle w:val="100"/>
        <w:ind w:firstLine="420"/>
      </w:pPr>
      <w:r w:rsidRPr="00365DBA">
        <w:t>这种处理方式的优点在于，候选方案并不是对网格单元进行任意组合，而是以工程上可实施的工作面条带为基本对象。这样既能避免方案数量过度膨胀，也能保证保留下来的方案具有基本采矿意义。后续工程效率优先、资源回收优先和低扰动候选方案均在同一候选方案集合内确定，从而保证不同方案之间具有可比性。</w:t>
      </w:r>
    </w:p>
    <w:p w14:paraId="352BD465" w14:textId="77777777" w:rsidR="00AC546D" w:rsidRPr="00AC546D" w:rsidRDefault="00AC546D" w:rsidP="00AC546D">
      <w:pPr>
        <w:pStyle w:val="130"/>
      </w:pPr>
      <w:r w:rsidRPr="00AC546D">
        <w:t xml:space="preserve">2.3.1 </w:t>
      </w:r>
      <w:r w:rsidRPr="00AC546D">
        <w:t>工程效率评价</w:t>
      </w:r>
    </w:p>
    <w:p w14:paraId="6D7FFD9B" w14:textId="77777777" w:rsidR="00AC546D" w:rsidRPr="00AC546D" w:rsidRDefault="00AC546D" w:rsidP="00AC546D">
      <w:pPr>
        <w:pStyle w:val="100"/>
        <w:ind w:firstLine="420"/>
      </w:pPr>
      <w:r w:rsidRPr="00AC546D">
        <w:t>工程效率主要反映工作面布置对生产组织、推进长度均衡性和布局规整性的影响。对于采区规划而言，工程效率较高的方案通常应具有较高的有效覆盖率、适中的工作面数量、较均衡的推进长度和较少的短推进工作面。</w:t>
      </w:r>
    </w:p>
    <w:p w14:paraId="6231181F" w14:textId="77777777" w:rsidR="00AC546D" w:rsidRPr="00AC546D" w:rsidRDefault="00AC546D" w:rsidP="00AC546D">
      <w:pPr>
        <w:pStyle w:val="100"/>
        <w:ind w:firstLine="420"/>
      </w:pPr>
      <w:r w:rsidRPr="00AC546D">
        <w:t>工程效率评分可表示为：</w:t>
      </w:r>
    </w:p>
    <w:p w14:paraId="7A8DEE4C" w14:textId="1A4BB613" w:rsidR="00AC546D" w:rsidRPr="00AC546D" w:rsidRDefault="00AC546D" w:rsidP="00AC546D">
      <w:pPr>
        <w:pStyle w:val="MTDisplayEquation"/>
        <w:ind w:firstLine="480"/>
      </w:pPr>
      <w:r>
        <w:tab/>
      </w:r>
      <w:r w:rsidRPr="00AC546D">
        <w:rPr>
          <w:position w:val="-12"/>
        </w:rPr>
        <w:object w:dxaOrig="4099" w:dyaOrig="360" w14:anchorId="7EC7C0E9">
          <v:shape id="_x0000_i1079" type="#_x0000_t75" style="width:205.35pt;height:18pt" o:ole="">
            <v:imagedata r:id="rId121" o:title=""/>
          </v:shape>
          <o:OLEObject Type="Embed" ProgID="Equation.DSMT4" ShapeID="_x0000_i1079" DrawAspect="Content" ObjectID="_1840029980"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15</w:instrText>
        </w:r>
      </w:fldSimple>
      <w:r>
        <w:instrText>)</w:instrText>
      </w:r>
      <w:r>
        <w:fldChar w:fldCharType="end"/>
      </w:r>
    </w:p>
    <w:p w14:paraId="1488D3E1" w14:textId="0AA6AC7A" w:rsidR="00AC546D" w:rsidRPr="00AC546D" w:rsidRDefault="00AC546D" w:rsidP="00AC546D">
      <w:pPr>
        <w:pStyle w:val="100"/>
        <w:ind w:firstLine="420"/>
      </w:pPr>
      <w:r w:rsidRPr="00AC546D">
        <w:t>式中：</w:t>
      </w:r>
      <w:r w:rsidRPr="00AC546D">
        <w:rPr>
          <w:position w:val="-12"/>
        </w:rPr>
        <w:object w:dxaOrig="279" w:dyaOrig="360" w14:anchorId="39ED5733">
          <v:shape id="_x0000_i1080" type="#_x0000_t75" style="width:14pt;height:18pt" o:ole="">
            <v:imagedata r:id="rId123" o:title=""/>
          </v:shape>
          <o:OLEObject Type="Embed" ProgID="Equation.DSMT4" ShapeID="_x0000_i1080" DrawAspect="Content" ObjectID="_1840029981" r:id="rId124"/>
        </w:object>
      </w:r>
      <w:r w:rsidRPr="00AC546D">
        <w:t>为方案</w:t>
      </w:r>
      <w:r w:rsidRPr="00AC546D">
        <w:rPr>
          <w:position w:val="-12"/>
        </w:rPr>
        <w:object w:dxaOrig="240" w:dyaOrig="360" w14:anchorId="2155B359">
          <v:shape id="_x0000_i1081" type="#_x0000_t75" style="width:12pt;height:18pt" o:ole="">
            <v:imagedata r:id="rId125" o:title=""/>
          </v:shape>
          <o:OLEObject Type="Embed" ProgID="Equation.DSMT4" ShapeID="_x0000_i1081" DrawAspect="Content" ObjectID="_1840029982" r:id="rId126"/>
        </w:object>
      </w:r>
      <w:r w:rsidRPr="00AC546D">
        <w:t>的工程效率评分；</w:t>
      </w:r>
      <w:r w:rsidRPr="00AC546D">
        <w:rPr>
          <w:position w:val="-12"/>
        </w:rPr>
        <w:object w:dxaOrig="580" w:dyaOrig="360" w14:anchorId="11A9AF06">
          <v:shape id="_x0000_i1082" type="#_x0000_t75" style="width:28.65pt;height:18pt" o:ole="">
            <v:imagedata r:id="rId127" o:title=""/>
          </v:shape>
          <o:OLEObject Type="Embed" ProgID="Equation.DSMT4" ShapeID="_x0000_i1082" DrawAspect="Content" ObjectID="_1840029983" r:id="rId128"/>
        </w:object>
      </w:r>
      <w:r w:rsidRPr="00AC546D">
        <w:t>为有效覆盖率；</w:t>
      </w:r>
      <w:r w:rsidRPr="00AC546D">
        <w:rPr>
          <w:position w:val="-12"/>
        </w:rPr>
        <w:object w:dxaOrig="540" w:dyaOrig="360" w14:anchorId="5C1D5C85">
          <v:shape id="_x0000_i1083" type="#_x0000_t75" style="width:27.35pt;height:18pt" o:ole="">
            <v:imagedata r:id="rId129" o:title=""/>
          </v:shape>
          <o:OLEObject Type="Embed" ProgID="Equation.DSMT4" ShapeID="_x0000_i1083" DrawAspect="Content" ObjectID="_1840029984" r:id="rId130"/>
        </w:object>
      </w:r>
      <w:r w:rsidRPr="00AC546D">
        <w:t>为推进长度均衡性指标；</w:t>
      </w:r>
      <w:r w:rsidRPr="00AC546D">
        <w:rPr>
          <w:position w:val="-12"/>
        </w:rPr>
        <w:object w:dxaOrig="680" w:dyaOrig="360" w14:anchorId="331A23FF">
          <v:shape id="_x0000_i1084" type="#_x0000_t75" style="width:34pt;height:18pt" o:ole="">
            <v:imagedata r:id="rId131" o:title=""/>
          </v:shape>
          <o:OLEObject Type="Embed" ProgID="Equation.DSMT4" ShapeID="_x0000_i1084" DrawAspect="Content" ObjectID="_1840029985" r:id="rId132"/>
        </w:object>
      </w:r>
      <w:r w:rsidRPr="00AC546D">
        <w:t>为工作面数量适宜性指标；</w:t>
      </w:r>
      <w:r w:rsidRPr="00AC546D">
        <w:rPr>
          <w:position w:val="-12"/>
        </w:rPr>
        <w:object w:dxaOrig="580" w:dyaOrig="360" w14:anchorId="347B6631">
          <v:shape id="_x0000_i1085" type="#_x0000_t75" style="width:28.65pt;height:18pt" o:ole="">
            <v:imagedata r:id="rId133" o:title=""/>
          </v:shape>
          <o:OLEObject Type="Embed" ProgID="Equation.DSMT4" ShapeID="_x0000_i1085" DrawAspect="Content" ObjectID="_1840029986" r:id="rId134"/>
        </w:object>
      </w:r>
      <w:r w:rsidRPr="00AC546D">
        <w:t>为短推进控制指标；</w:t>
      </w:r>
      <w:r w:rsidRPr="00AC546D">
        <w:rPr>
          <w:position w:val="-12"/>
        </w:rPr>
        <w:object w:dxaOrig="240" w:dyaOrig="360" w14:anchorId="440FEA23">
          <v:shape id="_x0000_i1086" type="#_x0000_t75" style="width:12pt;height:18pt" o:ole="">
            <v:imagedata r:id="rId135" o:title=""/>
          </v:shape>
          <o:OLEObject Type="Embed" ProgID="Equation.DSMT4" ShapeID="_x0000_i1086" DrawAspect="Content" ObjectID="_1840029987" r:id="rId136"/>
        </w:object>
      </w:r>
      <w:r w:rsidRPr="00AC546D">
        <w:t>、</w:t>
      </w:r>
      <w:r w:rsidRPr="00AC546D">
        <w:rPr>
          <w:position w:val="-12"/>
        </w:rPr>
        <w:object w:dxaOrig="260" w:dyaOrig="360" w14:anchorId="7B1B42FB">
          <v:shape id="_x0000_i1087" type="#_x0000_t75" style="width:13.35pt;height:18pt" o:ole="">
            <v:imagedata r:id="rId137" o:title=""/>
          </v:shape>
          <o:OLEObject Type="Embed" ProgID="Equation.DSMT4" ShapeID="_x0000_i1087" DrawAspect="Content" ObjectID="_1840029988" r:id="rId138"/>
        </w:object>
      </w:r>
      <w:r w:rsidRPr="00AC546D">
        <w:t>、</w:t>
      </w:r>
      <w:r w:rsidRPr="00AC546D">
        <w:rPr>
          <w:position w:val="-12"/>
        </w:rPr>
        <w:object w:dxaOrig="260" w:dyaOrig="360" w14:anchorId="521BEFBB">
          <v:shape id="_x0000_i1088" type="#_x0000_t75" style="width:13.35pt;height:18pt" o:ole="">
            <v:imagedata r:id="rId139" o:title=""/>
          </v:shape>
          <o:OLEObject Type="Embed" ProgID="Equation.DSMT4" ShapeID="_x0000_i1088" DrawAspect="Content" ObjectID="_1840029989" r:id="rId140"/>
        </w:object>
      </w:r>
      <w:r w:rsidRPr="00AC546D">
        <w:t>、</w:t>
      </w:r>
      <w:r w:rsidRPr="00AC546D">
        <w:rPr>
          <w:position w:val="-12"/>
        </w:rPr>
        <w:object w:dxaOrig="260" w:dyaOrig="360" w14:anchorId="18F43E6B">
          <v:shape id="_x0000_i1089" type="#_x0000_t75" style="width:13.35pt;height:18pt" o:ole="">
            <v:imagedata r:id="rId141" o:title=""/>
          </v:shape>
          <o:OLEObject Type="Embed" ProgID="Equation.DSMT4" ShapeID="_x0000_i1089" DrawAspect="Content" ObjectID="_1840029990" r:id="rId142"/>
        </w:object>
      </w:r>
      <w:r w:rsidRPr="00AC546D">
        <w:t>为对应权重，且满足</w:t>
      </w:r>
      <w:r w:rsidRPr="00AC546D">
        <w:rPr>
          <w:position w:val="-12"/>
        </w:rPr>
        <w:object w:dxaOrig="1860" w:dyaOrig="360" w14:anchorId="3E0E9287">
          <v:shape id="_x0000_i1090" type="#_x0000_t75" style="width:93.35pt;height:18pt" o:ole="">
            <v:imagedata r:id="rId143" o:title=""/>
          </v:shape>
          <o:OLEObject Type="Embed" ProgID="Equation.DSMT4" ShapeID="_x0000_i1090" DrawAspect="Content" ObjectID="_1840029991" r:id="rId144"/>
        </w:object>
      </w:r>
      <w:r w:rsidRPr="00AC546D">
        <w:t>。</w:t>
      </w:r>
    </w:p>
    <w:p w14:paraId="603528D7" w14:textId="77777777" w:rsidR="00AC546D" w:rsidRDefault="00AC546D" w:rsidP="00AC546D">
      <w:pPr>
        <w:pStyle w:val="100"/>
        <w:ind w:firstLine="420"/>
      </w:pPr>
      <w:r w:rsidRPr="00AC546D">
        <w:t>有效覆盖率可表示为：</w:t>
      </w:r>
    </w:p>
    <w:p w14:paraId="1CA44277" w14:textId="0E46E62E" w:rsidR="00AC546D" w:rsidRPr="00AC546D" w:rsidRDefault="00AC546D" w:rsidP="00AC546D">
      <w:pPr>
        <w:pStyle w:val="MTDisplayEquation"/>
        <w:ind w:firstLine="480"/>
      </w:pPr>
      <w:r>
        <w:tab/>
      </w:r>
      <w:r w:rsidRPr="00AC546D">
        <w:rPr>
          <w:position w:val="-30"/>
        </w:rPr>
        <w:object w:dxaOrig="1480" w:dyaOrig="680" w14:anchorId="6DDA86A1">
          <v:shape id="_x0000_i1091" type="#_x0000_t75" style="width:74pt;height:34pt" o:ole="">
            <v:imagedata r:id="rId145" o:title=""/>
          </v:shape>
          <o:OLEObject Type="Embed" ProgID="Equation.DSMT4" ShapeID="_x0000_i1091" DrawAspect="Content" ObjectID="_1840029992" r:id="rId1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16</w:instrText>
        </w:r>
      </w:fldSimple>
      <w:r>
        <w:instrText>)</w:instrText>
      </w:r>
      <w:r>
        <w:fldChar w:fldCharType="end"/>
      </w:r>
    </w:p>
    <w:p w14:paraId="2E288BA4" w14:textId="19A7CE80" w:rsidR="00AC546D" w:rsidRPr="00AC546D" w:rsidRDefault="00AC546D" w:rsidP="00AC546D">
      <w:pPr>
        <w:pStyle w:val="100"/>
        <w:ind w:firstLine="420"/>
      </w:pPr>
      <w:r w:rsidRPr="00AC546D">
        <w:t>式中：</w:t>
      </w:r>
      <w:r w:rsidRPr="00AC546D">
        <w:rPr>
          <w:position w:val="-12"/>
        </w:rPr>
        <w:object w:dxaOrig="660" w:dyaOrig="360" w14:anchorId="53A0228C">
          <v:shape id="_x0000_i1092" type="#_x0000_t75" style="width:33.35pt;height:18pt" o:ole="">
            <v:imagedata r:id="rId147" o:title=""/>
          </v:shape>
          <o:OLEObject Type="Embed" ProgID="Equation.DSMT4" ShapeID="_x0000_i1092" DrawAspect="Content" ObjectID="_1840029993" r:id="rId148"/>
        </w:object>
      </w:r>
      <w:r w:rsidRPr="00AC546D">
        <w:t>为方案</w:t>
      </w:r>
      <w:r w:rsidRPr="00AC546D">
        <w:rPr>
          <w:position w:val="-12"/>
        </w:rPr>
        <w:object w:dxaOrig="240" w:dyaOrig="360" w14:anchorId="520B692F">
          <v:shape id="_x0000_i1093" type="#_x0000_t75" style="width:12pt;height:18pt" o:ole="">
            <v:imagedata r:id="rId149" o:title=""/>
          </v:shape>
          <o:OLEObject Type="Embed" ProgID="Equation.DSMT4" ShapeID="_x0000_i1093" DrawAspect="Content" ObjectID="_1840029994" r:id="rId150"/>
        </w:object>
      </w:r>
      <w:r w:rsidRPr="00AC546D">
        <w:t>覆盖区域面积；</w:t>
      </w:r>
      <w:r w:rsidRPr="00AC546D">
        <w:rPr>
          <w:position w:val="-12"/>
        </w:rPr>
        <w:object w:dxaOrig="680" w:dyaOrig="360" w14:anchorId="29EA2AAA">
          <v:shape id="_x0000_i1094" type="#_x0000_t75" style="width:34pt;height:18pt" o:ole="">
            <v:imagedata r:id="rId151" o:title=""/>
          </v:shape>
          <o:OLEObject Type="Embed" ProgID="Equation.DSMT4" ShapeID="_x0000_i1094" DrawAspect="Content" ObjectID="_1840029995" r:id="rId152"/>
        </w:object>
      </w:r>
      <w:r w:rsidRPr="00AC546D">
        <w:t>为</w:t>
      </w:r>
      <w:r w:rsidR="003B394F">
        <w:t>工作面可布置区域</w:t>
      </w:r>
      <w:r w:rsidRPr="00AC546D">
        <w:t>面积。</w:t>
      </w:r>
    </w:p>
    <w:p w14:paraId="6481D32A" w14:textId="77777777" w:rsidR="00AC546D" w:rsidRDefault="00AC546D" w:rsidP="00AC546D">
      <w:pPr>
        <w:pStyle w:val="100"/>
        <w:ind w:firstLine="420"/>
      </w:pPr>
      <w:r w:rsidRPr="00AC546D">
        <w:t>推进长度均衡性可根据各工作面推进长度的变异程度确定：</w:t>
      </w:r>
    </w:p>
    <w:p w14:paraId="07E62508" w14:textId="0DB2C1C1" w:rsidR="00AC546D" w:rsidRPr="00AC546D" w:rsidRDefault="00AC546D" w:rsidP="00AC546D">
      <w:pPr>
        <w:pStyle w:val="MTDisplayEquation"/>
        <w:ind w:firstLine="480"/>
      </w:pPr>
      <w:r>
        <w:tab/>
      </w:r>
      <w:r w:rsidRPr="00AC546D">
        <w:rPr>
          <w:position w:val="-24"/>
        </w:rPr>
        <w:object w:dxaOrig="1380" w:dyaOrig="620" w14:anchorId="19DDBFE1">
          <v:shape id="_x0000_i1095" type="#_x0000_t75" style="width:69.35pt;height:31.35pt" o:ole="">
            <v:imagedata r:id="rId153" o:title=""/>
          </v:shape>
          <o:OLEObject Type="Embed" ProgID="Equation.DSMT4" ShapeID="_x0000_i1095" DrawAspect="Content" ObjectID="_1840029996"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17</w:instrText>
        </w:r>
      </w:fldSimple>
      <w:r>
        <w:instrText>)</w:instrText>
      </w:r>
      <w:r>
        <w:fldChar w:fldCharType="end"/>
      </w:r>
    </w:p>
    <w:p w14:paraId="6F6CE8F2" w14:textId="7A594290" w:rsidR="00067EEE" w:rsidRDefault="00AC546D" w:rsidP="00067EEE">
      <w:pPr>
        <w:pStyle w:val="100"/>
        <w:ind w:firstLine="420"/>
      </w:pPr>
      <w:r w:rsidRPr="00AC546D">
        <w:t>式中：</w:t>
      </w:r>
      <w:r w:rsidRPr="00AC546D">
        <w:rPr>
          <w:position w:val="-12"/>
        </w:rPr>
        <w:object w:dxaOrig="320" w:dyaOrig="360" w14:anchorId="4C8B145F">
          <v:shape id="_x0000_i1096" type="#_x0000_t75" style="width:16pt;height:18pt" o:ole="">
            <v:imagedata r:id="rId155" o:title=""/>
          </v:shape>
          <o:OLEObject Type="Embed" ProgID="Equation.DSMT4" ShapeID="_x0000_i1096" DrawAspect="Content" ObjectID="_1840029997" r:id="rId156"/>
        </w:object>
      </w:r>
      <w:r w:rsidRPr="00AC546D">
        <w:t>为方案</w:t>
      </w:r>
      <w:r w:rsidRPr="00AC546D">
        <w:rPr>
          <w:position w:val="-12"/>
        </w:rPr>
        <w:object w:dxaOrig="240" w:dyaOrig="360" w14:anchorId="24B34E22">
          <v:shape id="_x0000_i1097" type="#_x0000_t75" style="width:12pt;height:18pt" o:ole="">
            <v:imagedata r:id="rId157" o:title=""/>
          </v:shape>
          <o:OLEObject Type="Embed" ProgID="Equation.DSMT4" ShapeID="_x0000_i1097" DrawAspect="Content" ObjectID="_1840029998" r:id="rId158"/>
        </w:object>
      </w:r>
      <w:r w:rsidRPr="00AC546D">
        <w:t>中各工作面推进长度的标准差；</w:t>
      </w:r>
      <w:r w:rsidRPr="00025957">
        <w:rPr>
          <w:position w:val="-4"/>
        </w:rPr>
        <w:object w:dxaOrig="240" w:dyaOrig="300" w14:anchorId="7B32C509">
          <v:shape id="_x0000_i1098" type="#_x0000_t75" style="width:12pt;height:15.35pt" o:ole="">
            <v:imagedata r:id="rId159" o:title=""/>
          </v:shape>
          <o:OLEObject Type="Embed" ProgID="Equation.DSMT4" ShapeID="_x0000_i1098" DrawAspect="Content" ObjectID="_1840029999" r:id="rId160"/>
        </w:object>
      </w:r>
      <w:r w:rsidRPr="00AC546D">
        <w:t>为平均推进长度。当不同工作面推进长度越接近时，</w:t>
      </w:r>
      <w:r w:rsidRPr="00AC546D">
        <w:rPr>
          <w:position w:val="-12"/>
        </w:rPr>
        <w:object w:dxaOrig="540" w:dyaOrig="360" w14:anchorId="2194681D">
          <v:shape id="_x0000_i1099" type="#_x0000_t75" style="width:27.35pt;height:18pt" o:ole="">
            <v:imagedata r:id="rId161" o:title=""/>
          </v:shape>
          <o:OLEObject Type="Embed" ProgID="Equation.DSMT4" ShapeID="_x0000_i1099" DrawAspect="Content" ObjectID="_1840030000" r:id="rId162"/>
        </w:object>
      </w:r>
      <w:r w:rsidRPr="00AC546D">
        <w:t>越大，说明方案推进组织越均衡。对于</w:t>
      </w:r>
      <w:r w:rsidRPr="00AC546D">
        <w:rPr>
          <w:position w:val="-12"/>
        </w:rPr>
        <w:object w:dxaOrig="680" w:dyaOrig="360" w14:anchorId="287A23B1">
          <v:shape id="_x0000_i1100" type="#_x0000_t75" style="width:34pt;height:18pt" o:ole="">
            <v:imagedata r:id="rId163" o:title=""/>
          </v:shape>
          <o:OLEObject Type="Embed" ProgID="Equation.DSMT4" ShapeID="_x0000_i1100" DrawAspect="Content" ObjectID="_1840030001" r:id="rId164"/>
        </w:object>
      </w:r>
      <w:r w:rsidRPr="00AC546D">
        <w:t>和</w:t>
      </w:r>
      <w:r w:rsidRPr="00AC546D">
        <w:rPr>
          <w:position w:val="-12"/>
        </w:rPr>
        <w:object w:dxaOrig="580" w:dyaOrig="360" w14:anchorId="4AB296A3">
          <v:shape id="_x0000_i1101" type="#_x0000_t75" style="width:28.65pt;height:18pt" o:ole="">
            <v:imagedata r:id="rId165" o:title=""/>
          </v:shape>
          <o:OLEObject Type="Embed" ProgID="Equation.DSMT4" ShapeID="_x0000_i1101" DrawAspect="Content" ObjectID="_1840030002" r:id="rId166"/>
        </w:object>
      </w:r>
      <w:r w:rsidRPr="00AC546D">
        <w:t>，可根据工作面数量偏离推荐范围的程度及短推进工作面比例进行归一化计算，取值范围均为</w:t>
      </w:r>
      <w:r w:rsidRPr="00AC546D">
        <w:t>0</w:t>
      </w:r>
      <w:r w:rsidRPr="00AC546D">
        <w:t>～</w:t>
      </w:r>
      <w:r w:rsidRPr="00AC546D">
        <w:t>1</w:t>
      </w:r>
      <w:r w:rsidRPr="00AC546D">
        <w:t>。</w:t>
      </w:r>
    </w:p>
    <w:p w14:paraId="77070BC0" w14:textId="77777777" w:rsidR="00AC546D" w:rsidRPr="00AC546D" w:rsidRDefault="00AC546D" w:rsidP="00AC546D">
      <w:pPr>
        <w:pStyle w:val="130"/>
      </w:pPr>
      <w:r w:rsidRPr="00AC546D">
        <w:t xml:space="preserve">2.3.2 </w:t>
      </w:r>
      <w:r w:rsidRPr="00AC546D">
        <w:t>资源回收评价</w:t>
      </w:r>
    </w:p>
    <w:p w14:paraId="645ACB2B" w14:textId="15126107" w:rsidR="00AC546D" w:rsidRPr="00AC546D" w:rsidRDefault="00365DBA" w:rsidP="00AC546D">
      <w:pPr>
        <w:pStyle w:val="100"/>
        <w:ind w:firstLine="420"/>
      </w:pPr>
      <w:r w:rsidRPr="00365DBA">
        <w:t>资源回收评价用于反映候选方案对工作面可布置区域和煤厚资源的利用程度。仅用面积覆盖率评价方案并不充分，因为不同区域煤层厚度存在差异，覆盖同样面积并不一定代表获得相同资源量。因此，本文将煤层厚度分布纳入资源回收评价</w:t>
      </w:r>
      <w:r w:rsidR="00AC546D" w:rsidRPr="00AC546D">
        <w:t>。</w:t>
      </w:r>
    </w:p>
    <w:p w14:paraId="0A312BBB" w14:textId="77777777" w:rsidR="00AC546D" w:rsidRPr="00AC546D" w:rsidRDefault="00AC546D" w:rsidP="00AC546D">
      <w:pPr>
        <w:pStyle w:val="100"/>
        <w:ind w:firstLine="420"/>
      </w:pPr>
      <w:r w:rsidRPr="00AC546D">
        <w:t>资源回收评分可表示为：</w:t>
      </w:r>
    </w:p>
    <w:p w14:paraId="4D34E72A" w14:textId="5F4D010B" w:rsidR="00AC546D" w:rsidRPr="00AC546D" w:rsidRDefault="00AC546D" w:rsidP="00AC546D">
      <w:pPr>
        <w:pStyle w:val="MTDisplayEquation"/>
        <w:ind w:firstLine="480"/>
      </w:pPr>
      <w:r>
        <w:tab/>
      </w:r>
      <w:r w:rsidRPr="00AC546D">
        <w:rPr>
          <w:position w:val="-12"/>
        </w:rPr>
        <w:object w:dxaOrig="2900" w:dyaOrig="360" w14:anchorId="2972B518">
          <v:shape id="_x0000_i1102" type="#_x0000_t75" style="width:145.35pt;height:18pt" o:ole="">
            <v:imagedata r:id="rId167" o:title=""/>
          </v:shape>
          <o:OLEObject Type="Embed" ProgID="Equation.DSMT4" ShapeID="_x0000_i1102" DrawAspect="Content" ObjectID="_1840030003"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18</w:instrText>
        </w:r>
      </w:fldSimple>
      <w:r>
        <w:instrText>)</w:instrText>
      </w:r>
      <w:r>
        <w:fldChar w:fldCharType="end"/>
      </w:r>
    </w:p>
    <w:p w14:paraId="28FC2960" w14:textId="413A07CE" w:rsidR="00AC546D" w:rsidRPr="00AC546D" w:rsidRDefault="00AC546D" w:rsidP="00AC546D">
      <w:pPr>
        <w:pStyle w:val="100"/>
        <w:ind w:firstLine="420"/>
      </w:pPr>
      <w:r w:rsidRPr="00AC546D">
        <w:t>式中：</w:t>
      </w:r>
      <w:r w:rsidRPr="00AC546D">
        <w:rPr>
          <w:position w:val="-12"/>
        </w:rPr>
        <w:object w:dxaOrig="260" w:dyaOrig="360" w14:anchorId="71AF3936">
          <v:shape id="_x0000_i1103" type="#_x0000_t75" style="width:13.35pt;height:18pt" o:ole="">
            <v:imagedata r:id="rId169" o:title=""/>
          </v:shape>
          <o:OLEObject Type="Embed" ProgID="Equation.DSMT4" ShapeID="_x0000_i1103" DrawAspect="Content" ObjectID="_1840030004" r:id="rId170"/>
        </w:object>
      </w:r>
      <w:r w:rsidRPr="00AC546D">
        <w:t>为方案</w:t>
      </w:r>
      <w:r w:rsidRPr="00AC546D">
        <w:rPr>
          <w:position w:val="-12"/>
        </w:rPr>
        <w:object w:dxaOrig="240" w:dyaOrig="360" w14:anchorId="0E27BABA">
          <v:shape id="_x0000_i1104" type="#_x0000_t75" style="width:12pt;height:18pt" o:ole="">
            <v:imagedata r:id="rId171" o:title=""/>
          </v:shape>
          <o:OLEObject Type="Embed" ProgID="Equation.DSMT4" ShapeID="_x0000_i1104" DrawAspect="Content" ObjectID="_1840030005" r:id="rId172"/>
        </w:object>
      </w:r>
      <w:r w:rsidRPr="00AC546D">
        <w:t>的资源回收评分；</w:t>
      </w:r>
      <w:r w:rsidRPr="00AC546D">
        <w:rPr>
          <w:position w:val="-12"/>
        </w:rPr>
        <w:object w:dxaOrig="420" w:dyaOrig="360" w14:anchorId="279F0D4A">
          <v:shape id="_x0000_i1105" type="#_x0000_t75" style="width:21.35pt;height:18pt" o:ole="">
            <v:imagedata r:id="rId173" o:title=""/>
          </v:shape>
          <o:OLEObject Type="Embed" ProgID="Equation.DSMT4" ShapeID="_x0000_i1105" DrawAspect="Content" ObjectID="_1840030006" r:id="rId174"/>
        </w:object>
      </w:r>
      <w:r w:rsidRPr="00AC546D">
        <w:t>为煤层厚度场覆盖贡献；</w:t>
      </w:r>
      <w:r w:rsidRPr="00AC546D">
        <w:rPr>
          <w:position w:val="-12"/>
        </w:rPr>
        <w:object w:dxaOrig="580" w:dyaOrig="360" w14:anchorId="4DCADCE4">
          <v:shape id="_x0000_i1106" type="#_x0000_t75" style="width:28.65pt;height:18pt" o:ole="">
            <v:imagedata r:id="rId175" o:title=""/>
          </v:shape>
          <o:OLEObject Type="Embed" ProgID="Equation.DSMT4" ShapeID="_x0000_i1106" DrawAspect="Content" ObjectID="_1840030007" r:id="rId176"/>
        </w:object>
      </w:r>
      <w:r w:rsidRPr="00AC546D">
        <w:t>为有效覆盖率；</w:t>
      </w:r>
      <w:r w:rsidRPr="00AC546D">
        <w:rPr>
          <w:position w:val="-12"/>
        </w:rPr>
        <w:object w:dxaOrig="600" w:dyaOrig="360" w14:anchorId="6CA791B1">
          <v:shape id="_x0000_i1107" type="#_x0000_t75" style="width:30pt;height:18pt" o:ole="">
            <v:imagedata r:id="rId177" o:title=""/>
          </v:shape>
          <o:OLEObject Type="Embed" ProgID="Equation.DSMT4" ShapeID="_x0000_i1107" DrawAspect="Content" ObjectID="_1840030008" r:id="rId178"/>
        </w:object>
      </w:r>
      <w:r w:rsidRPr="00AC546D">
        <w:t>为工程组织辅助指标；</w:t>
      </w:r>
      <w:r w:rsidRPr="00AC546D">
        <w:rPr>
          <w:position w:val="-12"/>
        </w:rPr>
        <w:object w:dxaOrig="220" w:dyaOrig="360" w14:anchorId="7FDAB7C8">
          <v:shape id="_x0000_i1108" type="#_x0000_t75" style="width:10.65pt;height:18pt" o:ole="">
            <v:imagedata r:id="rId179" o:title=""/>
          </v:shape>
          <o:OLEObject Type="Embed" ProgID="Equation.DSMT4" ShapeID="_x0000_i1108" DrawAspect="Content" ObjectID="_1840030009" r:id="rId180"/>
        </w:object>
      </w:r>
      <w:r w:rsidRPr="00AC546D">
        <w:t>、</w:t>
      </w:r>
      <w:r w:rsidRPr="00AC546D">
        <w:rPr>
          <w:position w:val="-12"/>
        </w:rPr>
        <w:object w:dxaOrig="240" w:dyaOrig="360" w14:anchorId="6E13DCA3">
          <v:shape id="_x0000_i1109" type="#_x0000_t75" style="width:12pt;height:18pt" o:ole="">
            <v:imagedata r:id="rId181" o:title=""/>
          </v:shape>
          <o:OLEObject Type="Embed" ProgID="Equation.DSMT4" ShapeID="_x0000_i1109" DrawAspect="Content" ObjectID="_1840030010" r:id="rId182"/>
        </w:object>
      </w:r>
      <w:r w:rsidRPr="00AC546D">
        <w:t>、</w:t>
      </w:r>
      <w:r w:rsidRPr="00AC546D">
        <w:rPr>
          <w:position w:val="-12"/>
        </w:rPr>
        <w:object w:dxaOrig="240" w:dyaOrig="360" w14:anchorId="2CB5C816">
          <v:shape id="_x0000_i1110" type="#_x0000_t75" style="width:12pt;height:18pt" o:ole="">
            <v:imagedata r:id="rId183" o:title=""/>
          </v:shape>
          <o:OLEObject Type="Embed" ProgID="Equation.DSMT4" ShapeID="_x0000_i1110" DrawAspect="Content" ObjectID="_1840030011" r:id="rId184"/>
        </w:object>
      </w:r>
      <w:r w:rsidRPr="00AC546D">
        <w:t>为资源回收分项权重，且满足</w:t>
      </w:r>
      <w:r w:rsidRPr="00AC546D">
        <w:rPr>
          <w:position w:val="-12"/>
        </w:rPr>
        <w:object w:dxaOrig="1380" w:dyaOrig="360" w14:anchorId="26C0BF14">
          <v:shape id="_x0000_i1111" type="#_x0000_t75" style="width:69.35pt;height:18pt" o:ole="">
            <v:imagedata r:id="rId185" o:title=""/>
          </v:shape>
          <o:OLEObject Type="Embed" ProgID="Equation.DSMT4" ShapeID="_x0000_i1111" DrawAspect="Content" ObjectID="_1840030012" r:id="rId186"/>
        </w:object>
      </w:r>
      <w:r w:rsidRPr="00AC546D">
        <w:t>。</w:t>
      </w:r>
    </w:p>
    <w:p w14:paraId="6CCC1D84" w14:textId="77777777" w:rsidR="00AC546D" w:rsidRDefault="00AC546D" w:rsidP="00AC546D">
      <w:pPr>
        <w:pStyle w:val="100"/>
        <w:ind w:firstLine="420"/>
      </w:pPr>
      <w:r w:rsidRPr="00AC546D">
        <w:t>煤层厚度场覆盖贡献可表示为：</w:t>
      </w:r>
    </w:p>
    <w:p w14:paraId="3D1900C5" w14:textId="72E71BD2" w:rsidR="00AC546D" w:rsidRPr="00AC546D" w:rsidRDefault="00AC546D" w:rsidP="00AC546D">
      <w:pPr>
        <w:pStyle w:val="MTDisplayEquation"/>
        <w:ind w:firstLine="480"/>
      </w:pPr>
      <w:r>
        <w:tab/>
      </w:r>
      <w:r w:rsidRPr="00AC546D">
        <w:rPr>
          <w:position w:val="-40"/>
        </w:rPr>
        <w:object w:dxaOrig="1800" w:dyaOrig="920" w14:anchorId="41E1AF2C">
          <v:shape id="_x0000_i1112" type="#_x0000_t75" style="width:90pt;height:46pt" o:ole="">
            <v:imagedata r:id="rId187" o:title=""/>
          </v:shape>
          <o:OLEObject Type="Embed" ProgID="Equation.DSMT4" ShapeID="_x0000_i1112" DrawAspect="Content" ObjectID="_1840030013"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19</w:instrText>
        </w:r>
      </w:fldSimple>
      <w:r>
        <w:instrText>)</w:instrText>
      </w:r>
      <w:r>
        <w:fldChar w:fldCharType="end"/>
      </w:r>
    </w:p>
    <w:p w14:paraId="533724F3" w14:textId="77777777" w:rsidR="00AC546D" w:rsidRPr="00AC546D" w:rsidRDefault="00AC546D" w:rsidP="00AC546D">
      <w:pPr>
        <w:pStyle w:val="130"/>
      </w:pPr>
      <w:r w:rsidRPr="00AC546D">
        <w:t xml:space="preserve">2.3.3 </w:t>
      </w:r>
      <w:r w:rsidRPr="00AC546D">
        <w:t>扰动控制评价</w:t>
      </w:r>
    </w:p>
    <w:p w14:paraId="059EEAEE" w14:textId="77777777" w:rsidR="00365DBA" w:rsidRDefault="00365DBA" w:rsidP="00AC546D">
      <w:pPr>
        <w:pStyle w:val="100"/>
        <w:ind w:firstLine="420"/>
      </w:pPr>
      <w:r w:rsidRPr="00365DBA">
        <w:t>扰动控制评价用于反映候选方案与扰动较强区域的关系。单独采用某一固定阈值下的超阈值面积比例，容易受阈值选取影响；而仅看</w:t>
      </w:r>
      <w:r w:rsidRPr="00365DBA">
        <w:t>ODI</w:t>
      </w:r>
      <w:r w:rsidRPr="00365DBA">
        <w:t>均值，又可能忽略局部高值区域。因此，本文同时采用</w:t>
      </w:r>
      <w:r w:rsidRPr="00365DBA">
        <w:t>ODI</w:t>
      </w:r>
      <w:r w:rsidRPr="00365DBA">
        <w:t>均值、</w:t>
      </w:r>
      <w:r w:rsidRPr="00365DBA">
        <w:t>P90</w:t>
      </w:r>
      <w:r w:rsidRPr="00365DBA">
        <w:t>和超阈值比例描述方案扰动水</w:t>
      </w:r>
      <w:r w:rsidRPr="00365DBA">
        <w:t>平</w:t>
      </w:r>
      <w:r w:rsidR="00AC546D" w:rsidRPr="00AC546D">
        <w:t>。</w:t>
      </w:r>
    </w:p>
    <w:p w14:paraId="0591593F" w14:textId="51AA1971" w:rsidR="00AC546D" w:rsidRPr="00AC546D" w:rsidRDefault="00AC546D" w:rsidP="00AC546D">
      <w:pPr>
        <w:pStyle w:val="100"/>
        <w:ind w:firstLine="420"/>
      </w:pPr>
      <w:r w:rsidRPr="00AC546D">
        <w:t>设候选方案</w:t>
      </w:r>
      <w:r w:rsidRPr="00AC546D">
        <w:rPr>
          <w:position w:val="-12"/>
        </w:rPr>
        <w:object w:dxaOrig="240" w:dyaOrig="360" w14:anchorId="6A365FDE">
          <v:shape id="_x0000_i1113" type="#_x0000_t75" style="width:12pt;height:18pt" o:ole="">
            <v:imagedata r:id="rId189" o:title=""/>
          </v:shape>
          <o:OLEObject Type="Embed" ProgID="Equation.DSMT4" ShapeID="_x0000_i1113" DrawAspect="Content" ObjectID="_1840030014" r:id="rId190"/>
        </w:object>
      </w:r>
      <w:r w:rsidRPr="00AC546D">
        <w:t>覆盖区域内共有</w:t>
      </w:r>
      <w:r w:rsidRPr="00AC546D">
        <w:rPr>
          <w:position w:val="-12"/>
        </w:rPr>
        <w:object w:dxaOrig="340" w:dyaOrig="360" w14:anchorId="5CFBF5D3">
          <v:shape id="_x0000_i1114" type="#_x0000_t75" style="width:16.65pt;height:18pt" o:ole="">
            <v:imagedata r:id="rId191" o:title=""/>
          </v:shape>
          <o:OLEObject Type="Embed" ProgID="Equation.DSMT4" ShapeID="_x0000_i1114" DrawAspect="Content" ObjectID="_1840030015" r:id="rId192"/>
        </w:object>
      </w:r>
      <w:r w:rsidRPr="00AC546D">
        <w:t>个网格，第</w:t>
      </w:r>
      <w:r w:rsidRPr="00AC546D">
        <w:rPr>
          <w:position w:val="-10"/>
        </w:rPr>
        <w:object w:dxaOrig="220" w:dyaOrig="260" w14:anchorId="7B6601C3">
          <v:shape id="_x0000_i1115" type="#_x0000_t75" style="width:10.65pt;height:13.35pt" o:ole="">
            <v:imagedata r:id="rId193" o:title=""/>
          </v:shape>
          <o:OLEObject Type="Embed" ProgID="Equation.DSMT4" ShapeID="_x0000_i1115" DrawAspect="Content" ObjectID="_1840030016" r:id="rId194"/>
        </w:object>
      </w:r>
      <w:r w:rsidRPr="00AC546D">
        <w:t>个网格的扰动值为</w:t>
      </w:r>
      <w:r w:rsidRPr="00AC546D">
        <w:rPr>
          <w:position w:val="-14"/>
        </w:rPr>
        <w:object w:dxaOrig="600" w:dyaOrig="380" w14:anchorId="7B335449">
          <v:shape id="_x0000_i1116" type="#_x0000_t75" style="width:30pt;height:19.35pt" o:ole="">
            <v:imagedata r:id="rId195" o:title=""/>
          </v:shape>
          <o:OLEObject Type="Embed" ProgID="Equation.DSMT4" ShapeID="_x0000_i1116" DrawAspect="Content" ObjectID="_1840030017" r:id="rId196"/>
        </w:object>
      </w:r>
      <w:r w:rsidRPr="00AC546D">
        <w:t>，则方案</w:t>
      </w:r>
      <w:r w:rsidRPr="00AC546D">
        <w:t>ODI</w:t>
      </w:r>
      <w:r w:rsidRPr="00AC546D">
        <w:t>均值为：</w:t>
      </w:r>
    </w:p>
    <w:p w14:paraId="0CFE5D19" w14:textId="41EFF36F" w:rsidR="00AC546D" w:rsidRPr="00AC546D" w:rsidRDefault="00AC546D" w:rsidP="00AC546D">
      <w:pPr>
        <w:pStyle w:val="MTDisplayEquation"/>
        <w:ind w:firstLine="480"/>
      </w:pPr>
      <w:r>
        <w:tab/>
      </w:r>
      <w:r w:rsidRPr="00AC546D">
        <w:rPr>
          <w:position w:val="-32"/>
        </w:rPr>
        <w:object w:dxaOrig="1960" w:dyaOrig="740" w14:anchorId="5DA770DD">
          <v:shape id="_x0000_i1117" type="#_x0000_t75" style="width:98pt;height:37.35pt" o:ole="">
            <v:imagedata r:id="rId197" o:title=""/>
          </v:shape>
          <o:OLEObject Type="Embed" ProgID="Equation.DSMT4" ShapeID="_x0000_i1117" DrawAspect="Content" ObjectID="_1840030018"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20</w:instrText>
        </w:r>
      </w:fldSimple>
      <w:r>
        <w:instrText>)</w:instrText>
      </w:r>
      <w:r>
        <w:fldChar w:fldCharType="end"/>
      </w:r>
    </w:p>
    <w:p w14:paraId="046AE342" w14:textId="5C6029FD" w:rsidR="00AC546D" w:rsidRDefault="00AC546D" w:rsidP="00067EEE">
      <w:pPr>
        <w:pStyle w:val="100"/>
        <w:ind w:firstLine="420"/>
      </w:pPr>
      <w:r w:rsidRPr="00AC546D">
        <w:t>P90</w:t>
      </w:r>
      <w:r w:rsidRPr="00AC546D">
        <w:t>表示方案覆盖区域内</w:t>
      </w:r>
      <w:r w:rsidRPr="00AC546D">
        <w:t>ODI</w:t>
      </w:r>
      <w:r w:rsidRPr="00AC546D">
        <w:t>值的</w:t>
      </w:r>
      <w:r w:rsidRPr="00AC546D">
        <w:t>90%</w:t>
      </w:r>
      <w:r w:rsidRPr="00AC546D">
        <w:t>分位数，记为：</w:t>
      </w:r>
    </w:p>
    <w:p w14:paraId="0E7AEBDF" w14:textId="26B43837" w:rsidR="00AC546D" w:rsidRDefault="00AC546D" w:rsidP="00AC546D">
      <w:pPr>
        <w:pStyle w:val="MTDisplayEquation"/>
        <w:ind w:firstLine="480"/>
      </w:pPr>
      <w:r>
        <w:tab/>
      </w:r>
      <w:r w:rsidRPr="00AC546D">
        <w:rPr>
          <w:position w:val="-14"/>
        </w:rPr>
        <w:object w:dxaOrig="1920" w:dyaOrig="380" w14:anchorId="0B621CF6">
          <v:shape id="_x0000_i1118" type="#_x0000_t75" style="width:96pt;height:19.35pt" o:ole="">
            <v:imagedata r:id="rId199" o:title=""/>
          </v:shape>
          <o:OLEObject Type="Embed" ProgID="Equation.DSMT4" ShapeID="_x0000_i1118" DrawAspect="Content" ObjectID="_1840030019" r:id="rId2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A2F6D">
          <w:rPr>
            <w:noProof/>
          </w:rPr>
          <w:instrText>21</w:instrText>
        </w:r>
      </w:fldSimple>
      <w:r>
        <w:instrText>)</w:instrText>
      </w:r>
      <w:r>
        <w:fldChar w:fldCharType="end"/>
      </w:r>
    </w:p>
    <w:p w14:paraId="094DE513" w14:textId="6E8B28FC" w:rsidR="00AC546D" w:rsidRPr="00AC546D" w:rsidRDefault="00AC546D" w:rsidP="00AC546D">
      <w:pPr>
        <w:pStyle w:val="100"/>
        <w:ind w:firstLine="420"/>
      </w:pPr>
      <w:r w:rsidRPr="00AC546D">
        <w:t>式中：</w:t>
      </w:r>
      <w:r w:rsidRPr="00AC546D">
        <w:rPr>
          <w:position w:val="-12"/>
        </w:rPr>
        <w:object w:dxaOrig="300" w:dyaOrig="360" w14:anchorId="257F68AF">
          <v:shape id="_x0000_i1119" type="#_x0000_t75" style="width:15.35pt;height:18pt" o:ole="">
            <v:imagedata r:id="rId201" o:title=""/>
          </v:shape>
          <o:OLEObject Type="Embed" ProgID="Equation.DSMT4" ShapeID="_x0000_i1119" DrawAspect="Content" ObjectID="_1840030020" r:id="rId202"/>
        </w:object>
      </w:r>
      <w:r w:rsidRPr="00AC546D">
        <w:t>为方案</w:t>
      </w:r>
      <w:r w:rsidRPr="00AC546D">
        <w:rPr>
          <w:position w:val="-12"/>
        </w:rPr>
        <w:object w:dxaOrig="240" w:dyaOrig="360" w14:anchorId="5E1C45EB">
          <v:shape id="_x0000_i1120" type="#_x0000_t75" style="width:12pt;height:18pt" o:ole="">
            <v:imagedata r:id="rId203" o:title=""/>
          </v:shape>
          <o:OLEObject Type="Embed" ProgID="Equation.DSMT4" ShapeID="_x0000_i1120" DrawAspect="Content" ObjectID="_1840030021" r:id="rId204"/>
        </w:object>
      </w:r>
      <w:r w:rsidRPr="00AC546D">
        <w:t>的扰动风险综合得分；</w:t>
      </w:r>
      <w:r w:rsidRPr="00AC546D">
        <w:rPr>
          <w:position w:val="-12"/>
        </w:rPr>
        <w:object w:dxaOrig="220" w:dyaOrig="360" w14:anchorId="223CD212">
          <v:shape id="_x0000_i1121" type="#_x0000_t75" style="width:10.65pt;height:18pt" o:ole="">
            <v:imagedata r:id="rId205" o:title=""/>
          </v:shape>
          <o:OLEObject Type="Embed" ProgID="Equation.DSMT4" ShapeID="_x0000_i1121" DrawAspect="Content" ObjectID="_1840030022" r:id="rId206"/>
        </w:object>
      </w:r>
      <w:r w:rsidRPr="00AC546D">
        <w:t>、</w:t>
      </w:r>
      <w:r w:rsidRPr="00AC546D">
        <w:rPr>
          <w:position w:val="-12"/>
        </w:rPr>
        <w:object w:dxaOrig="240" w:dyaOrig="360" w14:anchorId="56E82C9E">
          <v:shape id="_x0000_i1122" type="#_x0000_t75" style="width:12pt;height:18pt" o:ole="">
            <v:imagedata r:id="rId207" o:title=""/>
          </v:shape>
          <o:OLEObject Type="Embed" ProgID="Equation.DSMT4" ShapeID="_x0000_i1122" DrawAspect="Content" ObjectID="_1840030023" r:id="rId208"/>
        </w:object>
      </w:r>
      <w:r w:rsidRPr="00AC546D">
        <w:t>、</w:t>
      </w:r>
      <w:r w:rsidRPr="00AC546D">
        <w:rPr>
          <w:position w:val="-12"/>
        </w:rPr>
        <w:object w:dxaOrig="240" w:dyaOrig="360" w14:anchorId="5B8A4B2A">
          <v:shape id="_x0000_i1123" type="#_x0000_t75" style="width:12pt;height:18pt" o:ole="">
            <v:imagedata r:id="rId209" o:title=""/>
          </v:shape>
          <o:OLEObject Type="Embed" ProgID="Equation.DSMT4" ShapeID="_x0000_i1123" DrawAspect="Content" ObjectID="_1840030024" r:id="rId210"/>
        </w:object>
      </w:r>
      <w:r w:rsidRPr="00AC546D">
        <w:t>分别为</w:t>
      </w:r>
      <w:r w:rsidRPr="00AC546D">
        <w:t>ODI</w:t>
      </w:r>
      <w:r w:rsidRPr="00AC546D">
        <w:t>均值、</w:t>
      </w:r>
      <w:r w:rsidRPr="00AC546D">
        <w:t>P90</w:t>
      </w:r>
      <w:r w:rsidRPr="00AC546D">
        <w:t>和超阈值比例的权重，且满足</w:t>
      </w:r>
      <w:r w:rsidRPr="00AC546D">
        <w:rPr>
          <w:position w:val="-12"/>
        </w:rPr>
        <w:object w:dxaOrig="1380" w:dyaOrig="360" w14:anchorId="135C6EE4">
          <v:shape id="_x0000_i1124" type="#_x0000_t75" style="width:69.35pt;height:18pt" o:ole="">
            <v:imagedata r:id="rId211" o:title=""/>
          </v:shape>
          <o:OLEObject Type="Embed" ProgID="Equation.DSMT4" ShapeID="_x0000_i1124" DrawAspect="Content" ObjectID="_1840030025" r:id="rId212"/>
        </w:object>
      </w:r>
      <w:r w:rsidRPr="00AC546D">
        <w:t>。该得分越低，说明方案扰动风险越小。</w:t>
      </w:r>
    </w:p>
    <w:p w14:paraId="0C59ACE6" w14:textId="1672DF23" w:rsidR="00AC546D" w:rsidRPr="00AC546D" w:rsidRDefault="00365DBA" w:rsidP="00AC546D">
      <w:pPr>
        <w:pStyle w:val="100"/>
        <w:ind w:firstLine="420"/>
      </w:pPr>
      <w:r w:rsidRPr="00365DBA">
        <w:t>需要说明的是，低扰动方案不宜仅依据</w:t>
      </w:r>
      <w:r w:rsidRPr="00365DBA">
        <w:rPr>
          <w:position w:val="-12"/>
        </w:rPr>
        <w:object w:dxaOrig="440" w:dyaOrig="360" w14:anchorId="54491B18">
          <v:shape id="_x0000_i1125" type="#_x0000_t75" style="width:22pt;height:18pt" o:ole="">
            <v:imagedata r:id="rId213" o:title=""/>
          </v:shape>
          <o:OLEObject Type="Embed" ProgID="Equation.DSMT4" ShapeID="_x0000_i1125" DrawAspect="Content" ObjectID="_1840030026" r:id="rId214"/>
        </w:object>
      </w:r>
      <w:r w:rsidRPr="00365DBA">
        <w:t>判定。超阈值比例可以反映方案与中高扰动区域的重叠程度，但对阈值选取较敏感；</w:t>
      </w:r>
      <w:r w:rsidRPr="00365DBA">
        <w:t>ODI</w:t>
      </w:r>
      <w:r w:rsidRPr="00365DBA">
        <w:t>均值能够反映方案整体扰动水平；</w:t>
      </w:r>
      <w:r w:rsidRPr="00365DBA">
        <w:t>P90</w:t>
      </w:r>
      <w:r w:rsidRPr="00365DBA">
        <w:t>则反映局部高值扰动对方案的影响。因此，本文采用三者联合判断低扰动候选方案</w:t>
      </w:r>
      <w:r w:rsidR="00AC546D" w:rsidRPr="00AC546D">
        <w:t>。</w:t>
      </w:r>
    </w:p>
    <w:p w14:paraId="6ECD3627" w14:textId="6C6C62DC" w:rsidR="008A2F6D" w:rsidRPr="008A2F6D" w:rsidRDefault="008A2F6D" w:rsidP="008A2F6D">
      <w:pPr>
        <w:pStyle w:val="100"/>
        <w:ind w:firstLine="422"/>
        <w:rPr>
          <w:b/>
          <w:bCs/>
        </w:rPr>
      </w:pPr>
      <w:r w:rsidRPr="008A2F6D">
        <w:rPr>
          <w:b/>
          <w:bCs/>
        </w:rPr>
        <w:t xml:space="preserve">2.3.4 </w:t>
      </w:r>
      <w:r w:rsidR="00365DBA" w:rsidRPr="00365DBA">
        <w:rPr>
          <w:b/>
          <w:bCs/>
        </w:rPr>
        <w:t>方案综合评价与优选</w:t>
      </w:r>
    </w:p>
    <w:p w14:paraId="51A378C4" w14:textId="1C82CF80" w:rsidR="008A2F6D" w:rsidRPr="008A2F6D" w:rsidRDefault="00365DBA" w:rsidP="008A2F6D">
      <w:pPr>
        <w:pStyle w:val="100"/>
        <w:ind w:firstLine="420"/>
      </w:pPr>
      <w:r w:rsidRPr="00365DBA">
        <w:t>在工程效率、资源回收和扰动控制评价基础上，可进一步对候选方案进行综合评价</w:t>
      </w:r>
      <w:r w:rsidR="008A2F6D" w:rsidRPr="008A2F6D">
        <w:t>：</w:t>
      </w:r>
    </w:p>
    <w:p w14:paraId="08C73155" w14:textId="2C0CF7E0" w:rsidR="008A2F6D" w:rsidRPr="008A2F6D" w:rsidRDefault="008A2F6D" w:rsidP="008A2F6D">
      <w:pPr>
        <w:pStyle w:val="MTDisplayEquation"/>
        <w:ind w:firstLine="480"/>
      </w:pPr>
      <w:r>
        <w:tab/>
      </w:r>
      <w:r w:rsidRPr="008A2F6D">
        <w:rPr>
          <w:position w:val="-12"/>
        </w:rPr>
        <w:object w:dxaOrig="2180" w:dyaOrig="360" w14:anchorId="339A6BFF">
          <v:shape id="_x0000_i1126" type="#_x0000_t75" style="width:109.35pt;height:18pt" o:ole="">
            <v:imagedata r:id="rId215" o:title=""/>
          </v:shape>
          <o:OLEObject Type="Embed" ProgID="Equation.DSMT4" ShapeID="_x0000_i1126" DrawAspect="Content" ObjectID="_1840030027" r:id="rId2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22</w:instrText>
        </w:r>
      </w:fldSimple>
      <w:r>
        <w:instrText>)</w:instrText>
      </w:r>
      <w:r>
        <w:fldChar w:fldCharType="end"/>
      </w:r>
    </w:p>
    <w:p w14:paraId="1241BCD7" w14:textId="4404179A" w:rsidR="008A2F6D" w:rsidRPr="008A2F6D" w:rsidRDefault="008A2F6D" w:rsidP="008A2F6D">
      <w:pPr>
        <w:pStyle w:val="100"/>
        <w:ind w:firstLine="420"/>
      </w:pPr>
      <w:r w:rsidRPr="008A2F6D">
        <w:t>式中：</w:t>
      </w:r>
      <w:r w:rsidRPr="008A2F6D">
        <w:rPr>
          <w:position w:val="-12"/>
        </w:rPr>
        <w:object w:dxaOrig="260" w:dyaOrig="360" w14:anchorId="4456B7AB">
          <v:shape id="_x0000_i1127" type="#_x0000_t75" style="width:13.35pt;height:18pt" o:ole="">
            <v:imagedata r:id="rId217" o:title=""/>
          </v:shape>
          <o:OLEObject Type="Embed" ProgID="Equation.DSMT4" ShapeID="_x0000_i1127" DrawAspect="Content" ObjectID="_1840030028" r:id="rId218"/>
        </w:object>
      </w:r>
      <w:r w:rsidRPr="008A2F6D">
        <w:t>为候选方案综合评价值；</w:t>
      </w:r>
      <w:r w:rsidRPr="008A2F6D">
        <w:rPr>
          <w:position w:val="-12"/>
        </w:rPr>
        <w:object w:dxaOrig="279" w:dyaOrig="360" w14:anchorId="7F8C4314">
          <v:shape id="_x0000_i1128" type="#_x0000_t75" style="width:14pt;height:18pt" o:ole="">
            <v:imagedata r:id="rId219" o:title=""/>
          </v:shape>
          <o:OLEObject Type="Embed" ProgID="Equation.DSMT4" ShapeID="_x0000_i1128" DrawAspect="Content" ObjectID="_1840030029" r:id="rId220"/>
        </w:object>
      </w:r>
      <w:r w:rsidRPr="008A2F6D">
        <w:t>为工程效率评分；</w:t>
      </w:r>
      <w:r w:rsidRPr="008A2F6D">
        <w:rPr>
          <w:position w:val="-12"/>
        </w:rPr>
        <w:object w:dxaOrig="260" w:dyaOrig="360" w14:anchorId="1A58CD84">
          <v:shape id="_x0000_i1129" type="#_x0000_t75" style="width:13.35pt;height:18pt" o:ole="">
            <v:imagedata r:id="rId221" o:title=""/>
          </v:shape>
          <o:OLEObject Type="Embed" ProgID="Equation.DSMT4" ShapeID="_x0000_i1129" DrawAspect="Content" ObjectID="_1840030030" r:id="rId222"/>
        </w:object>
      </w:r>
      <w:r w:rsidRPr="008A2F6D">
        <w:t>为资源回收评分；</w:t>
      </w:r>
      <w:r w:rsidRPr="008A2F6D">
        <w:rPr>
          <w:position w:val="-12"/>
        </w:rPr>
        <w:object w:dxaOrig="300" w:dyaOrig="360" w14:anchorId="28AD50F2">
          <v:shape id="_x0000_i1130" type="#_x0000_t75" style="width:15.35pt;height:18pt" o:ole="">
            <v:imagedata r:id="rId223" o:title=""/>
          </v:shape>
          <o:OLEObject Type="Embed" ProgID="Equation.DSMT4" ShapeID="_x0000_i1130" DrawAspect="Content" ObjectID="_1840030031" r:id="rId224"/>
        </w:object>
      </w:r>
      <w:r w:rsidRPr="008A2F6D">
        <w:t>为扰动风险综合得分；</w:t>
      </w:r>
      <w:r w:rsidRPr="008A2F6D">
        <w:rPr>
          <w:position w:val="-12"/>
        </w:rPr>
        <w:object w:dxaOrig="260" w:dyaOrig="360" w14:anchorId="33C71853">
          <v:shape id="_x0000_i1131" type="#_x0000_t75" style="width:13.35pt;height:18pt" o:ole="">
            <v:imagedata r:id="rId225" o:title=""/>
          </v:shape>
          <o:OLEObject Type="Embed" ProgID="Equation.DSMT4" ShapeID="_x0000_i1131" DrawAspect="Content" ObjectID="_1840030032" r:id="rId226"/>
        </w:object>
      </w:r>
      <w:r w:rsidRPr="008A2F6D">
        <w:t>、</w:t>
      </w:r>
      <w:r w:rsidRPr="008A2F6D">
        <w:rPr>
          <w:position w:val="-12"/>
        </w:rPr>
        <w:object w:dxaOrig="279" w:dyaOrig="360" w14:anchorId="5D8505D2">
          <v:shape id="_x0000_i1132" type="#_x0000_t75" style="width:14pt;height:18pt" o:ole="">
            <v:imagedata r:id="rId227" o:title=""/>
          </v:shape>
          <o:OLEObject Type="Embed" ProgID="Equation.DSMT4" ShapeID="_x0000_i1132" DrawAspect="Content" ObjectID="_1840030033" r:id="rId228"/>
        </w:object>
      </w:r>
      <w:r w:rsidRPr="008A2F6D">
        <w:t>、</w:t>
      </w:r>
      <w:r w:rsidRPr="008A2F6D">
        <w:rPr>
          <w:position w:val="-12"/>
        </w:rPr>
        <w:object w:dxaOrig="279" w:dyaOrig="360" w14:anchorId="02589401">
          <v:shape id="_x0000_i1133" type="#_x0000_t75" style="width:14pt;height:18pt" o:ole="">
            <v:imagedata r:id="rId229" o:title=""/>
          </v:shape>
          <o:OLEObject Type="Embed" ProgID="Equation.DSMT4" ShapeID="_x0000_i1133" DrawAspect="Content" ObjectID="_1840030034" r:id="rId230"/>
        </w:object>
      </w:r>
      <w:r w:rsidRPr="008A2F6D">
        <w:t>分别为工程效率、资源回收和扰动控制权重。由于扰动风险越低越有利，因此在综合评价中以负向项表示。</w:t>
      </w:r>
    </w:p>
    <w:p w14:paraId="7EF633D5" w14:textId="23D9A30C" w:rsidR="008A2F6D" w:rsidRPr="008A2F6D" w:rsidRDefault="00365DBA" w:rsidP="008A2F6D">
      <w:pPr>
        <w:pStyle w:val="100"/>
        <w:ind w:firstLine="420"/>
      </w:pPr>
      <w:r w:rsidRPr="00365DBA">
        <w:t>不同规划目标下，</w:t>
      </w:r>
      <w:r w:rsidRPr="00365DBA">
        <w:rPr>
          <w:position w:val="-12"/>
        </w:rPr>
        <w:object w:dxaOrig="260" w:dyaOrig="360" w14:anchorId="6DC35E78">
          <v:shape id="_x0000_i1134" type="#_x0000_t75" style="width:13.35pt;height:18pt" o:ole="">
            <v:imagedata r:id="rId231" o:title=""/>
          </v:shape>
          <o:OLEObject Type="Embed" ProgID="Equation.DSMT4" ShapeID="_x0000_i1134" DrawAspect="Content" ObjectID="_1840030035" r:id="rId232"/>
        </w:object>
      </w:r>
      <w:r w:rsidRPr="00365DBA">
        <w:t>、</w:t>
      </w:r>
      <w:r w:rsidRPr="00365DBA">
        <w:rPr>
          <w:position w:val="-12"/>
        </w:rPr>
        <w:object w:dxaOrig="279" w:dyaOrig="360" w14:anchorId="38AE7A0E">
          <v:shape id="_x0000_i1135" type="#_x0000_t75" style="width:14pt;height:18pt" o:ole="">
            <v:imagedata r:id="rId233" o:title=""/>
          </v:shape>
          <o:OLEObject Type="Embed" ProgID="Equation.DSMT4" ShapeID="_x0000_i1135" DrawAspect="Content" ObjectID="_1840030036" r:id="rId234"/>
        </w:object>
      </w:r>
      <w:r w:rsidRPr="00365DBA">
        <w:t>、</w:t>
      </w:r>
      <w:r w:rsidRPr="00365DBA">
        <w:rPr>
          <w:position w:val="-12"/>
        </w:rPr>
        <w:object w:dxaOrig="279" w:dyaOrig="360" w14:anchorId="78660042">
          <v:shape id="_x0000_i1136" type="#_x0000_t75" style="width:14pt;height:18pt" o:ole="">
            <v:imagedata r:id="rId235" o:title=""/>
          </v:shape>
          <o:OLEObject Type="Embed" ProgID="Equation.DSMT4" ShapeID="_x0000_i1136" DrawAspect="Content" ObjectID="_1840030037" r:id="rId236"/>
        </w:object>
      </w:r>
      <w:r w:rsidRPr="00365DBA">
        <w:t>可采用不同取值。当生产组织和采掘接续要求更突出时，可提高工程效率权重；当资源回收要求更突出时，可提高资源回收权重；当采动扰动控制要求更高时，可提高扰动控制权重。本文根据不同规划偏好输出</w:t>
      </w:r>
      <w:r w:rsidRPr="00365DBA">
        <w:t>3</w:t>
      </w:r>
      <w:r w:rsidRPr="00365DBA">
        <w:t>类代表性方案：工程效率优先方案、资源回收优先方案和低扰动候选方案。三类方案均来自同一候选方案集合，差异主要反映工作面布置在工程效率、资源回收和扰动控制之间的不同取舍</w:t>
      </w:r>
      <w:r w:rsidR="008A2F6D" w:rsidRPr="008A2F6D">
        <w:t>。</w:t>
      </w:r>
    </w:p>
    <w:p w14:paraId="27399A48" w14:textId="1386BA81" w:rsidR="00351EC4" w:rsidRPr="00DF00E8" w:rsidRDefault="00351EC4" w:rsidP="00DF00E8">
      <w:pPr>
        <w:pStyle w:val="11"/>
      </w:pPr>
      <w:r w:rsidRPr="00DF00E8">
        <w:t xml:space="preserve">3 </w:t>
      </w:r>
      <w:r w:rsidR="00365DBA" w:rsidRPr="00365DBA">
        <w:t>采动扰动约束下采区规划计算</w:t>
      </w:r>
    </w:p>
    <w:p w14:paraId="5E94BF75" w14:textId="77777777" w:rsidR="00365DBA" w:rsidRPr="00365DBA" w:rsidRDefault="00365DBA" w:rsidP="00365DBA">
      <w:pPr>
        <w:pStyle w:val="100"/>
        <w:ind w:firstLine="420"/>
      </w:pPr>
      <w:r w:rsidRPr="00365DBA">
        <w:t>第</w:t>
      </w:r>
      <w:r w:rsidRPr="00365DBA">
        <w:t>2</w:t>
      </w:r>
      <w:r w:rsidRPr="00365DBA">
        <w:t>章给出了工作面可布置区域、煤厚分布、</w:t>
      </w:r>
      <w:r w:rsidRPr="00365DBA">
        <w:t>ODI</w:t>
      </w:r>
      <w:r w:rsidRPr="00365DBA">
        <w:t>指标和方案评价方法。为了在工程应用中使用这些方法，还需要将边界、钻孔、煤柱参数、工作面参数和采动扰动评价结果组织成一套完整的计算流程。本章重点说明各类数据如何进入计算、</w:t>
      </w:r>
      <w:r w:rsidRPr="00365DBA">
        <w:lastRenderedPageBreak/>
        <w:t>工作面方案如何形成，以及最终成果如何用于采区规划判断。</w:t>
      </w:r>
    </w:p>
    <w:p w14:paraId="0FB3C4FF" w14:textId="77777777" w:rsidR="00365DBA" w:rsidRPr="00365DBA" w:rsidRDefault="00365DBA" w:rsidP="00365DBA">
      <w:pPr>
        <w:pStyle w:val="100"/>
        <w:ind w:firstLine="420"/>
      </w:pPr>
      <w:r w:rsidRPr="00365DBA">
        <w:t>该流程把分散的地质资料、工程约束和采动扰动评价结果连接起来，使工作面方案在形成过程中就能同时考虑资源覆盖、生产组织和扰动控制要求。</w:t>
      </w:r>
    </w:p>
    <w:p w14:paraId="209AA050" w14:textId="0F4E0448" w:rsidR="00DD780E" w:rsidRPr="00DF00E8" w:rsidRDefault="00DD780E" w:rsidP="00DF00E8">
      <w:pPr>
        <w:pStyle w:val="12"/>
      </w:pPr>
      <w:r w:rsidRPr="00DF00E8">
        <w:t xml:space="preserve">3.1 </w:t>
      </w:r>
      <w:r w:rsidR="00365DBA" w:rsidRPr="00365DBA">
        <w:t>数据准备与流程安排</w:t>
      </w:r>
    </w:p>
    <w:p w14:paraId="652D7383" w14:textId="77777777" w:rsidR="00365DBA" w:rsidRPr="00365DBA" w:rsidRDefault="00365DBA" w:rsidP="00365DBA">
      <w:pPr>
        <w:pStyle w:val="100"/>
        <w:ind w:firstLine="420"/>
      </w:pPr>
      <w:r w:rsidRPr="00365DBA">
        <w:t>采动扰动约束下的采区规划需要准备</w:t>
      </w:r>
      <w:r w:rsidRPr="00365DBA">
        <w:t>4</w:t>
      </w:r>
      <w:r w:rsidRPr="00365DBA">
        <w:t>类基础数据。第一类为采区边界和局部约束条件，包括原始采区边界、边界煤柱、区段煤柱、不可采区域和保护对象范围等，用于确定工作面可布置区域。第二类为钻孔及煤层属性资料，主要包括钻孔位置和煤层厚度，用于计算煤厚分布。第三类为工作面设计参数，包括工作面宽度、推进方向、煤柱宽度、最小推进长度和工作面数量控制范围等，用于生成候选工作面方案。第四类为采动扰动评价结果，包括地表沉陷、含水层扰动和上行开采影响等分量，用于计算</w:t>
      </w:r>
      <w:r w:rsidRPr="00365DBA">
        <w:t>ODI</w:t>
      </w:r>
      <w:r w:rsidRPr="00365DBA">
        <w:t>图层并参与方案</w:t>
      </w:r>
      <w:r w:rsidRPr="00365DBA">
        <w:t>评价。</w:t>
      </w:r>
    </w:p>
    <w:p w14:paraId="1BB55949" w14:textId="77777777" w:rsidR="00365DBA" w:rsidRPr="00365DBA" w:rsidRDefault="00365DBA" w:rsidP="00365DBA">
      <w:pPr>
        <w:pStyle w:val="100"/>
        <w:ind w:firstLine="420"/>
      </w:pPr>
      <w:r w:rsidRPr="00365DBA">
        <w:t>在正式计算前，应先完成坐标系统、评价范围和网格尺度的统一。采区边界需要检查闭合性和几何合法性，钻孔煤厚数据需要检查异常值，煤厚分布和采动扰动分量应裁剪到相同评价范围内。如果不同数据之间存在坐标偏移、边界范围不一致或网格尺度不统一，后续工作面覆盖率、煤厚资源贡献和</w:t>
      </w:r>
      <w:r w:rsidRPr="00365DBA">
        <w:t>ODI</w:t>
      </w:r>
      <w:r w:rsidRPr="00365DBA">
        <w:t>统计结果都会受到影响。</w:t>
      </w:r>
    </w:p>
    <w:p w14:paraId="172F0031" w14:textId="77777777" w:rsidR="00365DBA" w:rsidRPr="00365DBA" w:rsidRDefault="00365DBA" w:rsidP="00365DBA">
      <w:pPr>
        <w:pStyle w:val="100"/>
        <w:ind w:firstLine="420"/>
      </w:pPr>
      <w:r w:rsidRPr="00365DBA">
        <w:t>完成数据整理后，计算流程按照以下顺序展开：首先，根据采区边界和煤柱约束确定工作面可布置区域；其次，利用钻孔煤厚样点计算煤层厚度分布；然后，将地表沉陷、含水层扰动和上行开采影响转化为</w:t>
      </w:r>
      <w:r w:rsidRPr="00365DBA">
        <w:t>ODI</w:t>
      </w:r>
      <w:r w:rsidRPr="00365DBA">
        <w:t>图层；最后，在工作面可布置区域内形成候选方案，并统计各方案的覆盖率、煤厚资源贡献、</w:t>
      </w:r>
      <w:r w:rsidRPr="00365DBA">
        <w:t>ODI</w:t>
      </w:r>
      <w:r w:rsidRPr="00365DBA">
        <w:t>均值、</w:t>
      </w:r>
      <w:r w:rsidRPr="00365DBA">
        <w:t>P90</w:t>
      </w:r>
      <w:r w:rsidRPr="00365DBA">
        <w:t>和超阈值比例等指标。采动扰动约束下采区规划计算流程如图</w:t>
      </w:r>
      <w:r w:rsidRPr="00365DBA">
        <w:t>3</w:t>
      </w:r>
      <w:r w:rsidRPr="00365DBA">
        <w:t>所示。</w:t>
      </w:r>
    </w:p>
    <w:p w14:paraId="48502D9F" w14:textId="5B6F709C" w:rsidR="00210CE2" w:rsidRDefault="00210CE2" w:rsidP="001A27C0">
      <w:pPr>
        <w:pStyle w:val="100"/>
        <w:ind w:firstLineChars="95" w:firstLine="199"/>
        <w:sectPr w:rsidR="00210CE2" w:rsidSect="00A07DBF">
          <w:type w:val="continuous"/>
          <w:pgSz w:w="11906" w:h="16838"/>
          <w:pgMar w:top="1418" w:right="1134" w:bottom="1134" w:left="1134" w:header="720" w:footer="720" w:gutter="0"/>
          <w:cols w:num="2" w:space="720"/>
          <w:docGrid w:linePitch="598"/>
        </w:sectPr>
      </w:pPr>
    </w:p>
    <w:p w14:paraId="02AC35FB" w14:textId="77777777" w:rsidR="00210CE2" w:rsidRDefault="00210CE2" w:rsidP="00210CE2">
      <w:pPr>
        <w:pStyle w:val="aff"/>
      </w:pPr>
      <w:r w:rsidRPr="003767A7">
        <w:rPr>
          <w:noProof/>
        </w:rPr>
        <w:drawing>
          <wp:inline distT="0" distB="0" distL="0" distR="0" wp14:anchorId="3BDA9CA3" wp14:editId="4CB7F573">
            <wp:extent cx="5778000" cy="2958271"/>
            <wp:effectExtent l="0" t="0" r="0" b="0"/>
            <wp:docPr id="527564147" name="图片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2"/>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5778000" cy="2958271"/>
                    </a:xfrm>
                    <a:prstGeom prst="rect">
                      <a:avLst/>
                    </a:prstGeom>
                    <a:noFill/>
                    <a:ln>
                      <a:noFill/>
                    </a:ln>
                  </pic:spPr>
                </pic:pic>
              </a:graphicData>
            </a:graphic>
          </wp:inline>
        </w:drawing>
      </w:r>
    </w:p>
    <w:p w14:paraId="239F9DF3" w14:textId="0D37DA5C" w:rsidR="00210CE2" w:rsidRDefault="00210CE2" w:rsidP="00210CE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3</w:t>
      </w:r>
      <w:r>
        <w:fldChar w:fldCharType="end"/>
      </w:r>
      <w:r>
        <w:rPr>
          <w:rFonts w:hint="eastAsia"/>
        </w:rPr>
        <w:t xml:space="preserve"> </w:t>
      </w:r>
      <w:r w:rsidR="003B394F" w:rsidRPr="003B394F">
        <w:t>采动扰动约束下采区规划计算流程</w:t>
      </w:r>
    </w:p>
    <w:p w14:paraId="46F2F55E" w14:textId="57C179D4" w:rsidR="00210CE2" w:rsidRDefault="00210CE2" w:rsidP="00210CE2">
      <w:pPr>
        <w:pStyle w:val="14"/>
        <w:sectPr w:rsidR="00210CE2" w:rsidSect="00210CE2">
          <w:type w:val="continuous"/>
          <w:pgSz w:w="11906" w:h="16838"/>
          <w:pgMar w:top="1418" w:right="1134" w:bottom="1134" w:left="1134" w:header="720" w:footer="720" w:gutter="0"/>
          <w:cols w:space="720"/>
          <w:docGrid w:linePitch="598"/>
        </w:sectPr>
      </w:pPr>
      <w:r w:rsidRPr="009F1274">
        <w:t>Fig.</w:t>
      </w:r>
      <w:r w:rsidR="008419FD">
        <w:rPr>
          <w:rFonts w:hint="eastAsia"/>
        </w:rPr>
        <w:t>3</w:t>
      </w:r>
      <w:r w:rsidRPr="009F1274">
        <w:t xml:space="preserve"> </w:t>
      </w:r>
      <w:r w:rsidR="003B394F" w:rsidRPr="003B394F">
        <w:t>Calculation process of mining district planning under mining-induced disturbance constraints</w:t>
      </w:r>
    </w:p>
    <w:p w14:paraId="15323A31" w14:textId="1F59B1C3" w:rsidR="008419FD" w:rsidRDefault="00365DBA" w:rsidP="008419FD">
      <w:pPr>
        <w:pStyle w:val="100"/>
        <w:ind w:firstLine="420"/>
      </w:pPr>
      <w:r w:rsidRPr="00365DBA">
        <w:t>由图</w:t>
      </w:r>
      <w:r w:rsidRPr="00365DBA">
        <w:t>3</w:t>
      </w:r>
      <w:r w:rsidRPr="00365DBA">
        <w:t>可见，该流程并不是在传统工作面方案完成后再增加一项风险评价，而是将采区基础资料、采动扰动评价和工作面方案比较连接在一起。这样形成的候选方案既满足基本采矿条件，也能够反映不同方案在资源覆盖和扰动控制方面的差异</w:t>
      </w:r>
      <w:r w:rsidR="008419FD" w:rsidRPr="008419FD">
        <w:t>。</w:t>
      </w:r>
    </w:p>
    <w:p w14:paraId="46FAA18E" w14:textId="3D57131A" w:rsidR="00694DA6" w:rsidRPr="00DF00E8" w:rsidRDefault="00694DA6" w:rsidP="00DF00E8">
      <w:pPr>
        <w:pStyle w:val="12"/>
      </w:pPr>
      <w:r w:rsidRPr="00DF00E8">
        <w:t xml:space="preserve">3.2 </w:t>
      </w:r>
      <w:r w:rsidR="00365DBA" w:rsidRPr="00365DBA">
        <w:t>主要计算步骤</w:t>
      </w:r>
    </w:p>
    <w:p w14:paraId="73C96D9D" w14:textId="77777777" w:rsidR="00365DBA" w:rsidRPr="00365DBA" w:rsidRDefault="00365DBA" w:rsidP="00365DBA">
      <w:pPr>
        <w:pStyle w:val="100"/>
        <w:ind w:firstLine="420"/>
      </w:pPr>
      <w:r w:rsidRPr="00365DBA">
        <w:t>计算过程主要包括工作面可布置区域确定、煤厚分布计算、</w:t>
      </w:r>
      <w:r w:rsidRPr="00365DBA">
        <w:t>ODI</w:t>
      </w:r>
      <w:r w:rsidRPr="00365DBA">
        <w:t>图层生成和工作面方案评价</w:t>
      </w:r>
      <w:r w:rsidRPr="00365DBA">
        <w:t>4</w:t>
      </w:r>
      <w:r w:rsidRPr="00365DBA">
        <w:t>个步骤。</w:t>
      </w:r>
    </w:p>
    <w:p w14:paraId="117F06C4" w14:textId="77777777" w:rsidR="00365DBA" w:rsidRPr="00365DBA" w:rsidRDefault="00365DBA" w:rsidP="00365DBA">
      <w:pPr>
        <w:pStyle w:val="100"/>
        <w:ind w:firstLine="420"/>
      </w:pPr>
      <w:r w:rsidRPr="00365DBA">
        <w:t>首先，根据采区边界、边界煤柱、区段煤柱和局部保护要求确定工作面可布置区域。该步骤的目的，是排除越界、煤柱不足、局部不可采或不满足保护要求的区域，使后续候选方案具有基本的工程可实施性。对于断层、陷落柱、采空区或地表保护对象等复杂约束，也可按照控制范围和保护距离转化为限制区域，并从原始采区边界中扣除。</w:t>
      </w:r>
    </w:p>
    <w:p w14:paraId="513341E1" w14:textId="77777777" w:rsidR="00365DBA" w:rsidRPr="00365DBA" w:rsidRDefault="00365DBA" w:rsidP="00365DBA">
      <w:pPr>
        <w:pStyle w:val="100"/>
        <w:ind w:firstLine="420"/>
      </w:pPr>
      <w:r w:rsidRPr="00365DBA">
        <w:t>其次，根据钻孔煤厚样点计算煤层厚度分布。煤层厚度直接影响资源覆盖评价，不能只作为钻孔点上的离散属性使用。本文采用反距离加权法</w:t>
      </w:r>
      <w:r w:rsidRPr="00365DBA">
        <w:lastRenderedPageBreak/>
        <w:t>将钻孔煤厚数据扩展为连续的煤厚分布结果，并在工作面可布置区域内统计不同候选方案覆盖的煤厚资源。这样，方案评价不仅考虑覆盖面积，也能够反映煤厚差异对资源利用的影响。</w:t>
      </w:r>
    </w:p>
    <w:p w14:paraId="367322D1" w14:textId="77777777" w:rsidR="00365DBA" w:rsidRPr="00365DBA" w:rsidRDefault="00365DBA" w:rsidP="00365DBA">
      <w:pPr>
        <w:pStyle w:val="100"/>
        <w:ind w:firstLine="420"/>
      </w:pPr>
      <w:r w:rsidRPr="00365DBA">
        <w:t>再次，计算采动扰动强弱分布。地表沉陷、含水层扰动和上行开采影响分别反映不同方面的采动响应，难以直接用单一指标判断方案优劣。本文将各扰动分量归一化后按照权重叠加，得到</w:t>
      </w:r>
      <w:r w:rsidRPr="00365DBA">
        <w:t>ODI</w:t>
      </w:r>
      <w:r w:rsidRPr="00365DBA">
        <w:t>图层。</w:t>
      </w:r>
      <w:r w:rsidRPr="00365DBA">
        <w:t>ODI</w:t>
      </w:r>
      <w:r w:rsidRPr="00365DBA">
        <w:t>值越大，表示该位置采动扰动越强，在工作面布置中越需要避让或进一步复核。对于最终推荐方案，仍需结合地表沉陷预计、导水裂隙带高度判定、含水层保护和上行开采安全性等专项评价进行复核。</w:t>
      </w:r>
    </w:p>
    <w:p w14:paraId="7A0B69BD" w14:textId="77777777" w:rsidR="00365DBA" w:rsidRPr="00365DBA" w:rsidRDefault="00365DBA" w:rsidP="00365DBA">
      <w:pPr>
        <w:pStyle w:val="100"/>
        <w:ind w:firstLine="420"/>
      </w:pPr>
      <w:r w:rsidRPr="00365DBA">
        <w:t>最后，在工作面可布置区域内形成候选工作面方案。方案形成时，以工作面宽度、推进方向、煤柱宽度和最小推进长度为主要控制参数，构造平行工作面条带，并通过平移、组合和裁剪形成多组方案。随后对方案进行越界、重叠、煤柱不足、推进长度不足和几何形态异常检查，保留满足基本采矿条件的方案。对保留方案分别统计工程效率、资源覆盖和扰动风险指标，并根据不同规划偏好选取代表性方案。</w:t>
      </w:r>
    </w:p>
    <w:p w14:paraId="22E4723F" w14:textId="77777777" w:rsidR="00365DBA" w:rsidRPr="00365DBA" w:rsidRDefault="00365DBA" w:rsidP="00365DBA">
      <w:pPr>
        <w:pStyle w:val="100"/>
        <w:ind w:firstLine="420"/>
      </w:pPr>
      <w:r w:rsidRPr="00365DBA">
        <w:t>通过上述步骤，采区规划从单一经验布置转为多方案比较。工程人员不仅可以看到哪一类方案覆盖率更高，也可以判断哪些方案与扰动较强区域接触更多，从而在资源回收、生产组织和安全控制之间进行取舍。</w:t>
      </w:r>
    </w:p>
    <w:p w14:paraId="6F22C449" w14:textId="2A0F5409" w:rsidR="00624086" w:rsidRPr="00DF00E8" w:rsidRDefault="00624086" w:rsidP="00DF00E8">
      <w:pPr>
        <w:pStyle w:val="12"/>
      </w:pPr>
      <w:r w:rsidRPr="00DF00E8">
        <w:t xml:space="preserve">3.3 </w:t>
      </w:r>
      <w:r w:rsidR="004C1CA5" w:rsidRPr="004C1CA5">
        <w:t>方案输出与工程应用</w:t>
      </w:r>
    </w:p>
    <w:p w14:paraId="35429350" w14:textId="77777777" w:rsidR="004C1CA5" w:rsidRPr="004C1CA5" w:rsidRDefault="004C1CA5" w:rsidP="004C1CA5">
      <w:pPr>
        <w:pStyle w:val="100"/>
        <w:ind w:firstLine="420"/>
      </w:pPr>
      <w:r w:rsidRPr="004C1CA5">
        <w:t>经过上述计算后，每个候选工作面方案均可得到一组对应指标，包括工作面数量、覆盖率、煤厚资源贡献、工程效率评分、</w:t>
      </w:r>
      <w:r w:rsidRPr="004C1CA5">
        <w:t>ODI</w:t>
      </w:r>
      <w:r w:rsidRPr="004C1CA5">
        <w:t>均值、</w:t>
      </w:r>
      <w:r w:rsidRPr="004C1CA5">
        <w:t>P90</w:t>
      </w:r>
      <w:r w:rsidRPr="004C1CA5">
        <w:t>、超阈值比例和扰动风险综合得分等。这些指标分别反映方案在生产组织、资源利用和扰动控制方面的表现，可用于比较不同布置方案的优劣。</w:t>
      </w:r>
    </w:p>
    <w:p w14:paraId="561A2553" w14:textId="77777777" w:rsidR="004C1CA5" w:rsidRPr="004C1CA5" w:rsidRDefault="004C1CA5" w:rsidP="004C1CA5">
      <w:pPr>
        <w:pStyle w:val="100"/>
        <w:ind w:firstLine="420"/>
      </w:pPr>
      <w:r w:rsidRPr="004C1CA5">
        <w:t>根据规划目标不同，可从同一候选方案集合中选取工程效率优先、资源回收优先和低扰动候选等代表性方案。三类方案并不是在不同条件下分别计算得到的，而是在相同边界、煤厚分布和</w:t>
      </w:r>
      <w:r w:rsidRPr="004C1CA5">
        <w:t>ODI</w:t>
      </w:r>
      <w:r w:rsidRPr="004C1CA5">
        <w:t>图层基础上，按照不同评价偏好筛选得到。因此，它们之间的差异能够反映资源覆盖、工程组织和扰动控制之间的取舍关系。</w:t>
      </w:r>
    </w:p>
    <w:p w14:paraId="4416C302" w14:textId="77777777" w:rsidR="004C1CA5" w:rsidRPr="004C1CA5" w:rsidRDefault="004C1CA5" w:rsidP="004C1CA5">
      <w:pPr>
        <w:pStyle w:val="100"/>
        <w:ind w:firstLine="420"/>
      </w:pPr>
      <w:r w:rsidRPr="004C1CA5">
        <w:t>需要说明的是，本文方法主要用于采区规划阶段的工作面方案初选和扰动风险前置识别。最终推荐方案仍需结合矿井生产系统、通风运输能力、采掘接续安排、设备适配性以及地表沉陷、含</w:t>
      </w:r>
      <w:r w:rsidRPr="004C1CA5">
        <w:t>水层保护和上行开采安全性等专项评价结果进行复核。</w:t>
      </w:r>
    </w:p>
    <w:p w14:paraId="6A4B7F7C" w14:textId="14E94F8A" w:rsidR="00694DA6" w:rsidRPr="00DF00E8" w:rsidRDefault="00694DA6" w:rsidP="00DF00E8">
      <w:pPr>
        <w:pStyle w:val="11"/>
      </w:pPr>
      <w:r w:rsidRPr="00DF00E8">
        <w:t xml:space="preserve">4 </w:t>
      </w:r>
      <w:r w:rsidR="004B7D90" w:rsidRPr="00DF00E8">
        <w:t>工程应用与结果分析</w:t>
      </w:r>
    </w:p>
    <w:p w14:paraId="160AB4CC" w14:textId="313E7855" w:rsidR="004B7D90" w:rsidRDefault="004C1CA5" w:rsidP="004B7D90">
      <w:pPr>
        <w:pStyle w:val="100"/>
        <w:ind w:firstLine="420"/>
      </w:pPr>
      <w:r w:rsidRPr="004C1CA5">
        <w:t>为验证所提方法在实际采区规划中的适用性，选取敏东矿区作为工程应用对象。按照前文计算流程，先整理采区边界、钻孔煤厚、煤柱参数和工作面设计参数，再计算工作面可布置区域、煤层厚度分布和</w:t>
      </w:r>
      <w:r w:rsidRPr="004C1CA5">
        <w:t>ODI</w:t>
      </w:r>
      <w:r w:rsidRPr="004C1CA5">
        <w:t>图层，最后生成并比较不同工作面布置方案。本章重点分析</w:t>
      </w:r>
      <w:r w:rsidRPr="004C1CA5">
        <w:t>ODI</w:t>
      </w:r>
      <w:r w:rsidRPr="004C1CA5">
        <w:t>引入采区规划后，对工作面布置范围、方案筛选结果以及资源覆盖与扰动控制关系的影响</w:t>
      </w:r>
      <w:r w:rsidR="004B7D90" w:rsidRPr="004B7D90">
        <w:t>。</w:t>
      </w:r>
    </w:p>
    <w:p w14:paraId="04603FBD" w14:textId="7B48BAA8" w:rsidR="004B7D90" w:rsidRPr="004B7D90" w:rsidRDefault="004B7D90" w:rsidP="00DF00E8">
      <w:pPr>
        <w:pStyle w:val="12"/>
      </w:pPr>
      <w:r w:rsidRPr="004B7D90">
        <w:t xml:space="preserve">4.1 </w:t>
      </w:r>
      <w:r w:rsidR="00927E53" w:rsidRPr="00927E53">
        <w:t>研究区概况与基础输入</w:t>
      </w:r>
    </w:p>
    <w:p w14:paraId="19A83998" w14:textId="77777777" w:rsidR="004C1CA5" w:rsidRPr="004C1CA5" w:rsidRDefault="004C1CA5" w:rsidP="004C1CA5">
      <w:pPr>
        <w:pStyle w:val="100"/>
        <w:ind w:firstLine="420"/>
      </w:pPr>
      <w:r w:rsidRPr="004C1CA5">
        <w:t>研究区以内蒙古呼伦贝尔敏东一矿相关工程条件为背景。敏东矿区煤层赋存较稳定，顶底板岩性主要包括泥岩、砂质泥岩、炭质泥岩、煤和细粒砂岩，覆岩整体呈软弱</w:t>
      </w:r>
      <w:r w:rsidRPr="004C1CA5">
        <w:t>—</w:t>
      </w:r>
      <w:r w:rsidRPr="004C1CA5">
        <w:t>层状结构。前期工程资料显示，敏东一矿</w:t>
      </w:r>
      <w:r w:rsidRPr="004C1CA5">
        <w:t>Ⅰ01163</w:t>
      </w:r>
      <w:r w:rsidRPr="004C1CA5">
        <w:t>上</w:t>
      </w:r>
      <w:r w:rsidRPr="004C1CA5">
        <w:t>01</w:t>
      </w:r>
      <w:r w:rsidRPr="004C1CA5">
        <w:t>首采综放工作面主采</w:t>
      </w:r>
      <w:r w:rsidRPr="004C1CA5">
        <w:t>16-3</w:t>
      </w:r>
      <w:r w:rsidRPr="004C1CA5">
        <w:t>上煤层，工作面实际可采走向长度为</w:t>
      </w:r>
      <w:r w:rsidRPr="004C1CA5">
        <w:t>1380 m</w:t>
      </w:r>
      <w:r w:rsidRPr="004C1CA5">
        <w:t>，倾向宽度为</w:t>
      </w:r>
      <w:r w:rsidRPr="004C1CA5">
        <w:t>197.5 m</w:t>
      </w:r>
      <w:r w:rsidRPr="004C1CA5">
        <w:t>，采放高度为</w:t>
      </w:r>
      <w:r w:rsidRPr="004C1CA5">
        <w:t>9.0 m</w:t>
      </w:r>
      <w:r w:rsidRPr="004C1CA5">
        <w:t>，煤层平均倾角约</w:t>
      </w:r>
      <w:r w:rsidRPr="004C1CA5">
        <w:t>5°</w:t>
      </w:r>
      <w:r w:rsidRPr="004C1CA5">
        <w:t>，平均埋深约</w:t>
      </w:r>
      <w:r w:rsidRPr="004C1CA5">
        <w:t>310 m</w:t>
      </w:r>
      <w:r w:rsidRPr="004C1CA5">
        <w:t>，属于中等埋深厚煤层综放开采条件。该类开采条件下，采空区尺度较大，覆岩移动、地表沉陷和裂隙发育响应较为明显，工作面布置不能只依据采区边界和常规几何参数确定。</w:t>
      </w:r>
    </w:p>
    <w:p w14:paraId="65B644BF" w14:textId="77777777" w:rsidR="004C1CA5" w:rsidRPr="004C1CA5" w:rsidRDefault="004C1CA5" w:rsidP="004C1CA5">
      <w:pPr>
        <w:pStyle w:val="100"/>
        <w:ind w:firstLine="420"/>
      </w:pPr>
      <w:r w:rsidRPr="004C1CA5">
        <w:t>从规划需求看，敏东矿区既需要保证资源回收和采掘接续，也需要控制地表沉陷、含水层受扰和上行开采条件下的覆岩再扰动。厚煤层综放开采会增强覆岩移动和地表变形；软弱</w:t>
      </w:r>
      <w:r w:rsidRPr="004C1CA5">
        <w:t>—</w:t>
      </w:r>
      <w:r w:rsidRPr="004C1CA5">
        <w:t>层状覆岩及含水层赋存条件会使导水裂隙带发育和含水层保护问题更加突出；上覆岩层再扰动也会对后续开采安全形成约束。因此，在该类采区开展工作面布置时，有必要将地表沉陷、含水层扰动和上行开采影响纳入同一套方案评价中。</w:t>
      </w:r>
    </w:p>
    <w:p w14:paraId="1C784CFF" w14:textId="77777777" w:rsidR="004C1CA5" w:rsidRPr="004C1CA5" w:rsidRDefault="004C1CA5" w:rsidP="004C1CA5">
      <w:pPr>
        <w:pStyle w:val="100"/>
        <w:ind w:firstLine="420"/>
      </w:pPr>
      <w:r w:rsidRPr="004C1CA5">
        <w:t>本次计算以采区边界、钻孔煤厚和规划控制参数为主要输入。采区边界用于确定规划范围，钻孔煤厚用于计算煤层厚度分布，边界煤柱、区段煤柱、工作面宽度和推进方向等参数用于控制工作面方案形成。研究区边界与钻孔样点分布如图</w:t>
      </w:r>
      <w:r w:rsidRPr="004C1CA5">
        <w:t>4</w:t>
      </w:r>
      <w:r w:rsidRPr="004C1CA5">
        <w:t>所示。</w:t>
      </w:r>
    </w:p>
    <w:p w14:paraId="5CB25670" w14:textId="77777777" w:rsidR="004B7D90" w:rsidRDefault="004B7D90" w:rsidP="004B7D90">
      <w:pPr>
        <w:pStyle w:val="14"/>
      </w:pPr>
      <w:r>
        <w:rPr>
          <w:rFonts w:ascii="宋体" w:hAnsi="宋体"/>
          <w:noProof/>
        </w:rPr>
        <w:lastRenderedPageBreak/>
        <w:drawing>
          <wp:inline distT="0" distB="0" distL="0" distR="0" wp14:anchorId="31E565E2" wp14:editId="48824A38">
            <wp:extent cx="2864246" cy="1777365"/>
            <wp:effectExtent l="0" t="0" r="0" b="0"/>
            <wp:docPr id="1358598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238" cstate="print">
                      <a:extLst>
                        <a:ext uri="{28A0092B-C50C-407E-A947-70E740481C1C}">
                          <a14:useLocalDpi xmlns:a14="http://schemas.microsoft.com/office/drawing/2010/main" val="0"/>
                        </a:ext>
                      </a:extLst>
                    </a:blip>
                    <a:srcRect l="529"/>
                    <a:stretch>
                      <a:fillRect/>
                    </a:stretch>
                  </pic:blipFill>
                  <pic:spPr bwMode="auto">
                    <a:xfrm>
                      <a:off x="0" y="0"/>
                      <a:ext cx="2864757" cy="1777682"/>
                    </a:xfrm>
                    <a:prstGeom prst="rect">
                      <a:avLst/>
                    </a:prstGeom>
                    <a:noFill/>
                    <a:ln>
                      <a:noFill/>
                    </a:ln>
                    <a:extLst>
                      <a:ext uri="{53640926-AAD7-44D8-BBD7-CCE9431645EC}">
                        <a14:shadowObscured xmlns:a14="http://schemas.microsoft.com/office/drawing/2010/main"/>
                      </a:ext>
                    </a:extLst>
                  </pic:spPr>
                </pic:pic>
              </a:graphicData>
            </a:graphic>
          </wp:inline>
        </w:drawing>
      </w:r>
    </w:p>
    <w:p w14:paraId="40AAF3B5" w14:textId="3D7A518D" w:rsidR="004B7D90" w:rsidRDefault="004B7D90" w:rsidP="004B7D90">
      <w:pPr>
        <w:pStyle w:val="14"/>
      </w:pPr>
      <w:bookmarkStart w:id="3" w:name="_Ref22791959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4</w:t>
      </w:r>
      <w:r>
        <w:fldChar w:fldCharType="end"/>
      </w:r>
      <w:bookmarkEnd w:id="3"/>
      <w:r>
        <w:rPr>
          <w:rFonts w:hint="eastAsia"/>
        </w:rPr>
        <w:t xml:space="preserve"> </w:t>
      </w:r>
      <w:r w:rsidRPr="000E1681">
        <w:rPr>
          <w:rFonts w:hint="eastAsia"/>
        </w:rPr>
        <w:t>研究区边界与钻孔样点分布</w:t>
      </w:r>
    </w:p>
    <w:p w14:paraId="7B3F47AF" w14:textId="5B42C9CC" w:rsidR="004B7D90" w:rsidRPr="004B7D90" w:rsidRDefault="004B7D90" w:rsidP="004B7D90">
      <w:pPr>
        <w:pStyle w:val="14"/>
      </w:pPr>
      <w:r w:rsidRPr="00351EC4">
        <w:t>Fig.</w:t>
      </w:r>
      <w:r>
        <w:fldChar w:fldCharType="begin"/>
      </w:r>
      <w:r>
        <w:instrText xml:space="preserve"> REF _Ref227919590 \h </w:instrText>
      </w:r>
      <w:r>
        <w:fldChar w:fldCharType="separate"/>
      </w:r>
      <w:r w:rsidR="008A2F6D">
        <w:rPr>
          <w:noProof/>
        </w:rPr>
        <w:t>4</w:t>
      </w:r>
      <w:r>
        <w:fldChar w:fldCharType="end"/>
      </w:r>
      <w:r w:rsidRPr="00351EC4">
        <w:t xml:space="preserve"> </w:t>
      </w:r>
      <w:r w:rsidRPr="002D513A">
        <w:t>Boundary of the study area and distribution of borehole samples</w:t>
      </w:r>
    </w:p>
    <w:p w14:paraId="569E3118" w14:textId="77777777" w:rsidR="004C1CA5" w:rsidRPr="004C1CA5" w:rsidRDefault="004C1CA5" w:rsidP="004C1CA5">
      <w:pPr>
        <w:pStyle w:val="100"/>
        <w:ind w:firstLine="420"/>
      </w:pPr>
      <w:r w:rsidRPr="004C1CA5">
        <w:t>由图</w:t>
      </w:r>
      <w:r w:rsidRPr="004C1CA5">
        <w:t>4</w:t>
      </w:r>
      <w:r w:rsidRPr="004C1CA5">
        <w:t>可见，</w:t>
      </w:r>
      <w:r w:rsidRPr="004C1CA5">
        <w:t>15</w:t>
      </w:r>
      <w:r w:rsidRPr="004C1CA5">
        <w:t>个钻孔样点在研究区内形成</w:t>
      </w:r>
      <w:r w:rsidRPr="004C1CA5">
        <w:t>了基本控制。钻孔揭露煤层厚度为</w:t>
      </w:r>
      <w:r w:rsidRPr="004C1CA5">
        <w:t>2.8</w:t>
      </w:r>
      <w:r w:rsidRPr="004C1CA5">
        <w:t>～</w:t>
      </w:r>
      <w:r w:rsidRPr="004C1CA5">
        <w:t>4.8 m</w:t>
      </w:r>
      <w:r w:rsidRPr="004C1CA5">
        <w:t>，平均值为</w:t>
      </w:r>
      <w:r w:rsidRPr="004C1CA5">
        <w:t>3.7933 m</w:t>
      </w:r>
      <w:r w:rsidRPr="004C1CA5">
        <w:t>，说明研究区煤厚存在一定空间差异。对于工作面方案评价而言，面积覆盖率只能反映方案占用了多少范围，不能反映不同区域煤厚资源的差别。因此，需要根据钻孔煤厚资料计算煤层厚度分布，并将其用于后续资源覆盖评价。</w:t>
      </w:r>
    </w:p>
    <w:p w14:paraId="0DCE3871" w14:textId="77777777" w:rsidR="004C1CA5" w:rsidRPr="004C1CA5" w:rsidRDefault="004C1CA5" w:rsidP="004C1CA5">
      <w:pPr>
        <w:pStyle w:val="100"/>
        <w:ind w:firstLine="420"/>
      </w:pPr>
      <w:r w:rsidRPr="004C1CA5">
        <w:t>原始采区边界不能直接作为工作面布置边界。实际规划中，边界煤柱、区段煤柱和局部保护要求会压缩工作面可布置区域。本文在原始边界基础上叠加煤柱和保护约束，得到工作面可布置区域，如图</w:t>
      </w:r>
      <w:r w:rsidRPr="004C1CA5">
        <w:t>5</w:t>
      </w:r>
      <w:r w:rsidRPr="004C1CA5">
        <w:t>所示。</w:t>
      </w:r>
    </w:p>
    <w:p w14:paraId="57CA0477" w14:textId="77777777" w:rsidR="004B7D90" w:rsidRPr="004C1CA5" w:rsidRDefault="004B7D90" w:rsidP="004B7D90">
      <w:pPr>
        <w:pStyle w:val="100"/>
        <w:keepNext/>
        <w:ind w:firstLineChars="0" w:firstLine="0"/>
        <w:jc w:val="center"/>
        <w:sectPr w:rsidR="004B7D90" w:rsidRPr="004C1CA5" w:rsidSect="00A07DBF">
          <w:type w:val="continuous"/>
          <w:pgSz w:w="11906" w:h="16838"/>
          <w:pgMar w:top="1418" w:right="1134" w:bottom="1134" w:left="1134" w:header="720" w:footer="720" w:gutter="0"/>
          <w:cols w:num="2" w:space="720"/>
          <w:docGrid w:linePitch="598"/>
        </w:sectPr>
      </w:pPr>
    </w:p>
    <w:p w14:paraId="0F8C1EB9" w14:textId="77777777" w:rsidR="004B7D90" w:rsidRDefault="004B7D90" w:rsidP="004B7D90">
      <w:pPr>
        <w:pStyle w:val="100"/>
        <w:keepNext/>
        <w:ind w:firstLineChars="0" w:firstLine="0"/>
        <w:jc w:val="center"/>
      </w:pPr>
      <w:r>
        <w:rPr>
          <w:noProof/>
        </w:rPr>
        <w:drawing>
          <wp:inline distT="0" distB="0" distL="0" distR="0" wp14:anchorId="4428C729" wp14:editId="6B6D3653">
            <wp:extent cx="6111240" cy="1264920"/>
            <wp:effectExtent l="0" t="0" r="3810" b="0"/>
            <wp:docPr id="951091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111240" cy="1264920"/>
                    </a:xfrm>
                    <a:prstGeom prst="rect">
                      <a:avLst/>
                    </a:prstGeom>
                    <a:noFill/>
                    <a:ln>
                      <a:noFill/>
                    </a:ln>
                  </pic:spPr>
                </pic:pic>
              </a:graphicData>
            </a:graphic>
          </wp:inline>
        </w:drawing>
      </w:r>
    </w:p>
    <w:p w14:paraId="0D836079" w14:textId="1D4DF97F" w:rsidR="004B7D90" w:rsidRPr="00F41E99" w:rsidRDefault="004B7D90" w:rsidP="004B7D90">
      <w:pPr>
        <w:pStyle w:val="14"/>
      </w:pPr>
      <w:bookmarkStart w:id="4" w:name="_Ref227925859"/>
      <w:r w:rsidRPr="00F41E99">
        <w:rPr>
          <w:rFonts w:hint="eastAsia"/>
        </w:rPr>
        <w:t>图</w:t>
      </w:r>
      <w:r w:rsidRPr="00F41E99">
        <w:fldChar w:fldCharType="begin"/>
      </w:r>
      <w:r w:rsidRPr="00F41E99">
        <w:instrText xml:space="preserve"> </w:instrText>
      </w:r>
      <w:r w:rsidRPr="00F41E99">
        <w:rPr>
          <w:rFonts w:hint="eastAsia"/>
        </w:rPr>
        <w:instrText xml:space="preserve">SEQ </w:instrText>
      </w:r>
      <w:r w:rsidRPr="00F41E99">
        <w:rPr>
          <w:rFonts w:hint="eastAsia"/>
        </w:rPr>
        <w:instrText>图</w:instrText>
      </w:r>
      <w:r w:rsidRPr="00F41E99">
        <w:rPr>
          <w:rFonts w:hint="eastAsia"/>
        </w:rPr>
        <w:instrText xml:space="preserve"> \* ARABIC</w:instrText>
      </w:r>
      <w:r w:rsidRPr="00F41E99">
        <w:instrText xml:space="preserve"> </w:instrText>
      </w:r>
      <w:r w:rsidRPr="00F41E99">
        <w:fldChar w:fldCharType="separate"/>
      </w:r>
      <w:r w:rsidR="001E1EA5">
        <w:rPr>
          <w:noProof/>
        </w:rPr>
        <w:t>5</w:t>
      </w:r>
      <w:r w:rsidRPr="00F41E99">
        <w:fldChar w:fldCharType="end"/>
      </w:r>
      <w:bookmarkEnd w:id="4"/>
      <w:r w:rsidRPr="00F41E99">
        <w:rPr>
          <w:rFonts w:hint="eastAsia"/>
        </w:rPr>
        <w:t xml:space="preserve"> </w:t>
      </w:r>
      <w:r w:rsidR="003B394F" w:rsidRPr="003B394F">
        <w:t>原始边界与工作面可布置区域</w:t>
      </w:r>
    </w:p>
    <w:p w14:paraId="0418BD74" w14:textId="2680BBBF" w:rsidR="004B7D90" w:rsidRPr="00F41E99" w:rsidRDefault="004B7D90" w:rsidP="004B7D90">
      <w:pPr>
        <w:pStyle w:val="14"/>
      </w:pPr>
      <w:r w:rsidRPr="00F41E99">
        <w:t>Fig.</w:t>
      </w:r>
      <w:r w:rsidR="008419FD">
        <w:rPr>
          <w:rFonts w:hint="eastAsia"/>
        </w:rPr>
        <w:t>5</w:t>
      </w:r>
      <w:r w:rsidRPr="00F41E99">
        <w:t xml:space="preserve"> </w:t>
      </w:r>
      <w:r w:rsidR="003B394F" w:rsidRPr="003B394F">
        <w:t>Original boundary and working-face layout area</w:t>
      </w:r>
    </w:p>
    <w:p w14:paraId="7C1A1BDF"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530E6D50" w14:textId="77777777" w:rsidR="004C1CA5" w:rsidRPr="004C1CA5" w:rsidRDefault="004C1CA5" w:rsidP="004C1CA5">
      <w:pPr>
        <w:pStyle w:val="100"/>
        <w:ind w:firstLine="420"/>
      </w:pPr>
      <w:r w:rsidRPr="004C1CA5">
        <w:t>由图</w:t>
      </w:r>
      <w:r w:rsidRPr="004C1CA5">
        <w:t>5</w:t>
      </w:r>
      <w:r w:rsidRPr="004C1CA5">
        <w:t>可见，原始采区边界经煤柱约束和几何处理后，部分边界区域被内缩或剔除。后续候选工作面方案均在该可布置区域内形成，并需满</w:t>
      </w:r>
      <w:r w:rsidRPr="004C1CA5">
        <w:t>足不越界、不重叠、煤柱宽度满足要求和推进长度满足校核要求等基本采矿约束。</w:t>
      </w:r>
    </w:p>
    <w:p w14:paraId="6B8489F9" w14:textId="63E74B18" w:rsidR="004C1CA5" w:rsidRPr="004C1CA5" w:rsidRDefault="004C1CA5" w:rsidP="004C1CA5">
      <w:pPr>
        <w:pStyle w:val="100"/>
        <w:ind w:firstLine="420"/>
      </w:pPr>
      <w:r w:rsidRPr="004C1CA5">
        <w:t>研究区主要输入参数与约束条件见表</w:t>
      </w:r>
      <w:r w:rsidR="00495807">
        <w:rPr>
          <w:rFonts w:hint="eastAsia"/>
        </w:rPr>
        <w:t>3</w:t>
      </w:r>
      <w:r w:rsidRPr="004C1CA5">
        <w:t>。</w:t>
      </w:r>
    </w:p>
    <w:p w14:paraId="3D841CDB" w14:textId="77777777" w:rsidR="004B7D90" w:rsidRPr="008A2F6D" w:rsidRDefault="004B7D90" w:rsidP="004B7D90">
      <w:pPr>
        <w:pStyle w:val="15"/>
        <w:sectPr w:rsidR="004B7D90" w:rsidRPr="008A2F6D" w:rsidSect="00A07DBF">
          <w:type w:val="continuous"/>
          <w:pgSz w:w="11906" w:h="16838"/>
          <w:pgMar w:top="1418" w:right="1134" w:bottom="1134" w:left="1134" w:header="720" w:footer="720" w:gutter="0"/>
          <w:cols w:num="2" w:space="720"/>
          <w:docGrid w:linePitch="598"/>
        </w:sectPr>
      </w:pPr>
    </w:p>
    <w:p w14:paraId="1C90D709" w14:textId="40570F53" w:rsidR="004B7D90" w:rsidRDefault="004B7D90" w:rsidP="004B7D90">
      <w:pPr>
        <w:pStyle w:val="15"/>
      </w:pPr>
      <w:bookmarkStart w:id="5" w:name="_Ref228479977"/>
      <w:r>
        <w:rPr>
          <w:rFonts w:hint="eastAsia"/>
        </w:rPr>
        <w:t>表</w:t>
      </w:r>
      <w:r w:rsidR="00495807">
        <w:fldChar w:fldCharType="begin"/>
      </w:r>
      <w:r w:rsidR="00495807">
        <w:instrText xml:space="preserve"> </w:instrText>
      </w:r>
      <w:r w:rsidR="00495807">
        <w:rPr>
          <w:rFonts w:hint="eastAsia"/>
        </w:rPr>
        <w:instrText xml:space="preserve">SEQ </w:instrText>
      </w:r>
      <w:r w:rsidR="00495807">
        <w:rPr>
          <w:rFonts w:hint="eastAsia"/>
        </w:rPr>
        <w:instrText>表</w:instrText>
      </w:r>
      <w:r w:rsidR="00495807">
        <w:rPr>
          <w:rFonts w:hint="eastAsia"/>
        </w:rPr>
        <w:instrText xml:space="preserve"> \* ARABIC</w:instrText>
      </w:r>
      <w:r w:rsidR="00495807">
        <w:instrText xml:space="preserve"> </w:instrText>
      </w:r>
      <w:r w:rsidR="00495807">
        <w:fldChar w:fldCharType="separate"/>
      </w:r>
      <w:r w:rsidR="00495807">
        <w:rPr>
          <w:noProof/>
        </w:rPr>
        <w:t>3</w:t>
      </w:r>
      <w:r w:rsidR="00495807">
        <w:fldChar w:fldCharType="end"/>
      </w:r>
      <w:bookmarkEnd w:id="5"/>
      <w:r>
        <w:rPr>
          <w:rFonts w:hint="eastAsia"/>
        </w:rPr>
        <w:t xml:space="preserve"> </w:t>
      </w:r>
      <w:r w:rsidRPr="00421776">
        <w:t>研究区主要输入参数与约束条件</w:t>
      </w:r>
    </w:p>
    <w:p w14:paraId="7B963C59" w14:textId="0066EB14" w:rsidR="004B7D90" w:rsidRDefault="004B7D90" w:rsidP="004B7D90">
      <w:pPr>
        <w:pStyle w:val="15"/>
      </w:pPr>
      <w:r w:rsidRPr="00421776">
        <w:t xml:space="preserve">Table </w:t>
      </w:r>
      <w:r w:rsidR="00495807">
        <w:rPr>
          <w:rFonts w:hint="eastAsia"/>
        </w:rPr>
        <w:t>3</w:t>
      </w:r>
      <w:r w:rsidRPr="00421776">
        <w:t xml:space="preserve"> Main input parameters and constraints of the study area</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860"/>
        <w:gridCol w:w="2202"/>
        <w:gridCol w:w="420"/>
        <w:gridCol w:w="2516"/>
      </w:tblGrid>
      <w:tr w:rsidR="004B7D90" w:rsidRPr="00006F50" w14:paraId="55EE5BBE" w14:textId="77777777" w:rsidTr="008610EE">
        <w:trPr>
          <w:tblHeader/>
          <w:tblCellSpacing w:w="15" w:type="dxa"/>
          <w:jc w:val="center"/>
        </w:trPr>
        <w:tc>
          <w:tcPr>
            <w:tcW w:w="0" w:type="auto"/>
            <w:tcBorders>
              <w:top w:val="nil"/>
              <w:bottom w:val="single" w:sz="4" w:space="0" w:color="auto"/>
            </w:tcBorders>
            <w:vAlign w:val="center"/>
            <w:hideMark/>
          </w:tcPr>
          <w:p w14:paraId="4D96187E" w14:textId="77777777" w:rsidR="004B7D90" w:rsidRPr="00006F50" w:rsidRDefault="004B7D90" w:rsidP="008610EE">
            <w:pPr>
              <w:spacing w:beforeLines="0" w:before="0" w:afterLines="0" w:after="0"/>
              <w:jc w:val="center"/>
              <w:rPr>
                <w:rFonts w:eastAsia="宋体"/>
                <w:sz w:val="18"/>
              </w:rPr>
            </w:pPr>
            <w:r w:rsidRPr="00006F50">
              <w:rPr>
                <w:rFonts w:eastAsia="宋体"/>
                <w:sz w:val="18"/>
              </w:rPr>
              <w:t>类别</w:t>
            </w:r>
          </w:p>
        </w:tc>
        <w:tc>
          <w:tcPr>
            <w:tcW w:w="0" w:type="auto"/>
            <w:tcBorders>
              <w:top w:val="nil"/>
              <w:bottom w:val="single" w:sz="4" w:space="0" w:color="auto"/>
            </w:tcBorders>
            <w:vAlign w:val="center"/>
            <w:hideMark/>
          </w:tcPr>
          <w:p w14:paraId="123684D9" w14:textId="77777777" w:rsidR="004B7D90" w:rsidRPr="00006F50" w:rsidRDefault="004B7D90" w:rsidP="008610EE">
            <w:pPr>
              <w:spacing w:beforeLines="0" w:before="0" w:afterLines="0" w:after="0"/>
              <w:jc w:val="center"/>
              <w:rPr>
                <w:rFonts w:eastAsia="宋体"/>
                <w:sz w:val="18"/>
              </w:rPr>
            </w:pPr>
            <w:r w:rsidRPr="00006F50">
              <w:rPr>
                <w:rFonts w:eastAsia="宋体"/>
                <w:sz w:val="18"/>
              </w:rPr>
              <w:t>参数名称</w:t>
            </w:r>
          </w:p>
        </w:tc>
        <w:tc>
          <w:tcPr>
            <w:tcW w:w="0" w:type="auto"/>
            <w:tcBorders>
              <w:top w:val="nil"/>
              <w:bottom w:val="single" w:sz="4" w:space="0" w:color="auto"/>
            </w:tcBorders>
            <w:vAlign w:val="center"/>
            <w:hideMark/>
          </w:tcPr>
          <w:p w14:paraId="509341F6" w14:textId="77777777" w:rsidR="004B7D90" w:rsidRPr="00006F50" w:rsidRDefault="004B7D90" w:rsidP="008610EE">
            <w:pPr>
              <w:spacing w:beforeLines="0" w:before="0" w:afterLines="0" w:after="0"/>
              <w:jc w:val="center"/>
              <w:rPr>
                <w:rFonts w:eastAsia="宋体"/>
                <w:sz w:val="18"/>
              </w:rPr>
            </w:pPr>
            <w:r w:rsidRPr="00006F50">
              <w:rPr>
                <w:rFonts w:eastAsia="宋体"/>
                <w:sz w:val="18"/>
              </w:rPr>
              <w:t>数值或范围</w:t>
            </w:r>
          </w:p>
        </w:tc>
        <w:tc>
          <w:tcPr>
            <w:tcW w:w="0" w:type="auto"/>
            <w:tcBorders>
              <w:top w:val="nil"/>
              <w:bottom w:val="single" w:sz="4" w:space="0" w:color="auto"/>
            </w:tcBorders>
            <w:vAlign w:val="center"/>
            <w:hideMark/>
          </w:tcPr>
          <w:p w14:paraId="3C565EFF" w14:textId="77777777" w:rsidR="004B7D90" w:rsidRPr="00006F50" w:rsidRDefault="004B7D90" w:rsidP="008610EE">
            <w:pPr>
              <w:spacing w:beforeLines="0" w:before="0" w:afterLines="0" w:after="0"/>
              <w:jc w:val="center"/>
              <w:rPr>
                <w:rFonts w:eastAsia="宋体"/>
                <w:sz w:val="18"/>
              </w:rPr>
            </w:pPr>
            <w:r w:rsidRPr="00006F50">
              <w:rPr>
                <w:rFonts w:eastAsia="宋体"/>
                <w:sz w:val="18"/>
              </w:rPr>
              <w:t>单位</w:t>
            </w:r>
          </w:p>
        </w:tc>
        <w:tc>
          <w:tcPr>
            <w:tcW w:w="0" w:type="auto"/>
            <w:tcBorders>
              <w:top w:val="nil"/>
              <w:bottom w:val="single" w:sz="4" w:space="0" w:color="auto"/>
            </w:tcBorders>
            <w:vAlign w:val="center"/>
            <w:hideMark/>
          </w:tcPr>
          <w:p w14:paraId="5887344D" w14:textId="77777777" w:rsidR="004B7D90" w:rsidRPr="00006F50" w:rsidRDefault="004B7D90" w:rsidP="008610EE">
            <w:pPr>
              <w:spacing w:beforeLines="0" w:before="0" w:afterLines="0" w:after="0"/>
              <w:jc w:val="center"/>
              <w:rPr>
                <w:rFonts w:eastAsia="宋体"/>
                <w:sz w:val="18"/>
              </w:rPr>
            </w:pPr>
            <w:r w:rsidRPr="00006F50">
              <w:rPr>
                <w:rFonts w:eastAsia="宋体"/>
                <w:sz w:val="18"/>
              </w:rPr>
              <w:t>说明</w:t>
            </w:r>
          </w:p>
        </w:tc>
      </w:tr>
      <w:tr w:rsidR="004B7D90" w:rsidRPr="00006F50" w14:paraId="799D8892" w14:textId="77777777" w:rsidTr="008610EE">
        <w:trPr>
          <w:tblCellSpacing w:w="15" w:type="dxa"/>
          <w:jc w:val="center"/>
        </w:trPr>
        <w:tc>
          <w:tcPr>
            <w:tcW w:w="0" w:type="auto"/>
            <w:vAlign w:val="center"/>
            <w:hideMark/>
          </w:tcPr>
          <w:p w14:paraId="344265D6" w14:textId="77777777" w:rsidR="004B7D90" w:rsidRPr="00006F50" w:rsidRDefault="004B7D90" w:rsidP="008610EE">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7249861A"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钻孔数量</w:t>
            </w:r>
          </w:p>
        </w:tc>
        <w:tc>
          <w:tcPr>
            <w:tcW w:w="0" w:type="auto"/>
            <w:vAlign w:val="center"/>
            <w:hideMark/>
          </w:tcPr>
          <w:p w14:paraId="09AA789A" w14:textId="77777777" w:rsidR="004B7D90" w:rsidRPr="00006F50" w:rsidRDefault="004B7D90" w:rsidP="008610EE">
            <w:pPr>
              <w:spacing w:beforeLines="0" w:before="0" w:afterLines="0" w:after="0"/>
              <w:jc w:val="center"/>
              <w:rPr>
                <w:rFonts w:eastAsia="宋体"/>
                <w:sz w:val="18"/>
              </w:rPr>
            </w:pPr>
            <w:r w:rsidRPr="00006F50">
              <w:rPr>
                <w:rFonts w:eastAsia="宋体"/>
                <w:sz w:val="18"/>
              </w:rPr>
              <w:t>15</w:t>
            </w:r>
          </w:p>
        </w:tc>
        <w:tc>
          <w:tcPr>
            <w:tcW w:w="0" w:type="auto"/>
            <w:vAlign w:val="center"/>
            <w:hideMark/>
          </w:tcPr>
          <w:p w14:paraId="6BE167D0" w14:textId="77777777" w:rsidR="004B7D90" w:rsidRPr="00006F50" w:rsidRDefault="004B7D90" w:rsidP="008610EE">
            <w:pPr>
              <w:spacing w:beforeLines="0" w:before="0" w:afterLines="0" w:after="0"/>
              <w:jc w:val="center"/>
              <w:rPr>
                <w:rFonts w:eastAsia="宋体"/>
                <w:sz w:val="18"/>
              </w:rPr>
            </w:pPr>
            <w:r w:rsidRPr="00006F50">
              <w:rPr>
                <w:rFonts w:eastAsia="宋体"/>
                <w:sz w:val="18"/>
              </w:rPr>
              <w:t>个</w:t>
            </w:r>
          </w:p>
        </w:tc>
        <w:tc>
          <w:tcPr>
            <w:tcW w:w="0" w:type="auto"/>
            <w:vAlign w:val="center"/>
            <w:hideMark/>
          </w:tcPr>
          <w:p w14:paraId="4158756C"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钻孔资料</w:t>
            </w:r>
          </w:p>
        </w:tc>
      </w:tr>
      <w:tr w:rsidR="004B7D90" w:rsidRPr="00006F50" w14:paraId="5BE69FC0" w14:textId="77777777" w:rsidTr="008610EE">
        <w:trPr>
          <w:tblCellSpacing w:w="15" w:type="dxa"/>
          <w:jc w:val="center"/>
        </w:trPr>
        <w:tc>
          <w:tcPr>
            <w:tcW w:w="0" w:type="auto"/>
            <w:vAlign w:val="center"/>
            <w:hideMark/>
          </w:tcPr>
          <w:p w14:paraId="2B8D4F2A" w14:textId="77777777" w:rsidR="004B7D90" w:rsidRPr="00006F50" w:rsidRDefault="004B7D90" w:rsidP="008610EE">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6722B720" w14:textId="77777777" w:rsidR="004B7D90" w:rsidRPr="00006F50" w:rsidRDefault="004B7D90" w:rsidP="008610EE">
            <w:pPr>
              <w:spacing w:beforeLines="0" w:before="0" w:afterLines="0" w:after="0"/>
              <w:jc w:val="center"/>
              <w:rPr>
                <w:rFonts w:eastAsia="宋体"/>
                <w:sz w:val="18"/>
              </w:rPr>
            </w:pPr>
            <w:r w:rsidRPr="00006F50">
              <w:rPr>
                <w:rFonts w:eastAsia="宋体"/>
                <w:sz w:val="18"/>
              </w:rPr>
              <w:t>原始边界面积</w:t>
            </w:r>
          </w:p>
        </w:tc>
        <w:tc>
          <w:tcPr>
            <w:tcW w:w="0" w:type="auto"/>
            <w:vAlign w:val="center"/>
            <w:hideMark/>
          </w:tcPr>
          <w:p w14:paraId="39D841A8" w14:textId="77777777" w:rsidR="004B7D90" w:rsidRPr="00006F50" w:rsidRDefault="004B7D90" w:rsidP="008610EE">
            <w:pPr>
              <w:spacing w:beforeLines="0" w:before="0" w:afterLines="0" w:after="0"/>
              <w:jc w:val="center"/>
              <w:rPr>
                <w:rFonts w:eastAsia="宋体"/>
                <w:sz w:val="18"/>
              </w:rPr>
            </w:pPr>
            <w:r w:rsidRPr="00006F50">
              <w:rPr>
                <w:rFonts w:eastAsia="宋体"/>
                <w:sz w:val="18"/>
              </w:rPr>
              <w:t>255250.00</w:t>
            </w:r>
          </w:p>
        </w:tc>
        <w:tc>
          <w:tcPr>
            <w:tcW w:w="0" w:type="auto"/>
            <w:vAlign w:val="center"/>
            <w:hideMark/>
          </w:tcPr>
          <w:p w14:paraId="385BAD9D" w14:textId="77777777" w:rsidR="004B7D90" w:rsidRPr="00006F50" w:rsidRDefault="004B7D90" w:rsidP="008610EE">
            <w:pPr>
              <w:spacing w:beforeLines="0" w:before="0" w:afterLines="0" w:after="0"/>
              <w:jc w:val="center"/>
              <w:rPr>
                <w:rFonts w:eastAsia="宋体"/>
                <w:sz w:val="18"/>
              </w:rPr>
            </w:pPr>
            <w:r w:rsidRPr="00006F50">
              <w:rPr>
                <w:rFonts w:eastAsia="宋体"/>
                <w:sz w:val="18"/>
              </w:rPr>
              <w:t>m²</w:t>
            </w:r>
          </w:p>
        </w:tc>
        <w:tc>
          <w:tcPr>
            <w:tcW w:w="0" w:type="auto"/>
            <w:vAlign w:val="center"/>
            <w:hideMark/>
          </w:tcPr>
          <w:p w14:paraId="302022DF" w14:textId="77777777" w:rsidR="004B7D90" w:rsidRPr="00006F50" w:rsidRDefault="004B7D90" w:rsidP="008610EE">
            <w:pPr>
              <w:spacing w:beforeLines="0" w:before="0" w:afterLines="0" w:after="0"/>
              <w:jc w:val="center"/>
              <w:rPr>
                <w:rFonts w:eastAsia="宋体"/>
                <w:sz w:val="18"/>
              </w:rPr>
            </w:pPr>
            <w:r w:rsidRPr="00006F50">
              <w:rPr>
                <w:rFonts w:eastAsia="宋体"/>
                <w:sz w:val="18"/>
              </w:rPr>
              <w:t>边界数据</w:t>
            </w:r>
          </w:p>
        </w:tc>
      </w:tr>
      <w:tr w:rsidR="004B7D90" w:rsidRPr="00006F50" w14:paraId="0AA4AD8B" w14:textId="77777777" w:rsidTr="008610EE">
        <w:trPr>
          <w:tblCellSpacing w:w="15" w:type="dxa"/>
          <w:jc w:val="center"/>
        </w:trPr>
        <w:tc>
          <w:tcPr>
            <w:tcW w:w="0" w:type="auto"/>
            <w:vAlign w:val="center"/>
            <w:hideMark/>
          </w:tcPr>
          <w:p w14:paraId="398B6151"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33212EBA"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煤层厚度最小值</w:t>
            </w:r>
          </w:p>
        </w:tc>
        <w:tc>
          <w:tcPr>
            <w:tcW w:w="0" w:type="auto"/>
            <w:vAlign w:val="center"/>
            <w:hideMark/>
          </w:tcPr>
          <w:p w14:paraId="1B0A684B" w14:textId="77777777" w:rsidR="004B7D90" w:rsidRPr="00006F50" w:rsidRDefault="004B7D90" w:rsidP="008610EE">
            <w:pPr>
              <w:spacing w:beforeLines="0" w:before="0" w:afterLines="0" w:after="0"/>
              <w:jc w:val="center"/>
              <w:rPr>
                <w:rFonts w:eastAsia="宋体"/>
                <w:sz w:val="18"/>
              </w:rPr>
            </w:pPr>
            <w:r w:rsidRPr="00006F50">
              <w:rPr>
                <w:rFonts w:eastAsia="宋体"/>
                <w:sz w:val="18"/>
              </w:rPr>
              <w:t>2.8</w:t>
            </w:r>
          </w:p>
        </w:tc>
        <w:tc>
          <w:tcPr>
            <w:tcW w:w="0" w:type="auto"/>
            <w:vAlign w:val="center"/>
            <w:hideMark/>
          </w:tcPr>
          <w:p w14:paraId="794FCD19"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057C3FB5"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7538B217" w14:textId="77777777" w:rsidTr="008610EE">
        <w:trPr>
          <w:tblCellSpacing w:w="15" w:type="dxa"/>
          <w:jc w:val="center"/>
        </w:trPr>
        <w:tc>
          <w:tcPr>
            <w:tcW w:w="0" w:type="auto"/>
            <w:vAlign w:val="center"/>
            <w:hideMark/>
          </w:tcPr>
          <w:p w14:paraId="6AA2561B"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70CE34E1"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煤层厚度最大值</w:t>
            </w:r>
          </w:p>
        </w:tc>
        <w:tc>
          <w:tcPr>
            <w:tcW w:w="0" w:type="auto"/>
            <w:vAlign w:val="center"/>
            <w:hideMark/>
          </w:tcPr>
          <w:p w14:paraId="31CF8B3C" w14:textId="77777777" w:rsidR="004B7D90" w:rsidRPr="00006F50" w:rsidRDefault="004B7D90" w:rsidP="008610EE">
            <w:pPr>
              <w:spacing w:beforeLines="0" w:before="0" w:afterLines="0" w:after="0"/>
              <w:jc w:val="center"/>
              <w:rPr>
                <w:rFonts w:eastAsia="宋体"/>
                <w:sz w:val="18"/>
              </w:rPr>
            </w:pPr>
            <w:r w:rsidRPr="00006F50">
              <w:rPr>
                <w:rFonts w:eastAsia="宋体"/>
                <w:sz w:val="18"/>
              </w:rPr>
              <w:t>4.8</w:t>
            </w:r>
          </w:p>
        </w:tc>
        <w:tc>
          <w:tcPr>
            <w:tcW w:w="0" w:type="auto"/>
            <w:vAlign w:val="center"/>
            <w:hideMark/>
          </w:tcPr>
          <w:p w14:paraId="021D3B11"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366FAC7B"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32FB86FC" w14:textId="77777777" w:rsidTr="008610EE">
        <w:trPr>
          <w:tblCellSpacing w:w="15" w:type="dxa"/>
          <w:jc w:val="center"/>
        </w:trPr>
        <w:tc>
          <w:tcPr>
            <w:tcW w:w="0" w:type="auto"/>
            <w:vAlign w:val="center"/>
            <w:hideMark/>
          </w:tcPr>
          <w:p w14:paraId="1B15112C"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12407F5B"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煤层厚度平均值</w:t>
            </w:r>
          </w:p>
        </w:tc>
        <w:tc>
          <w:tcPr>
            <w:tcW w:w="0" w:type="auto"/>
            <w:vAlign w:val="center"/>
            <w:hideMark/>
          </w:tcPr>
          <w:p w14:paraId="4F628CA4" w14:textId="77777777" w:rsidR="004B7D90" w:rsidRPr="00006F50" w:rsidRDefault="004B7D90" w:rsidP="008610EE">
            <w:pPr>
              <w:spacing w:beforeLines="0" w:before="0" w:afterLines="0" w:after="0"/>
              <w:jc w:val="center"/>
              <w:rPr>
                <w:rFonts w:eastAsia="宋体"/>
                <w:sz w:val="18"/>
              </w:rPr>
            </w:pPr>
            <w:r w:rsidRPr="00006F50">
              <w:rPr>
                <w:rFonts w:eastAsia="宋体"/>
                <w:sz w:val="18"/>
              </w:rPr>
              <w:t>3.7933</w:t>
            </w:r>
          </w:p>
        </w:tc>
        <w:tc>
          <w:tcPr>
            <w:tcW w:w="0" w:type="auto"/>
            <w:vAlign w:val="center"/>
            <w:hideMark/>
          </w:tcPr>
          <w:p w14:paraId="12BA4D77"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03A9890"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053D0202" w14:textId="77777777" w:rsidTr="008610EE">
        <w:trPr>
          <w:tblCellSpacing w:w="15" w:type="dxa"/>
          <w:jc w:val="center"/>
        </w:trPr>
        <w:tc>
          <w:tcPr>
            <w:tcW w:w="0" w:type="auto"/>
            <w:vAlign w:val="center"/>
            <w:hideMark/>
          </w:tcPr>
          <w:p w14:paraId="76762DA3" w14:textId="77777777" w:rsidR="004B7D90" w:rsidRPr="00006F50" w:rsidRDefault="004B7D90" w:rsidP="008610EE">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2EC1B9F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边界煤柱宽度</w:t>
            </w:r>
          </w:p>
        </w:tc>
        <w:tc>
          <w:tcPr>
            <w:tcW w:w="0" w:type="auto"/>
            <w:vAlign w:val="center"/>
            <w:hideMark/>
          </w:tcPr>
          <w:p w14:paraId="59089E16" w14:textId="77777777" w:rsidR="004B7D90" w:rsidRPr="00006F50" w:rsidRDefault="004B7D90" w:rsidP="008610EE">
            <w:pPr>
              <w:spacing w:beforeLines="0" w:before="0" w:afterLines="0" w:after="0"/>
              <w:jc w:val="center"/>
              <w:rPr>
                <w:rFonts w:eastAsia="宋体"/>
                <w:sz w:val="18"/>
              </w:rPr>
            </w:pPr>
            <w:r w:rsidRPr="00006F50">
              <w:rPr>
                <w:rFonts w:eastAsia="宋体"/>
                <w:sz w:val="18"/>
              </w:rPr>
              <w:t>30.0</w:t>
            </w:r>
          </w:p>
        </w:tc>
        <w:tc>
          <w:tcPr>
            <w:tcW w:w="0" w:type="auto"/>
            <w:vAlign w:val="center"/>
            <w:hideMark/>
          </w:tcPr>
          <w:p w14:paraId="3AA58BE8"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7BF51BE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规划约束</w:t>
            </w:r>
          </w:p>
        </w:tc>
      </w:tr>
      <w:tr w:rsidR="004B7D90" w:rsidRPr="00006F50" w14:paraId="11130047" w14:textId="77777777" w:rsidTr="008610EE">
        <w:trPr>
          <w:tblCellSpacing w:w="15" w:type="dxa"/>
          <w:jc w:val="center"/>
        </w:trPr>
        <w:tc>
          <w:tcPr>
            <w:tcW w:w="0" w:type="auto"/>
            <w:vAlign w:val="center"/>
            <w:hideMark/>
          </w:tcPr>
          <w:p w14:paraId="1082AF1E" w14:textId="77777777" w:rsidR="004B7D90" w:rsidRPr="00006F50" w:rsidRDefault="004B7D90" w:rsidP="008610EE">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0084C1B5" w14:textId="77777777" w:rsidR="004B7D90" w:rsidRPr="00006F50" w:rsidRDefault="004B7D90" w:rsidP="008610EE">
            <w:pPr>
              <w:spacing w:beforeLines="0" w:before="0" w:afterLines="0" w:after="0"/>
              <w:jc w:val="center"/>
              <w:rPr>
                <w:rFonts w:eastAsia="宋体"/>
                <w:sz w:val="18"/>
              </w:rPr>
            </w:pPr>
            <w:r w:rsidRPr="00006F50">
              <w:rPr>
                <w:rFonts w:eastAsia="宋体"/>
                <w:sz w:val="18"/>
              </w:rPr>
              <w:t>区段煤柱宽度</w:t>
            </w:r>
          </w:p>
        </w:tc>
        <w:tc>
          <w:tcPr>
            <w:tcW w:w="0" w:type="auto"/>
            <w:vAlign w:val="center"/>
            <w:hideMark/>
          </w:tcPr>
          <w:p w14:paraId="0007EBE3" w14:textId="77777777" w:rsidR="004B7D90" w:rsidRPr="00006F50" w:rsidRDefault="004B7D90" w:rsidP="008610EE">
            <w:pPr>
              <w:spacing w:beforeLines="0" w:before="0" w:afterLines="0" w:after="0"/>
              <w:jc w:val="center"/>
              <w:rPr>
                <w:rFonts w:eastAsia="宋体"/>
                <w:sz w:val="18"/>
              </w:rPr>
            </w:pPr>
            <w:r w:rsidRPr="00006F50">
              <w:rPr>
                <w:rFonts w:eastAsia="宋体"/>
                <w:sz w:val="18"/>
              </w:rPr>
              <w:t>20.0</w:t>
            </w:r>
          </w:p>
        </w:tc>
        <w:tc>
          <w:tcPr>
            <w:tcW w:w="0" w:type="auto"/>
            <w:vAlign w:val="center"/>
            <w:hideMark/>
          </w:tcPr>
          <w:p w14:paraId="4AF1209B"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F7CC80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规划约束</w:t>
            </w:r>
          </w:p>
        </w:tc>
      </w:tr>
      <w:tr w:rsidR="004B7D90" w:rsidRPr="00006F50" w14:paraId="46717A97" w14:textId="77777777" w:rsidTr="008610EE">
        <w:trPr>
          <w:tblCellSpacing w:w="15" w:type="dxa"/>
          <w:jc w:val="center"/>
        </w:trPr>
        <w:tc>
          <w:tcPr>
            <w:tcW w:w="0" w:type="auto"/>
            <w:vAlign w:val="center"/>
            <w:hideMark/>
          </w:tcPr>
          <w:p w14:paraId="20FE52B3"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57B76BA0" w14:textId="77777777" w:rsidR="004B7D90" w:rsidRPr="00006F50" w:rsidRDefault="004B7D90" w:rsidP="008610EE">
            <w:pPr>
              <w:spacing w:beforeLines="0" w:before="0" w:afterLines="0" w:after="0"/>
              <w:jc w:val="center"/>
              <w:rPr>
                <w:rFonts w:eastAsia="宋体"/>
                <w:sz w:val="18"/>
              </w:rPr>
            </w:pPr>
            <w:r w:rsidRPr="00006F50">
              <w:rPr>
                <w:rFonts w:eastAsia="宋体"/>
                <w:sz w:val="18"/>
              </w:rPr>
              <w:t>工作面宽度</w:t>
            </w:r>
          </w:p>
        </w:tc>
        <w:tc>
          <w:tcPr>
            <w:tcW w:w="0" w:type="auto"/>
            <w:vAlign w:val="center"/>
            <w:hideMark/>
          </w:tcPr>
          <w:p w14:paraId="32A8C7B8" w14:textId="77777777" w:rsidR="004B7D90" w:rsidRPr="00006F50" w:rsidRDefault="004B7D90" w:rsidP="008610EE">
            <w:pPr>
              <w:spacing w:beforeLines="0" w:before="0" w:afterLines="0" w:after="0"/>
              <w:jc w:val="center"/>
              <w:rPr>
                <w:rFonts w:eastAsia="宋体"/>
                <w:sz w:val="18"/>
              </w:rPr>
            </w:pPr>
            <w:r w:rsidRPr="00006F50">
              <w:rPr>
                <w:rFonts w:eastAsia="宋体"/>
                <w:sz w:val="18"/>
              </w:rPr>
              <w:t>120.0</w:t>
            </w:r>
          </w:p>
        </w:tc>
        <w:tc>
          <w:tcPr>
            <w:tcW w:w="0" w:type="auto"/>
            <w:vAlign w:val="center"/>
            <w:hideMark/>
          </w:tcPr>
          <w:p w14:paraId="1002BB95"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53E2FF85" w14:textId="77777777" w:rsidR="004B7D90" w:rsidRPr="00006F50" w:rsidRDefault="004B7D90" w:rsidP="008610EE">
            <w:pPr>
              <w:spacing w:beforeLines="0" w:before="0" w:afterLines="0" w:after="0"/>
              <w:jc w:val="center"/>
              <w:rPr>
                <w:rFonts w:eastAsia="宋体"/>
                <w:sz w:val="18"/>
              </w:rPr>
            </w:pPr>
            <w:r w:rsidRPr="00006F50">
              <w:rPr>
                <w:rFonts w:eastAsia="宋体"/>
                <w:sz w:val="18"/>
              </w:rPr>
              <w:t>设计参数</w:t>
            </w:r>
          </w:p>
        </w:tc>
      </w:tr>
      <w:tr w:rsidR="004B7D90" w:rsidRPr="00006F50" w14:paraId="4A719EF8" w14:textId="77777777" w:rsidTr="008610EE">
        <w:trPr>
          <w:tblCellSpacing w:w="15" w:type="dxa"/>
          <w:jc w:val="center"/>
        </w:trPr>
        <w:tc>
          <w:tcPr>
            <w:tcW w:w="0" w:type="auto"/>
            <w:vAlign w:val="center"/>
            <w:hideMark/>
          </w:tcPr>
          <w:p w14:paraId="0A78D491"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587F6CC1" w14:textId="77777777" w:rsidR="004B7D90" w:rsidRPr="00006F50" w:rsidRDefault="004B7D90" w:rsidP="008610EE">
            <w:pPr>
              <w:spacing w:beforeLines="0" w:before="0" w:afterLines="0" w:after="0"/>
              <w:jc w:val="center"/>
              <w:rPr>
                <w:rFonts w:eastAsia="宋体"/>
                <w:sz w:val="18"/>
              </w:rPr>
            </w:pPr>
            <w:r w:rsidRPr="00006F50">
              <w:rPr>
                <w:rFonts w:eastAsia="宋体"/>
                <w:sz w:val="18"/>
              </w:rPr>
              <w:t>单工作面几何长度规则</w:t>
            </w:r>
          </w:p>
        </w:tc>
        <w:tc>
          <w:tcPr>
            <w:tcW w:w="0" w:type="auto"/>
            <w:vAlign w:val="center"/>
            <w:hideMark/>
          </w:tcPr>
          <w:p w14:paraId="2B7C1D27" w14:textId="77777777" w:rsidR="004B7D90" w:rsidRPr="00006F50" w:rsidRDefault="004B7D90" w:rsidP="008610EE">
            <w:pPr>
              <w:spacing w:beforeLines="0" w:before="0" w:afterLines="0" w:after="0"/>
              <w:jc w:val="center"/>
              <w:rPr>
                <w:rFonts w:eastAsia="宋体"/>
                <w:sz w:val="18"/>
              </w:rPr>
            </w:pPr>
            <w:r w:rsidRPr="00006F50">
              <w:rPr>
                <w:rFonts w:eastAsia="宋体"/>
                <w:sz w:val="18"/>
              </w:rPr>
              <w:t>120</w:t>
            </w:r>
            <w:r w:rsidRPr="00006F50">
              <w:rPr>
                <w:rFonts w:eastAsia="宋体"/>
                <w:sz w:val="18"/>
              </w:rPr>
              <w:t>～</w:t>
            </w:r>
            <w:r w:rsidRPr="00006F50">
              <w:rPr>
                <w:rFonts w:eastAsia="宋体"/>
                <w:sz w:val="18"/>
              </w:rPr>
              <w:t>260</w:t>
            </w:r>
            <w:r w:rsidRPr="00006F50">
              <w:rPr>
                <w:rFonts w:eastAsia="宋体"/>
                <w:sz w:val="18"/>
              </w:rPr>
              <w:t>，推荐值</w:t>
            </w:r>
            <w:r w:rsidRPr="00006F50">
              <w:rPr>
                <w:rFonts w:eastAsia="宋体"/>
                <w:sz w:val="18"/>
              </w:rPr>
              <w:t>200</w:t>
            </w:r>
          </w:p>
        </w:tc>
        <w:tc>
          <w:tcPr>
            <w:tcW w:w="0" w:type="auto"/>
            <w:vAlign w:val="center"/>
            <w:hideMark/>
          </w:tcPr>
          <w:p w14:paraId="5377305E"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E875FC4"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规划规则</w:t>
            </w:r>
          </w:p>
        </w:tc>
      </w:tr>
      <w:tr w:rsidR="004B7D90" w:rsidRPr="00006F50" w14:paraId="43FB1964" w14:textId="77777777" w:rsidTr="008610EE">
        <w:trPr>
          <w:tblCellSpacing w:w="15" w:type="dxa"/>
          <w:jc w:val="center"/>
        </w:trPr>
        <w:tc>
          <w:tcPr>
            <w:tcW w:w="0" w:type="auto"/>
            <w:vAlign w:val="center"/>
            <w:hideMark/>
          </w:tcPr>
          <w:p w14:paraId="03EC75DA"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2171D2EF" w14:textId="77777777" w:rsidR="004B7D90" w:rsidRPr="00006F50" w:rsidRDefault="004B7D90" w:rsidP="008610EE">
            <w:pPr>
              <w:spacing w:beforeLines="0" w:before="0" w:afterLines="0" w:after="0"/>
              <w:jc w:val="center"/>
              <w:rPr>
                <w:rFonts w:eastAsia="宋体"/>
                <w:sz w:val="18"/>
              </w:rPr>
            </w:pPr>
            <w:r w:rsidRPr="00006F50">
              <w:rPr>
                <w:rFonts w:eastAsia="宋体"/>
                <w:sz w:val="18"/>
              </w:rPr>
              <w:t>推进长度校核阈值</w:t>
            </w:r>
          </w:p>
        </w:tc>
        <w:tc>
          <w:tcPr>
            <w:tcW w:w="0" w:type="auto"/>
            <w:vAlign w:val="center"/>
            <w:hideMark/>
          </w:tcPr>
          <w:p w14:paraId="26B5F125" w14:textId="77777777" w:rsidR="004B7D90" w:rsidRPr="00006F50" w:rsidRDefault="004B7D90" w:rsidP="008610EE">
            <w:pPr>
              <w:spacing w:beforeLines="0" w:before="0" w:afterLines="0" w:after="0"/>
              <w:jc w:val="center"/>
              <w:rPr>
                <w:rFonts w:eastAsia="宋体"/>
                <w:sz w:val="18"/>
              </w:rPr>
            </w:pPr>
            <w:r w:rsidRPr="00006F50">
              <w:rPr>
                <w:rFonts w:eastAsia="宋体"/>
                <w:sz w:val="18"/>
              </w:rPr>
              <w:t>800.0</w:t>
            </w:r>
          </w:p>
        </w:tc>
        <w:tc>
          <w:tcPr>
            <w:tcW w:w="0" w:type="auto"/>
            <w:vAlign w:val="center"/>
            <w:hideMark/>
          </w:tcPr>
          <w:p w14:paraId="2CF0D582"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2E3BB77E"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规划规则</w:t>
            </w:r>
          </w:p>
        </w:tc>
      </w:tr>
      <w:tr w:rsidR="004B7D90" w:rsidRPr="00006F50" w14:paraId="423C0545" w14:textId="77777777" w:rsidTr="008610EE">
        <w:trPr>
          <w:tblCellSpacing w:w="15" w:type="dxa"/>
          <w:jc w:val="center"/>
        </w:trPr>
        <w:tc>
          <w:tcPr>
            <w:tcW w:w="0" w:type="auto"/>
            <w:vAlign w:val="center"/>
            <w:hideMark/>
          </w:tcPr>
          <w:p w14:paraId="1309E926"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7E4205C8" w14:textId="77777777" w:rsidR="004B7D90" w:rsidRPr="00006F50" w:rsidRDefault="004B7D90" w:rsidP="008610EE">
            <w:pPr>
              <w:spacing w:beforeLines="0" w:before="0" w:afterLines="0" w:after="0"/>
              <w:jc w:val="center"/>
              <w:rPr>
                <w:rFonts w:eastAsia="宋体"/>
                <w:sz w:val="18"/>
              </w:rPr>
            </w:pPr>
            <w:r w:rsidRPr="00006F50">
              <w:rPr>
                <w:rFonts w:eastAsia="宋体"/>
                <w:sz w:val="18"/>
              </w:rPr>
              <w:t>推进方向</w:t>
            </w:r>
          </w:p>
        </w:tc>
        <w:tc>
          <w:tcPr>
            <w:tcW w:w="0" w:type="auto"/>
            <w:vAlign w:val="center"/>
            <w:hideMark/>
          </w:tcPr>
          <w:p w14:paraId="45E4C596" w14:textId="77777777" w:rsidR="004B7D90" w:rsidRPr="00006F50" w:rsidRDefault="004B7D90" w:rsidP="008610EE">
            <w:pPr>
              <w:spacing w:beforeLines="0" w:before="0" w:afterLines="0" w:after="0"/>
              <w:jc w:val="center"/>
              <w:rPr>
                <w:rFonts w:eastAsia="宋体"/>
                <w:sz w:val="18"/>
              </w:rPr>
            </w:pPr>
            <w:r w:rsidRPr="00006F50">
              <w:rPr>
                <w:rFonts w:eastAsia="宋体"/>
                <w:sz w:val="18"/>
              </w:rPr>
              <w:t>走向长壁布置，走向</w:t>
            </w:r>
            <w:r w:rsidRPr="00006F50">
              <w:rPr>
                <w:rFonts w:eastAsia="宋体"/>
                <w:sz w:val="18"/>
              </w:rPr>
              <w:t>180.0°</w:t>
            </w:r>
          </w:p>
        </w:tc>
        <w:tc>
          <w:tcPr>
            <w:tcW w:w="0" w:type="auto"/>
            <w:vAlign w:val="center"/>
            <w:hideMark/>
          </w:tcPr>
          <w:p w14:paraId="747CF61D"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78FAA294" w14:textId="77777777" w:rsidR="004B7D90" w:rsidRPr="00006F50" w:rsidRDefault="004B7D90" w:rsidP="008610EE">
            <w:pPr>
              <w:spacing w:beforeLines="0" w:before="0" w:afterLines="0" w:after="0"/>
              <w:jc w:val="center"/>
              <w:rPr>
                <w:rFonts w:eastAsia="宋体"/>
                <w:sz w:val="18"/>
              </w:rPr>
            </w:pPr>
            <w:r w:rsidRPr="00006F50">
              <w:rPr>
                <w:rFonts w:eastAsia="宋体"/>
                <w:sz w:val="18"/>
              </w:rPr>
              <w:t>设计结果</w:t>
            </w:r>
          </w:p>
        </w:tc>
      </w:tr>
      <w:tr w:rsidR="004B7D90" w:rsidRPr="00006F50" w14:paraId="15C2F6B4" w14:textId="77777777" w:rsidTr="008610EE">
        <w:trPr>
          <w:tblCellSpacing w:w="15" w:type="dxa"/>
          <w:jc w:val="center"/>
        </w:trPr>
        <w:tc>
          <w:tcPr>
            <w:tcW w:w="0" w:type="auto"/>
            <w:vAlign w:val="center"/>
            <w:hideMark/>
          </w:tcPr>
          <w:p w14:paraId="13A30B80" w14:textId="77777777" w:rsidR="004B7D90" w:rsidRPr="00006F50" w:rsidRDefault="004B7D90" w:rsidP="008610EE">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70FCE266"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权重</w:t>
            </w:r>
          </w:p>
        </w:tc>
        <w:tc>
          <w:tcPr>
            <w:tcW w:w="0" w:type="auto"/>
            <w:vAlign w:val="center"/>
            <w:hideMark/>
          </w:tcPr>
          <w:p w14:paraId="30864609" w14:textId="77777777" w:rsidR="004B7D90" w:rsidRPr="00006F50" w:rsidRDefault="004B7D90" w:rsidP="008610EE">
            <w:pPr>
              <w:spacing w:beforeLines="0" w:before="0" w:afterLines="0" w:after="0"/>
              <w:jc w:val="center"/>
              <w:rPr>
                <w:rFonts w:eastAsia="宋体"/>
                <w:sz w:val="18"/>
              </w:rPr>
            </w:pPr>
            <w:r w:rsidRPr="00006F50">
              <w:rPr>
                <w:rFonts w:eastAsia="宋体"/>
                <w:sz w:val="18"/>
              </w:rPr>
              <w:t>0.45/0.30/0.25</w:t>
            </w:r>
          </w:p>
        </w:tc>
        <w:tc>
          <w:tcPr>
            <w:tcW w:w="0" w:type="auto"/>
            <w:vAlign w:val="center"/>
            <w:hideMark/>
          </w:tcPr>
          <w:p w14:paraId="2A399F29"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7F9BC434" w14:textId="77777777" w:rsidR="004B7D90" w:rsidRPr="00006F50" w:rsidRDefault="004B7D90" w:rsidP="008610EE">
            <w:pPr>
              <w:spacing w:beforeLines="0" w:before="0" w:afterLines="0" w:after="0"/>
              <w:jc w:val="center"/>
              <w:rPr>
                <w:rFonts w:eastAsia="宋体"/>
                <w:sz w:val="18"/>
              </w:rPr>
            </w:pPr>
            <w:r w:rsidRPr="00006F50">
              <w:rPr>
                <w:rFonts w:eastAsia="宋体"/>
                <w:sz w:val="18"/>
              </w:rPr>
              <w:t>地表沉陷</w:t>
            </w:r>
            <w:r w:rsidRPr="00006F50">
              <w:rPr>
                <w:rFonts w:eastAsia="宋体"/>
                <w:sz w:val="18"/>
              </w:rPr>
              <w:t>/</w:t>
            </w:r>
            <w:r w:rsidRPr="00006F50">
              <w:rPr>
                <w:rFonts w:eastAsia="宋体"/>
                <w:sz w:val="18"/>
              </w:rPr>
              <w:t>含水层扰动</w:t>
            </w:r>
            <w:r w:rsidRPr="00006F50">
              <w:rPr>
                <w:rFonts w:eastAsia="宋体"/>
                <w:sz w:val="18"/>
              </w:rPr>
              <w:t>/</w:t>
            </w:r>
            <w:r w:rsidRPr="00006F50">
              <w:rPr>
                <w:rFonts w:eastAsia="宋体"/>
                <w:sz w:val="18"/>
              </w:rPr>
              <w:t>上行开采</w:t>
            </w:r>
          </w:p>
        </w:tc>
      </w:tr>
      <w:tr w:rsidR="004B7D90" w:rsidRPr="00006F50" w14:paraId="46CD8D5D" w14:textId="77777777" w:rsidTr="008610EE">
        <w:trPr>
          <w:tblCellSpacing w:w="15" w:type="dxa"/>
          <w:jc w:val="center"/>
        </w:trPr>
        <w:tc>
          <w:tcPr>
            <w:tcW w:w="0" w:type="auto"/>
            <w:vAlign w:val="center"/>
            <w:hideMark/>
          </w:tcPr>
          <w:p w14:paraId="737F1BF2" w14:textId="77777777" w:rsidR="004B7D90" w:rsidRPr="00006F50" w:rsidRDefault="004B7D90" w:rsidP="008610EE">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6E601AD5"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统计阈值</w:t>
            </w:r>
          </w:p>
        </w:tc>
        <w:tc>
          <w:tcPr>
            <w:tcW w:w="0" w:type="auto"/>
            <w:vAlign w:val="center"/>
            <w:hideMark/>
          </w:tcPr>
          <w:p w14:paraId="77F24A66" w14:textId="77777777" w:rsidR="004B7D90" w:rsidRPr="00006F50" w:rsidRDefault="004B7D90" w:rsidP="008610EE">
            <w:pPr>
              <w:spacing w:beforeLines="0" w:before="0" w:afterLines="0" w:after="0"/>
              <w:jc w:val="center"/>
              <w:rPr>
                <w:rFonts w:eastAsia="宋体"/>
                <w:sz w:val="18"/>
              </w:rPr>
            </w:pPr>
            <w:r w:rsidRPr="00006F50">
              <w:rPr>
                <w:rFonts w:eastAsia="宋体"/>
                <w:sz w:val="18"/>
              </w:rPr>
              <w:t>0.70</w:t>
            </w:r>
            <w:r w:rsidRPr="00006F50">
              <w:rPr>
                <w:rFonts w:eastAsia="宋体"/>
                <w:sz w:val="18"/>
              </w:rPr>
              <w:t>、</w:t>
            </w:r>
            <w:r w:rsidRPr="00006F50">
              <w:rPr>
                <w:rFonts w:eastAsia="宋体"/>
                <w:sz w:val="18"/>
              </w:rPr>
              <w:t>0.80</w:t>
            </w:r>
          </w:p>
        </w:tc>
        <w:tc>
          <w:tcPr>
            <w:tcW w:w="0" w:type="auto"/>
            <w:vAlign w:val="center"/>
            <w:hideMark/>
          </w:tcPr>
          <w:p w14:paraId="251D0FFC"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66FB03CC" w14:textId="77777777" w:rsidR="004B7D90" w:rsidRPr="00006F50" w:rsidRDefault="004B7D90" w:rsidP="008610EE">
            <w:pPr>
              <w:spacing w:beforeLines="0" w:before="0" w:afterLines="0" w:after="0"/>
              <w:jc w:val="center"/>
              <w:rPr>
                <w:rFonts w:eastAsia="宋体"/>
                <w:sz w:val="18"/>
              </w:rPr>
            </w:pPr>
            <w:r w:rsidRPr="00006F50">
              <w:rPr>
                <w:rFonts w:eastAsia="宋体"/>
                <w:sz w:val="18"/>
              </w:rPr>
              <w:t>方案风险统计</w:t>
            </w:r>
          </w:p>
        </w:tc>
      </w:tr>
      <w:tr w:rsidR="004B7D90" w:rsidRPr="00006F50" w14:paraId="7F140155" w14:textId="77777777" w:rsidTr="008610EE">
        <w:trPr>
          <w:tblCellSpacing w:w="15" w:type="dxa"/>
          <w:jc w:val="center"/>
        </w:trPr>
        <w:tc>
          <w:tcPr>
            <w:tcW w:w="0" w:type="auto"/>
            <w:vAlign w:val="center"/>
            <w:hideMark/>
          </w:tcPr>
          <w:p w14:paraId="56B503F9" w14:textId="77777777" w:rsidR="004B7D90" w:rsidRPr="00006F50" w:rsidRDefault="004B7D90" w:rsidP="008610EE">
            <w:pPr>
              <w:spacing w:beforeLines="0" w:before="0" w:afterLines="0" w:after="0"/>
              <w:jc w:val="center"/>
              <w:rPr>
                <w:rFonts w:eastAsia="宋体"/>
                <w:sz w:val="18"/>
              </w:rPr>
            </w:pPr>
            <w:r w:rsidRPr="00006F50">
              <w:rPr>
                <w:rFonts w:eastAsia="宋体"/>
                <w:sz w:val="18"/>
              </w:rPr>
              <w:t>网格参数</w:t>
            </w:r>
          </w:p>
        </w:tc>
        <w:tc>
          <w:tcPr>
            <w:tcW w:w="0" w:type="auto"/>
            <w:vAlign w:val="center"/>
            <w:hideMark/>
          </w:tcPr>
          <w:p w14:paraId="79664377"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场网格规模</w:t>
            </w:r>
          </w:p>
        </w:tc>
        <w:tc>
          <w:tcPr>
            <w:tcW w:w="0" w:type="auto"/>
            <w:vAlign w:val="center"/>
            <w:hideMark/>
          </w:tcPr>
          <w:p w14:paraId="63372E87" w14:textId="77777777" w:rsidR="004B7D90" w:rsidRPr="00006F50" w:rsidRDefault="004B7D90" w:rsidP="008610EE">
            <w:pPr>
              <w:spacing w:beforeLines="0" w:before="0" w:afterLines="0" w:after="0"/>
              <w:jc w:val="center"/>
              <w:rPr>
                <w:rFonts w:eastAsia="宋体"/>
                <w:sz w:val="18"/>
              </w:rPr>
            </w:pPr>
            <w:r w:rsidRPr="00006F50">
              <w:rPr>
                <w:rFonts w:eastAsia="宋体"/>
                <w:sz w:val="18"/>
              </w:rPr>
              <w:t>80×56</w:t>
            </w:r>
          </w:p>
        </w:tc>
        <w:tc>
          <w:tcPr>
            <w:tcW w:w="0" w:type="auto"/>
            <w:vAlign w:val="center"/>
            <w:hideMark/>
          </w:tcPr>
          <w:p w14:paraId="5700EC73"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597BD7D6" w14:textId="77777777" w:rsidR="004B7D90" w:rsidRPr="00006F50" w:rsidRDefault="004B7D90" w:rsidP="008610EE">
            <w:pPr>
              <w:spacing w:beforeLines="0" w:before="0" w:afterLines="0" w:after="0"/>
              <w:jc w:val="center"/>
              <w:rPr>
                <w:rFonts w:eastAsia="宋体"/>
                <w:sz w:val="18"/>
              </w:rPr>
            </w:pPr>
            <w:r w:rsidRPr="00006F50">
              <w:rPr>
                <w:rFonts w:eastAsia="宋体"/>
                <w:sz w:val="18"/>
              </w:rPr>
              <w:t>共</w:t>
            </w:r>
            <w:r w:rsidRPr="00006F50">
              <w:rPr>
                <w:rFonts w:eastAsia="宋体"/>
                <w:sz w:val="18"/>
              </w:rPr>
              <w:t>4480</w:t>
            </w:r>
            <w:r w:rsidRPr="00006F50">
              <w:rPr>
                <w:rFonts w:eastAsia="宋体"/>
                <w:sz w:val="18"/>
              </w:rPr>
              <w:t>个栅格</w:t>
            </w:r>
          </w:p>
        </w:tc>
      </w:tr>
    </w:tbl>
    <w:p w14:paraId="1053C48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0D373840" w14:textId="2CCFDCA7" w:rsidR="004C1CA5" w:rsidRPr="004C1CA5" w:rsidRDefault="003B394F" w:rsidP="004C1CA5">
      <w:pPr>
        <w:pStyle w:val="100"/>
        <w:ind w:firstLine="420"/>
      </w:pPr>
      <w:r>
        <w:fldChar w:fldCharType="begin"/>
      </w:r>
      <w:r>
        <w:instrText xml:space="preserve"> REF _Ref228479977 \h </w:instrText>
      </w:r>
      <w:r>
        <w:fldChar w:fldCharType="separate"/>
      </w:r>
      <w:r>
        <w:rPr>
          <w:rFonts w:hint="eastAsia"/>
        </w:rPr>
        <w:t>表</w:t>
      </w:r>
      <w:r>
        <w:rPr>
          <w:noProof/>
        </w:rPr>
        <w:t>3</w:t>
      </w:r>
      <w:r>
        <w:fldChar w:fldCharType="end"/>
      </w:r>
      <w:r w:rsidR="004C1CA5" w:rsidRPr="004C1CA5">
        <w:t>中的边界煤柱宽度、区段煤柱宽度、工作面宽度、推进方向和推进长度校核阈值等参数，主要依据敏东矿区已有采区设计资料、矿方开采技术条件及综放工作面布置经验确定。其中，边界煤柱和区段煤柱用于满足采区边界保护、区段</w:t>
      </w:r>
      <w:r w:rsidR="004C1CA5" w:rsidRPr="004C1CA5">
        <w:t>隔离和相邻工作面边界支承要求；工作面宽度控制采空区水平跨度和覆岩结构调整范围；推进方向需与矿井既有长壁开采方式、巷道布置和采掘接续安排相协调；推进长度校核阈值用于剔除不具备连续推进条件的短工作面。上述参数既是工</w:t>
      </w:r>
      <w:r w:rsidR="004C1CA5" w:rsidRPr="004C1CA5">
        <w:lastRenderedPageBreak/>
        <w:t>作面布置的几何控制条件，也是影响覆岩移动、应力重分布和裂隙发育的重要开采因素。</w:t>
      </w:r>
    </w:p>
    <w:p w14:paraId="1A759E02" w14:textId="77777777" w:rsidR="004C1CA5" w:rsidRPr="004C1CA5" w:rsidRDefault="004C1CA5" w:rsidP="004C1CA5">
      <w:pPr>
        <w:pStyle w:val="100"/>
        <w:ind w:firstLine="420"/>
      </w:pPr>
      <w:r w:rsidRPr="004C1CA5">
        <w:t>ODI</w:t>
      </w:r>
      <w:r w:rsidRPr="004C1CA5">
        <w:t>权重和统计阈值用于计算采区采动扰动强弱，并统计不同工作面方案的扰动水平。本文采用</w:t>
      </w:r>
      <w:r w:rsidRPr="004C1CA5">
        <w:t>0.45/0.30/0.25</w:t>
      </w:r>
      <w:r w:rsidRPr="004C1CA5">
        <w:t>作为地表沉陷、含水层扰动和上行开采影响的基准权重，主要用于敏东矿区不同候选方案之间的统一比较。该权重不作为跨矿区通用参数；当应用于其他矿区时，应结合主控</w:t>
      </w:r>
      <w:r w:rsidRPr="004C1CA5">
        <w:t>风险、保护对象、水文地质条件和开采技术条件重新确定，并开展相应敏感性分析。</w:t>
      </w:r>
    </w:p>
    <w:p w14:paraId="1564A0E3" w14:textId="3FFC6F48" w:rsidR="004B7D90" w:rsidRPr="004B7D90" w:rsidRDefault="004B7D90" w:rsidP="00DF00E8">
      <w:pPr>
        <w:pStyle w:val="12"/>
      </w:pPr>
      <w:r w:rsidRPr="004B7D90">
        <w:t xml:space="preserve">4.2 </w:t>
      </w:r>
      <w:r w:rsidR="004C1CA5" w:rsidRPr="004C1CA5">
        <w:t>煤厚分布与</w:t>
      </w:r>
      <w:r w:rsidR="004C1CA5" w:rsidRPr="004C1CA5">
        <w:t>ODI</w:t>
      </w:r>
      <w:r w:rsidR="004C1CA5" w:rsidRPr="004C1CA5">
        <w:t>图层计算结果</w:t>
      </w:r>
    </w:p>
    <w:p w14:paraId="507CD40B" w14:textId="1384E3D3" w:rsidR="004B7D90" w:rsidRPr="004B7D90" w:rsidRDefault="004C1CA5" w:rsidP="004B7D90">
      <w:pPr>
        <w:pStyle w:val="100"/>
        <w:ind w:firstLine="420"/>
      </w:pPr>
      <w:r w:rsidRPr="004C1CA5">
        <w:t>在研究区边界和钻孔样点确定后，采用反距离加权法对钻孔煤厚数据进行插值，并将结果裁剪至工作面可布置区域内，得到煤层厚度分布，如</w:t>
      </w:r>
      <w:r w:rsidR="001E1EA5">
        <w:fldChar w:fldCharType="begin"/>
      </w:r>
      <w:r w:rsidR="001E1EA5">
        <w:instrText xml:space="preserve"> REF _Ref227925888 \h </w:instrText>
      </w:r>
      <w:r w:rsidR="001E1EA5">
        <w:fldChar w:fldCharType="separate"/>
      </w:r>
      <w:r w:rsidR="001E1EA5">
        <w:rPr>
          <w:rFonts w:hint="eastAsia"/>
        </w:rPr>
        <w:t>图</w:t>
      </w:r>
      <w:r w:rsidR="001E1EA5">
        <w:rPr>
          <w:noProof/>
        </w:rPr>
        <w:t>6</w:t>
      </w:r>
      <w:r w:rsidR="001E1EA5">
        <w:fldChar w:fldCharType="end"/>
      </w:r>
      <w:r w:rsidRPr="004C1CA5">
        <w:t>所示</w:t>
      </w:r>
      <w:r w:rsidR="004B7D90" w:rsidRPr="004B7D90">
        <w:t>。</w:t>
      </w:r>
    </w:p>
    <w:p w14:paraId="608E8144" w14:textId="77777777" w:rsidR="004B7D90" w:rsidRDefault="004B7D90" w:rsidP="004B7D90">
      <w:pPr>
        <w:pStyle w:val="aff"/>
        <w:sectPr w:rsidR="004B7D90" w:rsidSect="00A07DBF">
          <w:type w:val="continuous"/>
          <w:pgSz w:w="11906" w:h="16838"/>
          <w:pgMar w:top="1418" w:right="1134" w:bottom="1134" w:left="1134" w:header="720" w:footer="720" w:gutter="0"/>
          <w:cols w:num="2" w:space="720"/>
          <w:docGrid w:linePitch="598"/>
        </w:sectPr>
      </w:pPr>
    </w:p>
    <w:p w14:paraId="7CB23003" w14:textId="77777777" w:rsidR="004B7D90" w:rsidRDefault="004B7D90" w:rsidP="004B7D90">
      <w:pPr>
        <w:pStyle w:val="aff"/>
      </w:pPr>
      <w:r>
        <w:rPr>
          <w:noProof/>
        </w:rPr>
        <w:drawing>
          <wp:inline distT="0" distB="0" distL="0" distR="0" wp14:anchorId="3A10D1E3" wp14:editId="7D1AFA51">
            <wp:extent cx="6128099" cy="1539240"/>
            <wp:effectExtent l="0" t="0" r="6350" b="3810"/>
            <wp:docPr id="867351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6136702" cy="1541401"/>
                    </a:xfrm>
                    <a:prstGeom prst="rect">
                      <a:avLst/>
                    </a:prstGeom>
                    <a:noFill/>
                    <a:ln>
                      <a:noFill/>
                    </a:ln>
                  </pic:spPr>
                </pic:pic>
              </a:graphicData>
            </a:graphic>
          </wp:inline>
        </w:drawing>
      </w:r>
    </w:p>
    <w:p w14:paraId="5AE8EE15" w14:textId="6982E113" w:rsidR="004B7D90" w:rsidRDefault="004B7D90" w:rsidP="004B7D90">
      <w:pPr>
        <w:pStyle w:val="14"/>
      </w:pPr>
      <w:bookmarkStart w:id="6" w:name="_Ref22792588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6</w:t>
      </w:r>
      <w:r>
        <w:fldChar w:fldCharType="end"/>
      </w:r>
      <w:bookmarkEnd w:id="6"/>
      <w:r>
        <w:rPr>
          <w:rFonts w:hint="eastAsia"/>
        </w:rPr>
        <w:t xml:space="preserve"> </w:t>
      </w:r>
      <w:r w:rsidR="003B394F" w:rsidRPr="003B394F">
        <w:t>煤层厚度分布及钻孔样点叠置图</w:t>
      </w:r>
    </w:p>
    <w:p w14:paraId="3502735F" w14:textId="733FBFBD" w:rsidR="004B7D90" w:rsidRDefault="004B7D90" w:rsidP="004B7D90">
      <w:pPr>
        <w:pStyle w:val="14"/>
      </w:pPr>
      <w:r w:rsidRPr="00551567">
        <w:t>Fig.</w:t>
      </w:r>
      <w:r w:rsidR="008419FD">
        <w:rPr>
          <w:rFonts w:hint="eastAsia"/>
        </w:rPr>
        <w:t>6</w:t>
      </w:r>
      <w:r w:rsidRPr="00551567">
        <w:t xml:space="preserve"> </w:t>
      </w:r>
      <w:r w:rsidR="003B394F" w:rsidRPr="003B394F">
        <w:t>Coal thickness distribution overlaid with borehole samples</w:t>
      </w:r>
    </w:p>
    <w:p w14:paraId="5601EF5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602DD5D3" w14:textId="6D812BA1" w:rsidR="004C1CA5" w:rsidRPr="004C1CA5" w:rsidRDefault="004C1CA5" w:rsidP="004C1CA5">
      <w:pPr>
        <w:pStyle w:val="100"/>
        <w:ind w:firstLine="420"/>
      </w:pPr>
      <w:r w:rsidRPr="004C1CA5">
        <w:t>由</w:t>
      </w:r>
      <w:r w:rsidR="001E1EA5">
        <w:fldChar w:fldCharType="begin"/>
      </w:r>
      <w:r w:rsidR="001E1EA5">
        <w:instrText xml:space="preserve"> REF _Ref227925888 \h </w:instrText>
      </w:r>
      <w:r w:rsidR="001E1EA5">
        <w:fldChar w:fldCharType="separate"/>
      </w:r>
      <w:r w:rsidR="001E1EA5">
        <w:rPr>
          <w:rFonts w:hint="eastAsia"/>
        </w:rPr>
        <w:t>图</w:t>
      </w:r>
      <w:r w:rsidR="001E1EA5">
        <w:rPr>
          <w:noProof/>
        </w:rPr>
        <w:t>6</w:t>
      </w:r>
      <w:r w:rsidR="001E1EA5">
        <w:fldChar w:fldCharType="end"/>
      </w:r>
      <w:r w:rsidRPr="004C1CA5">
        <w:t>可见，研究区煤层厚度在空间上存在一定差异。其中，煤层相对较厚区域主要分布于</w:t>
      </w:r>
      <w:r w:rsidRPr="004C1CA5">
        <w:t>ZK-106</w:t>
      </w:r>
      <w:r w:rsidRPr="004C1CA5">
        <w:t>及其邻近区域，煤层相对较薄区域主要位于</w:t>
      </w:r>
      <w:r w:rsidRPr="004C1CA5">
        <w:t>ZK-107</w:t>
      </w:r>
      <w:r w:rsidRPr="004C1CA5">
        <w:t>附近。该结果说明，在工作面方案评价中，如果只采用面积覆盖率，容易忽略不同区域煤厚资源的差别。将钻孔煤厚资料转化为煤层厚度分布后，可以进一步统计不同工作面方案覆盖</w:t>
      </w:r>
      <w:r w:rsidRPr="004C1CA5">
        <w:t>的煤厚资源，使资源回收评价更加接近实际赋存条件。</w:t>
      </w:r>
    </w:p>
    <w:p w14:paraId="5970DD03" w14:textId="5BEE45EF" w:rsidR="004C1CA5" w:rsidRPr="004C1CA5" w:rsidRDefault="004C1CA5" w:rsidP="004C1CA5">
      <w:pPr>
        <w:pStyle w:val="100"/>
        <w:ind w:firstLine="420"/>
      </w:pPr>
      <w:r w:rsidRPr="004C1CA5">
        <w:t>在煤厚分布计算基础上，进一步计算地表沉陷、含水层扰动和上行开采影响</w:t>
      </w:r>
      <w:r w:rsidRPr="004C1CA5">
        <w:t>3</w:t>
      </w:r>
      <w:r w:rsidRPr="004C1CA5">
        <w:t>类扰动分量，并按照</w:t>
      </w:r>
      <w:r w:rsidRPr="004C1CA5">
        <w:t>0.45</w:t>
      </w:r>
      <w:r w:rsidRPr="004C1CA5">
        <w:t>、</w:t>
      </w:r>
      <w:r w:rsidRPr="004C1CA5">
        <w:t>0.30</w:t>
      </w:r>
      <w:r w:rsidRPr="004C1CA5">
        <w:t>和</w:t>
      </w:r>
      <w:r w:rsidRPr="004C1CA5">
        <w:t>0.25</w:t>
      </w:r>
      <w:r w:rsidRPr="004C1CA5">
        <w:t>的权重进行归一化加权，得到研究区</w:t>
      </w:r>
      <w:r w:rsidRPr="004C1CA5">
        <w:t>ODI</w:t>
      </w:r>
      <w:r w:rsidRPr="004C1CA5">
        <w:t>图层，如</w:t>
      </w:r>
      <w:r w:rsidR="001E1EA5">
        <w:fldChar w:fldCharType="begin"/>
      </w:r>
      <w:r w:rsidR="001E1EA5">
        <w:instrText xml:space="preserve"> REF _Ref227925903 \h </w:instrText>
      </w:r>
      <w:r w:rsidR="001E1EA5">
        <w:fldChar w:fldCharType="separate"/>
      </w:r>
      <w:r w:rsidR="001E1EA5">
        <w:rPr>
          <w:rFonts w:hint="eastAsia"/>
        </w:rPr>
        <w:t>图</w:t>
      </w:r>
      <w:r w:rsidR="001E1EA5">
        <w:rPr>
          <w:noProof/>
        </w:rPr>
        <w:t>7</w:t>
      </w:r>
      <w:r w:rsidR="001E1EA5">
        <w:fldChar w:fldCharType="end"/>
      </w:r>
      <w:r w:rsidRPr="004C1CA5">
        <w:t>所示。</w:t>
      </w:r>
    </w:p>
    <w:p w14:paraId="2292FB2C" w14:textId="77777777" w:rsidR="004B7D90" w:rsidRPr="008A2F6D" w:rsidRDefault="004B7D90" w:rsidP="004B7D90">
      <w:pPr>
        <w:pStyle w:val="aff"/>
        <w:sectPr w:rsidR="004B7D90" w:rsidRPr="008A2F6D" w:rsidSect="00A07DBF">
          <w:type w:val="continuous"/>
          <w:pgSz w:w="11906" w:h="16838"/>
          <w:pgMar w:top="1418" w:right="1134" w:bottom="1134" w:left="1134" w:header="720" w:footer="720" w:gutter="0"/>
          <w:cols w:num="2" w:space="720"/>
          <w:docGrid w:linePitch="598"/>
        </w:sectPr>
      </w:pPr>
    </w:p>
    <w:p w14:paraId="1A6C20B7" w14:textId="77777777" w:rsidR="004B7D90" w:rsidRDefault="004B7D90" w:rsidP="004B7D90">
      <w:pPr>
        <w:pStyle w:val="aff"/>
      </w:pPr>
      <w:r>
        <w:rPr>
          <w:noProof/>
        </w:rPr>
        <w:drawing>
          <wp:inline distT="0" distB="0" distL="0" distR="0" wp14:anchorId="5D052D53" wp14:editId="2E85FEA8">
            <wp:extent cx="6259906" cy="1478280"/>
            <wp:effectExtent l="0" t="0" r="7620" b="7620"/>
            <wp:docPr id="6622613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241" cstate="print">
                      <a:extLst>
                        <a:ext uri="{28A0092B-C50C-407E-A947-70E740481C1C}">
                          <a14:useLocalDpi xmlns:a14="http://schemas.microsoft.com/office/drawing/2010/main" val="0"/>
                        </a:ext>
                      </a:extLst>
                    </a:blip>
                    <a:srcRect b="8674"/>
                    <a:stretch>
                      <a:fillRect/>
                    </a:stretch>
                  </pic:blipFill>
                  <pic:spPr bwMode="auto">
                    <a:xfrm>
                      <a:off x="0" y="0"/>
                      <a:ext cx="6268858" cy="1480394"/>
                    </a:xfrm>
                    <a:prstGeom prst="rect">
                      <a:avLst/>
                    </a:prstGeom>
                    <a:noFill/>
                    <a:ln>
                      <a:noFill/>
                    </a:ln>
                    <a:extLst>
                      <a:ext uri="{53640926-AAD7-44D8-BBD7-CCE9431645EC}">
                        <a14:shadowObscured xmlns:a14="http://schemas.microsoft.com/office/drawing/2010/main"/>
                      </a:ext>
                    </a:extLst>
                  </pic:spPr>
                </pic:pic>
              </a:graphicData>
            </a:graphic>
          </wp:inline>
        </w:drawing>
      </w:r>
    </w:p>
    <w:p w14:paraId="412FD1B7" w14:textId="6EDC127D" w:rsidR="004B7D90" w:rsidRDefault="004B7D90" w:rsidP="004B7D90">
      <w:pPr>
        <w:pStyle w:val="14"/>
      </w:pPr>
      <w:bookmarkStart w:id="7" w:name="_Ref22792590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7</w:t>
      </w:r>
      <w:r>
        <w:fldChar w:fldCharType="end"/>
      </w:r>
      <w:bookmarkEnd w:id="7"/>
      <w:r>
        <w:rPr>
          <w:rFonts w:hint="eastAsia"/>
        </w:rPr>
        <w:t xml:space="preserve"> </w:t>
      </w:r>
      <w:r w:rsidRPr="000E1681">
        <w:t>多场景覆岩扰动分量与综合</w:t>
      </w:r>
      <w:r w:rsidRPr="000E1681">
        <w:t>ODI</w:t>
      </w:r>
      <w:r w:rsidRPr="000E1681">
        <w:t>场分布</w:t>
      </w:r>
    </w:p>
    <w:p w14:paraId="628D2D06" w14:textId="4A486BC5" w:rsidR="004B7D90" w:rsidRDefault="004B7D90" w:rsidP="004B7D90">
      <w:pPr>
        <w:pStyle w:val="14"/>
      </w:pPr>
      <w:r w:rsidRPr="00551567">
        <w:t>Fig.</w:t>
      </w:r>
      <w:r w:rsidR="008419FD">
        <w:rPr>
          <w:rFonts w:hint="eastAsia"/>
        </w:rPr>
        <w:t>7</w:t>
      </w:r>
      <w:r w:rsidRPr="00551567">
        <w:t xml:space="preserve"> </w:t>
      </w:r>
      <w:r w:rsidRPr="002D513A">
        <w:t>Distributions of multi-scenario overburden disturbance components and integrated ODI field</w:t>
      </w:r>
    </w:p>
    <w:p w14:paraId="7BBA87A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4E24C109" w14:textId="290D1FC0" w:rsidR="004C1CA5" w:rsidRPr="004C1CA5" w:rsidRDefault="001E1EA5" w:rsidP="004C1CA5">
      <w:pPr>
        <w:pStyle w:val="100"/>
        <w:ind w:firstLine="420"/>
      </w:pPr>
      <w:r>
        <w:fldChar w:fldCharType="begin"/>
      </w:r>
      <w:r>
        <w:instrText xml:space="preserve"> REF _Ref227925903 \h </w:instrText>
      </w:r>
      <w:r>
        <w:fldChar w:fldCharType="separate"/>
      </w:r>
      <w:r>
        <w:rPr>
          <w:rFonts w:hint="eastAsia"/>
        </w:rPr>
        <w:t>图</w:t>
      </w:r>
      <w:r>
        <w:rPr>
          <w:noProof/>
        </w:rPr>
        <w:t>7</w:t>
      </w:r>
      <w:r>
        <w:fldChar w:fldCharType="end"/>
      </w:r>
      <w:r w:rsidR="004C1CA5" w:rsidRPr="004C1CA5">
        <w:t>显示，不同扰动分量的高值区并不完全一致。地表沉陷影响较大的区域、含水层扰动较强区域和上行开采约束较强区域在空间上存在差异，说明单独依靠某一类风险结果难以全面反映工作面布置面临的扰动问题。通过</w:t>
      </w:r>
      <w:r w:rsidR="004C1CA5" w:rsidRPr="004C1CA5">
        <w:t>ODI</w:t>
      </w:r>
      <w:r w:rsidR="004C1CA5" w:rsidRPr="004C1CA5">
        <w:t>图层，可以将三类扰动影响放到同一评价尺度下进行表达，为后续工作面方案比较提供统一依据。</w:t>
      </w:r>
    </w:p>
    <w:p w14:paraId="730E5580" w14:textId="77777777" w:rsidR="004C1CA5" w:rsidRDefault="004C1CA5" w:rsidP="004C1CA5">
      <w:pPr>
        <w:pStyle w:val="100"/>
        <w:ind w:firstLine="420"/>
      </w:pPr>
      <w:r w:rsidRPr="004C1CA5">
        <w:t>从全区统计结果看，研究区</w:t>
      </w:r>
      <w:r w:rsidRPr="004C1CA5">
        <w:t>ODI</w:t>
      </w:r>
      <w:r w:rsidRPr="004C1CA5">
        <w:t>图层采用</w:t>
      </w:r>
      <w:r w:rsidRPr="004C1CA5">
        <w:t>80×56</w:t>
      </w:r>
      <w:r w:rsidRPr="004C1CA5">
        <w:t>网格，共</w:t>
      </w:r>
      <w:r w:rsidRPr="004C1CA5">
        <w:t>4480</w:t>
      </w:r>
      <w:r w:rsidRPr="004C1CA5">
        <w:t>个栅格；</w:t>
      </w:r>
      <w:r w:rsidRPr="004C1CA5">
        <w:t>ODI</w:t>
      </w:r>
      <w:r w:rsidRPr="004C1CA5">
        <w:t>均值为</w:t>
      </w:r>
      <w:r w:rsidRPr="004C1CA5">
        <w:t>0.4669</w:t>
      </w:r>
      <w:r w:rsidRPr="004C1CA5">
        <w:t>，说明研究区整体采动扰动水平处于中等程度，并非全区均为高扰动状态。</w:t>
      </w:r>
      <w:r w:rsidRPr="004C1CA5">
        <w:t>P90</w:t>
      </w:r>
      <w:r w:rsidRPr="004C1CA5">
        <w:t>为</w:t>
      </w:r>
      <w:r w:rsidRPr="004C1CA5">
        <w:t>0.7474</w:t>
      </w:r>
      <w:r w:rsidRPr="004C1CA5">
        <w:t>，即</w:t>
      </w:r>
      <w:r w:rsidRPr="004C1CA5">
        <w:t>ODI</w:t>
      </w:r>
      <w:r w:rsidRPr="004C1CA5">
        <w:t>的</w:t>
      </w:r>
      <w:r w:rsidRPr="004C1CA5">
        <w:t>90%</w:t>
      </w:r>
      <w:r w:rsidRPr="004C1CA5">
        <w:t>分位数为</w:t>
      </w:r>
      <w:r w:rsidRPr="004C1CA5">
        <w:t>0.7474</w:t>
      </w:r>
      <w:r w:rsidRPr="004C1CA5">
        <w:t>，表示约</w:t>
      </w:r>
      <w:r w:rsidRPr="004C1CA5">
        <w:t>90%</w:t>
      </w:r>
      <w:r w:rsidRPr="004C1CA5">
        <w:t>的栅格</w:t>
      </w:r>
      <w:r w:rsidRPr="004C1CA5">
        <w:t>ODI</w:t>
      </w:r>
      <w:r w:rsidRPr="004C1CA5">
        <w:t>不超过该值，约</w:t>
      </w:r>
      <w:r w:rsidRPr="004C1CA5">
        <w:t>10%</w:t>
      </w:r>
      <w:r w:rsidRPr="004C1CA5">
        <w:t>的区域</w:t>
      </w:r>
      <w:r w:rsidRPr="004C1CA5">
        <w:t>ODI</w:t>
      </w:r>
      <w:r w:rsidRPr="004C1CA5">
        <w:t>高于该值，说明研究区内部存在局部扰动高值区。</w:t>
      </w:r>
      <w:r w:rsidRPr="004C1CA5">
        <w:t>ODI</w:t>
      </w:r>
      <w:r w:rsidRPr="004C1CA5">
        <w:t>＞</w:t>
      </w:r>
      <w:r w:rsidRPr="004C1CA5">
        <w:t>0.70</w:t>
      </w:r>
      <w:r w:rsidRPr="004C1CA5">
        <w:t>的栅格占比为</w:t>
      </w:r>
      <w:r w:rsidRPr="004C1CA5">
        <w:t>15.89%</w:t>
      </w:r>
      <w:r w:rsidRPr="004C1CA5">
        <w:t>，表明采区内约</w:t>
      </w:r>
      <w:r w:rsidRPr="004C1CA5">
        <w:t>1/6</w:t>
      </w:r>
      <w:r w:rsidRPr="004C1CA5">
        <w:t>范围达到中高扰动水平，工作面布置时应作为优先避让或进一步复核的对象。</w:t>
      </w:r>
    </w:p>
    <w:p w14:paraId="7C823ABD" w14:textId="4AAFB52F" w:rsidR="00B71500" w:rsidRDefault="00B71500" w:rsidP="004C1CA5">
      <w:pPr>
        <w:pStyle w:val="100"/>
        <w:ind w:firstLine="420"/>
      </w:pPr>
      <w:r w:rsidRPr="00B71500">
        <w:t>为进一步检验</w:t>
      </w:r>
      <w:r w:rsidRPr="00B71500">
        <w:t>ODI</w:t>
      </w:r>
      <w:r w:rsidRPr="00B71500">
        <w:t>对实际采动扰动强弱的表征能力，选取研究区地表岩移观测资料与</w:t>
      </w:r>
      <w:r w:rsidRPr="00B71500">
        <w:t>ODI</w:t>
      </w:r>
      <w:r w:rsidRPr="00B71500">
        <w:t>计算结果进行对比。观测资料包括工作面倾向方向</w:t>
      </w:r>
      <w:r w:rsidRPr="00B71500">
        <w:t>Q</w:t>
      </w:r>
      <w:r w:rsidRPr="00B71500">
        <w:t>、</w:t>
      </w:r>
      <w:r w:rsidRPr="00B71500">
        <w:t>S</w:t>
      </w:r>
      <w:r w:rsidRPr="00B71500">
        <w:t>两条测线和走向方向</w:t>
      </w:r>
      <w:r w:rsidRPr="00B71500">
        <w:t>Z</w:t>
      </w:r>
      <w:r w:rsidRPr="00B71500">
        <w:t>测线，测点覆盖工作面主要采动影响范围。</w:t>
      </w:r>
      <w:r w:rsidRPr="00B71500">
        <w:t>ODI</w:t>
      </w:r>
      <w:r w:rsidRPr="00B71500">
        <w:t>与实测地表沉陷对比</w:t>
      </w:r>
      <w:r w:rsidRPr="00B71500">
        <w:lastRenderedPageBreak/>
        <w:t>结果如</w:t>
      </w:r>
      <w:r w:rsidR="001E1EA5">
        <w:fldChar w:fldCharType="begin"/>
      </w:r>
      <w:r w:rsidR="001E1EA5">
        <w:instrText xml:space="preserve"> REF _Ref228479401 \h </w:instrText>
      </w:r>
      <w:r w:rsidR="001E1EA5">
        <w:fldChar w:fldCharType="separate"/>
      </w:r>
      <w:r w:rsidR="001E1EA5">
        <w:rPr>
          <w:rFonts w:hint="eastAsia"/>
        </w:rPr>
        <w:t>图</w:t>
      </w:r>
      <w:r w:rsidR="001E1EA5">
        <w:rPr>
          <w:noProof/>
        </w:rPr>
        <w:t>8</w:t>
      </w:r>
      <w:r w:rsidR="001E1EA5">
        <w:fldChar w:fldCharType="end"/>
      </w:r>
      <w:r w:rsidRPr="00B71500">
        <w:t>所示。</w:t>
      </w:r>
    </w:p>
    <w:p w14:paraId="19DE95B7" w14:textId="77777777" w:rsidR="00B71500" w:rsidRDefault="00B71500" w:rsidP="00F61A38">
      <w:pPr>
        <w:pStyle w:val="aff2"/>
        <w:rPr>
          <w:highlight w:val="yellow"/>
        </w:rPr>
        <w:sectPr w:rsidR="00B71500" w:rsidSect="00A07DBF">
          <w:type w:val="continuous"/>
          <w:pgSz w:w="11906" w:h="16838"/>
          <w:pgMar w:top="1418" w:right="1134" w:bottom="1134" w:left="1134" w:header="720" w:footer="720" w:gutter="0"/>
          <w:cols w:num="2" w:space="720"/>
          <w:docGrid w:linePitch="598"/>
        </w:sectPr>
      </w:pPr>
    </w:p>
    <w:tbl>
      <w:tblPr>
        <w:tblW w:w="5000" w:type="pct"/>
        <w:jc w:val="center"/>
        <w:tblCellMar>
          <w:left w:w="0" w:type="dxa"/>
          <w:right w:w="0" w:type="dxa"/>
        </w:tblCellMar>
        <w:tblLook w:val="04A0" w:firstRow="1" w:lastRow="0" w:firstColumn="1" w:lastColumn="0" w:noHBand="0" w:noVBand="1"/>
      </w:tblPr>
      <w:tblGrid>
        <w:gridCol w:w="4819"/>
        <w:gridCol w:w="4819"/>
      </w:tblGrid>
      <w:tr w:rsidR="00B71500" w14:paraId="16157306" w14:textId="77777777" w:rsidTr="00F61A38">
        <w:trPr>
          <w:jc w:val="center"/>
        </w:trPr>
        <w:tc>
          <w:tcPr>
            <w:tcW w:w="2500" w:type="pct"/>
            <w:vAlign w:val="center"/>
          </w:tcPr>
          <w:p w14:paraId="0E981631" w14:textId="77777777" w:rsidR="00B71500" w:rsidRPr="00800811" w:rsidRDefault="00B71500" w:rsidP="00F61A38">
            <w:pPr>
              <w:pStyle w:val="aff2"/>
              <w:rPr>
                <w:highlight w:val="yellow"/>
              </w:rPr>
            </w:pPr>
            <w:r w:rsidRPr="00A001D0">
              <w:rPr>
                <w:noProof/>
              </w:rPr>
              <w:drawing>
                <wp:inline distT="0" distB="0" distL="0" distR="0" wp14:anchorId="0A50B67B" wp14:editId="7EE8280D">
                  <wp:extent cx="2777007" cy="1714500"/>
                  <wp:effectExtent l="0" t="0" r="4445"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2778799" cy="1715606"/>
                          </a:xfrm>
                          <a:prstGeom prst="rect">
                            <a:avLst/>
                          </a:prstGeom>
                          <a:noFill/>
                          <a:ln>
                            <a:noFill/>
                          </a:ln>
                        </pic:spPr>
                      </pic:pic>
                    </a:graphicData>
                  </a:graphic>
                </wp:inline>
              </w:drawing>
            </w:r>
          </w:p>
        </w:tc>
        <w:tc>
          <w:tcPr>
            <w:tcW w:w="2500" w:type="pct"/>
            <w:vAlign w:val="center"/>
          </w:tcPr>
          <w:p w14:paraId="7B982020" w14:textId="32C31B67" w:rsidR="00B71500" w:rsidRDefault="00B71500" w:rsidP="00A96B1F">
            <w:pPr>
              <w:pStyle w:val="aff2"/>
            </w:pPr>
            <w:r w:rsidRPr="00A001D0">
              <w:rPr>
                <w:noProof/>
              </w:rPr>
              <w:drawing>
                <wp:inline distT="0" distB="0" distL="0" distR="0" wp14:anchorId="0F226B73" wp14:editId="02F84746">
                  <wp:extent cx="2725373" cy="1722120"/>
                  <wp:effectExtent l="0" t="0" r="0" b="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727761" cy="1723629"/>
                          </a:xfrm>
                          <a:prstGeom prst="rect">
                            <a:avLst/>
                          </a:prstGeom>
                          <a:noFill/>
                          <a:ln>
                            <a:noFill/>
                          </a:ln>
                        </pic:spPr>
                      </pic:pic>
                    </a:graphicData>
                  </a:graphic>
                </wp:inline>
              </w:drawing>
            </w:r>
          </w:p>
        </w:tc>
      </w:tr>
      <w:tr w:rsidR="00B71500" w14:paraId="7B767418" w14:textId="77777777" w:rsidTr="00F61A38">
        <w:trPr>
          <w:jc w:val="center"/>
        </w:trPr>
        <w:tc>
          <w:tcPr>
            <w:tcW w:w="2500" w:type="pct"/>
            <w:vAlign w:val="center"/>
          </w:tcPr>
          <w:p w14:paraId="4FEA6959" w14:textId="77777777" w:rsidR="00B71500" w:rsidRPr="00A425EC" w:rsidRDefault="00B71500" w:rsidP="00A96B1F">
            <w:pPr>
              <w:pStyle w:val="14"/>
            </w:pPr>
            <w:r w:rsidRPr="00A425EC">
              <w:rPr>
                <w:rFonts w:hint="eastAsia"/>
              </w:rPr>
              <w:t>（</w:t>
            </w:r>
            <w:r w:rsidRPr="00A425EC">
              <w:rPr>
                <w:rFonts w:hint="eastAsia"/>
              </w:rPr>
              <w:t>a</w:t>
            </w:r>
            <w:r w:rsidRPr="00A425EC">
              <w:rPr>
                <w:rFonts w:hint="eastAsia"/>
              </w:rPr>
              <w:t>）倾向观测线</w:t>
            </w:r>
            <w:r w:rsidRPr="00A425EC">
              <w:rPr>
                <w:rFonts w:hint="eastAsia"/>
              </w:rPr>
              <w:t>1</w:t>
            </w:r>
          </w:p>
        </w:tc>
        <w:tc>
          <w:tcPr>
            <w:tcW w:w="2500" w:type="pct"/>
            <w:vAlign w:val="center"/>
          </w:tcPr>
          <w:p w14:paraId="6ED84FB3" w14:textId="3DE82406" w:rsidR="00B71500" w:rsidRDefault="00B71500" w:rsidP="00A96B1F">
            <w:pPr>
              <w:pStyle w:val="14"/>
            </w:pPr>
            <w:r w:rsidRPr="00A425EC">
              <w:rPr>
                <w:rFonts w:hint="eastAsia"/>
              </w:rPr>
              <w:t>（</w:t>
            </w:r>
            <w:r w:rsidRPr="00A425EC">
              <w:rPr>
                <w:rFonts w:hint="eastAsia"/>
              </w:rPr>
              <w:t>b</w:t>
            </w:r>
            <w:r w:rsidRPr="00A425EC">
              <w:rPr>
                <w:rFonts w:hint="eastAsia"/>
              </w:rPr>
              <w:t>）倾向观测线</w:t>
            </w:r>
            <w:r w:rsidRPr="00A425EC">
              <w:rPr>
                <w:rFonts w:hint="eastAsia"/>
              </w:rPr>
              <w:t>2</w:t>
            </w:r>
          </w:p>
        </w:tc>
      </w:tr>
    </w:tbl>
    <w:p w14:paraId="1970E3D3" w14:textId="11C6F1CF" w:rsidR="00A96B1F" w:rsidRDefault="00A96B1F" w:rsidP="00A96B1F">
      <w:pPr>
        <w:pStyle w:val="14"/>
      </w:pPr>
      <w:r w:rsidRPr="0013366A">
        <w:rPr>
          <w:noProof/>
        </w:rPr>
        <w:drawing>
          <wp:inline distT="0" distB="0" distL="0" distR="0" wp14:anchorId="183750FE" wp14:editId="673F6C0F">
            <wp:extent cx="4472940" cy="1498254"/>
            <wp:effectExtent l="0" t="0" r="3810" b="698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4501259" cy="1507740"/>
                    </a:xfrm>
                    <a:prstGeom prst="rect">
                      <a:avLst/>
                    </a:prstGeom>
                    <a:noFill/>
                    <a:ln>
                      <a:noFill/>
                    </a:ln>
                  </pic:spPr>
                </pic:pic>
              </a:graphicData>
            </a:graphic>
          </wp:inline>
        </w:drawing>
      </w:r>
    </w:p>
    <w:p w14:paraId="19F97D35" w14:textId="41B59CA6" w:rsidR="00A96B1F" w:rsidRDefault="00A96B1F" w:rsidP="00A96B1F">
      <w:pPr>
        <w:pStyle w:val="14"/>
      </w:pPr>
      <w:r w:rsidRPr="00A425EC">
        <w:rPr>
          <w:rFonts w:hint="eastAsia"/>
        </w:rPr>
        <w:t>（</w:t>
      </w:r>
      <w:r>
        <w:rPr>
          <w:rFonts w:hint="eastAsia"/>
        </w:rPr>
        <w:t>c</w:t>
      </w:r>
      <w:r w:rsidRPr="00A425EC">
        <w:rPr>
          <w:rFonts w:hint="eastAsia"/>
        </w:rPr>
        <w:t>）</w:t>
      </w:r>
      <w:r w:rsidRPr="004F1A4C">
        <w:t>工作面走向方向</w:t>
      </w:r>
      <w:r w:rsidRPr="004F1A4C">
        <w:t>ODI</w:t>
      </w:r>
      <w:r w:rsidRPr="004F1A4C">
        <w:t>与地表沉陷对比</w:t>
      </w:r>
    </w:p>
    <w:p w14:paraId="14ABFA2A" w14:textId="674CDA25" w:rsidR="00B71500" w:rsidRDefault="00A96B1F" w:rsidP="00A96B1F">
      <w:pPr>
        <w:pStyle w:val="14"/>
      </w:pPr>
      <w:bookmarkStart w:id="8" w:name="_Ref2284794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8</w:t>
      </w:r>
      <w:r>
        <w:fldChar w:fldCharType="end"/>
      </w:r>
      <w:bookmarkEnd w:id="8"/>
      <w:r>
        <w:rPr>
          <w:rFonts w:hint="eastAsia"/>
        </w:rPr>
        <w:t xml:space="preserve"> </w:t>
      </w:r>
      <w:r w:rsidRPr="00A96B1F">
        <w:t>ODI</w:t>
      </w:r>
      <w:r w:rsidRPr="00A96B1F">
        <w:t>与实测地表沉陷对比验证</w:t>
      </w:r>
    </w:p>
    <w:p w14:paraId="0B2256EF" w14:textId="04B0FB52" w:rsidR="00A96B1F" w:rsidRPr="00A96B1F" w:rsidRDefault="00A96B1F" w:rsidP="00A96B1F">
      <w:pPr>
        <w:pStyle w:val="14"/>
        <w:sectPr w:rsidR="00A96B1F" w:rsidRPr="00A96B1F" w:rsidSect="00B71500">
          <w:type w:val="continuous"/>
          <w:pgSz w:w="11906" w:h="16838"/>
          <w:pgMar w:top="1418" w:right="1134" w:bottom="1134" w:left="1134" w:header="720" w:footer="720" w:gutter="0"/>
          <w:cols w:space="720"/>
          <w:docGrid w:linePitch="598"/>
        </w:sectPr>
      </w:pPr>
      <w:r w:rsidRPr="00A96B1F">
        <w:t>Fig.8 Verification of ODI against measured surface subsidence</w:t>
      </w:r>
    </w:p>
    <w:p w14:paraId="7A030824" w14:textId="743B9C24" w:rsidR="00A96B1F" w:rsidRDefault="00A96B1F" w:rsidP="004C1CA5">
      <w:pPr>
        <w:pStyle w:val="100"/>
        <w:ind w:firstLine="420"/>
      </w:pPr>
      <w:r w:rsidRPr="00A96B1F">
        <w:t>由</w:t>
      </w:r>
      <w:r w:rsidR="001E1EA5">
        <w:fldChar w:fldCharType="begin"/>
      </w:r>
      <w:r w:rsidR="001E1EA5">
        <w:instrText xml:space="preserve"> REF _Ref228479401 \h </w:instrText>
      </w:r>
      <w:r w:rsidR="001E1EA5">
        <w:fldChar w:fldCharType="separate"/>
      </w:r>
      <w:r w:rsidR="001E1EA5">
        <w:rPr>
          <w:rFonts w:hint="eastAsia"/>
        </w:rPr>
        <w:t>图</w:t>
      </w:r>
      <w:r w:rsidR="001E1EA5">
        <w:rPr>
          <w:noProof/>
        </w:rPr>
        <w:t>8</w:t>
      </w:r>
      <w:r w:rsidR="001E1EA5">
        <w:fldChar w:fldCharType="end"/>
      </w:r>
      <w:r w:rsidRPr="00A96B1F">
        <w:t>可见，</w:t>
      </w:r>
      <w:r w:rsidRPr="00A96B1F">
        <w:t>ODI</w:t>
      </w:r>
      <w:r w:rsidRPr="00A96B1F">
        <w:t>沿</w:t>
      </w:r>
      <w:r w:rsidRPr="00A96B1F">
        <w:t>Q</w:t>
      </w:r>
      <w:r w:rsidRPr="00A96B1F">
        <w:t>、</w:t>
      </w:r>
      <w:r w:rsidRPr="00A96B1F">
        <w:t>S</w:t>
      </w:r>
      <w:r w:rsidRPr="00A96B1F">
        <w:t>和</w:t>
      </w:r>
      <w:r w:rsidRPr="00A96B1F">
        <w:t>Z</w:t>
      </w:r>
      <w:r w:rsidRPr="00A96B1F">
        <w:t>测线的变化趋势与实测地表沉陷量具有较好对应关系。倾向测线中，</w:t>
      </w:r>
      <w:r w:rsidRPr="00A96B1F">
        <w:t>ODI</w:t>
      </w:r>
      <w:r w:rsidRPr="00A96B1F">
        <w:t>高值区基本对应实测沉陷量较大的区域；走向测线中，随着工作面推进，</w:t>
      </w:r>
      <w:r w:rsidRPr="00A96B1F">
        <w:t>ODI</w:t>
      </w:r>
      <w:r w:rsidRPr="00A96B1F">
        <w:t>与沉陷量均表现出由边界向采动影响集中区增强的变化特征。该结果说明，</w:t>
      </w:r>
      <w:r w:rsidRPr="00A96B1F">
        <w:t>ODI</w:t>
      </w:r>
      <w:r w:rsidRPr="00A96B1F">
        <w:t>能够较好反映采动引起的覆岩移动和地表变形强弱，可作为采区规划</w:t>
      </w:r>
      <w:r w:rsidRPr="00A96B1F">
        <w:t>阶段识别扰动较强区域的依据。需要指出的是，</w:t>
      </w:r>
      <w:r w:rsidRPr="00A96B1F">
        <w:t>ODI</w:t>
      </w:r>
      <w:r w:rsidRPr="00A96B1F">
        <w:t>并不替代地表沉陷预计结果，而是用于规划阶段的扰动强弱识别和工作面方案比较。</w:t>
      </w:r>
    </w:p>
    <w:p w14:paraId="5F4922F0" w14:textId="38C50B61" w:rsidR="001E1EA5" w:rsidRDefault="001E1EA5" w:rsidP="004C1CA5">
      <w:pPr>
        <w:pStyle w:val="100"/>
        <w:ind w:firstLine="420"/>
      </w:pPr>
      <w:r w:rsidRPr="001E1EA5">
        <w:t>为进一步验证</w:t>
      </w:r>
      <w:r w:rsidRPr="001E1EA5">
        <w:t>ODI</w:t>
      </w:r>
      <w:r w:rsidRPr="001E1EA5">
        <w:t>在含水层扰动场景中的适用性，将含水层扰动</w:t>
      </w:r>
      <w:r w:rsidRPr="001E1EA5">
        <w:t>ODI</w:t>
      </w:r>
      <w:r w:rsidRPr="001E1EA5">
        <w:t>分区结果与实际突水位置进行对比，结果如</w:t>
      </w:r>
      <w:r>
        <w:fldChar w:fldCharType="begin"/>
      </w:r>
      <w:r>
        <w:instrText xml:space="preserve"> REF _Ref228479391 \h </w:instrText>
      </w:r>
      <w:r>
        <w:fldChar w:fldCharType="separate"/>
      </w:r>
      <w:r>
        <w:rPr>
          <w:rFonts w:hint="eastAsia"/>
        </w:rPr>
        <w:t>图</w:t>
      </w:r>
      <w:r>
        <w:rPr>
          <w:noProof/>
        </w:rPr>
        <w:t>9</w:t>
      </w:r>
      <w:r>
        <w:fldChar w:fldCharType="end"/>
      </w:r>
      <w:r w:rsidRPr="001E1EA5">
        <w:t>所示。</w:t>
      </w:r>
    </w:p>
    <w:p w14:paraId="191557FF" w14:textId="77777777" w:rsidR="001E1EA5" w:rsidRDefault="001E1EA5" w:rsidP="001E1EA5">
      <w:pPr>
        <w:pStyle w:val="100"/>
        <w:ind w:firstLineChars="0" w:firstLine="0"/>
        <w:sectPr w:rsidR="001E1EA5" w:rsidSect="00A07DBF">
          <w:type w:val="continuous"/>
          <w:pgSz w:w="11906" w:h="16838"/>
          <w:pgMar w:top="1418" w:right="1134" w:bottom="1134" w:left="1134" w:header="720" w:footer="720" w:gutter="0"/>
          <w:cols w:num="2" w:space="720"/>
          <w:docGrid w:linePitch="598"/>
        </w:sectPr>
      </w:pPr>
    </w:p>
    <w:p w14:paraId="1F9445FE" w14:textId="77777777" w:rsidR="001E1EA5" w:rsidRDefault="001E1EA5" w:rsidP="001E1EA5">
      <w:pPr>
        <w:pStyle w:val="100"/>
        <w:keepNext/>
        <w:ind w:firstLineChars="0" w:firstLine="0"/>
        <w:jc w:val="center"/>
      </w:pPr>
      <w:r w:rsidRPr="003C5213">
        <w:rPr>
          <w:noProof/>
        </w:rPr>
        <w:drawing>
          <wp:inline distT="0" distB="0" distL="0" distR="0" wp14:anchorId="7ECDA8F6" wp14:editId="5617345F">
            <wp:extent cx="5608320" cy="1354009"/>
            <wp:effectExtent l="0" t="0" r="0" b="0"/>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617272" cy="1356170"/>
                    </a:xfrm>
                    <a:prstGeom prst="rect">
                      <a:avLst/>
                    </a:prstGeom>
                    <a:noFill/>
                    <a:ln>
                      <a:noFill/>
                    </a:ln>
                  </pic:spPr>
                </pic:pic>
              </a:graphicData>
            </a:graphic>
          </wp:inline>
        </w:drawing>
      </w:r>
    </w:p>
    <w:p w14:paraId="5C4C535E" w14:textId="77777777" w:rsidR="001E1EA5" w:rsidRDefault="001E1EA5" w:rsidP="001E1EA5">
      <w:pPr>
        <w:pStyle w:val="14"/>
      </w:pPr>
      <w:bookmarkStart w:id="9" w:name="_Ref22847939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9"/>
      <w:r>
        <w:rPr>
          <w:rFonts w:hint="eastAsia"/>
        </w:rPr>
        <w:t xml:space="preserve"> </w:t>
      </w:r>
      <w:r w:rsidRPr="001E1EA5">
        <w:t>ODI</w:t>
      </w:r>
      <w:r w:rsidRPr="001E1EA5">
        <w:t>含水层扰动分区与实际突水点对比</w:t>
      </w:r>
    </w:p>
    <w:p w14:paraId="62DD8556" w14:textId="7C297EBD" w:rsidR="001E1EA5" w:rsidRDefault="001E1EA5" w:rsidP="001E1EA5">
      <w:pPr>
        <w:pStyle w:val="14"/>
        <w:sectPr w:rsidR="001E1EA5" w:rsidSect="001E1EA5">
          <w:type w:val="continuous"/>
          <w:pgSz w:w="11906" w:h="16838"/>
          <w:pgMar w:top="1418" w:right="1134" w:bottom="1134" w:left="1134" w:header="720" w:footer="720" w:gutter="0"/>
          <w:cols w:space="720"/>
          <w:docGrid w:linePitch="598"/>
        </w:sectPr>
      </w:pPr>
      <w:r w:rsidRPr="001E1EA5">
        <w:t>Fig.9 Comparison between ODI-based aquifer disturbance zoning and actual water inrush point</w:t>
      </w:r>
    </w:p>
    <w:p w14:paraId="5AAF1CB4" w14:textId="314AD48D" w:rsidR="001E1EA5" w:rsidRPr="001E1EA5" w:rsidRDefault="001E1EA5" w:rsidP="001E1EA5">
      <w:pPr>
        <w:pStyle w:val="100"/>
        <w:ind w:firstLine="420"/>
      </w:pPr>
      <w:r w:rsidRPr="001E1EA5">
        <w:t>由</w:t>
      </w:r>
      <w:r>
        <w:fldChar w:fldCharType="begin"/>
      </w:r>
      <w:r>
        <w:instrText xml:space="preserve"> REF _Ref228479391 \h </w:instrText>
      </w:r>
      <w:r>
        <w:fldChar w:fldCharType="separate"/>
      </w:r>
      <w:r>
        <w:rPr>
          <w:rFonts w:hint="eastAsia"/>
        </w:rPr>
        <w:t>图</w:t>
      </w:r>
      <w:r>
        <w:rPr>
          <w:noProof/>
        </w:rPr>
        <w:t>9</w:t>
      </w:r>
      <w:r>
        <w:fldChar w:fldCharType="end"/>
      </w:r>
      <w:r w:rsidRPr="001E1EA5">
        <w:t>可见，实际突水点位于较强</w:t>
      </w:r>
      <w:r w:rsidRPr="001E1EA5">
        <w:t>—</w:t>
      </w:r>
      <w:r w:rsidRPr="001E1EA5">
        <w:t>强扰动影响范围内，说明含水层扰动</w:t>
      </w:r>
      <w:r w:rsidRPr="001E1EA5">
        <w:t>ODI</w:t>
      </w:r>
      <w:r w:rsidRPr="001E1EA5">
        <w:t>高值区能够在一定程度上反映导水裂隙发育和含水层受扰风险较高的区域。该结果表明，</w:t>
      </w:r>
      <w:r w:rsidRPr="001E1EA5">
        <w:t>ODI</w:t>
      </w:r>
      <w:r w:rsidRPr="001E1EA5">
        <w:t>不仅可以用于地表沉陷扰动强弱识别，也能够为含水层扰动场景下的工作面布置避让和专项复核提供参考。</w:t>
      </w:r>
    </w:p>
    <w:p w14:paraId="07F30A89" w14:textId="5FE1F1B8" w:rsidR="004C1CA5" w:rsidRPr="004C1CA5" w:rsidRDefault="004C1CA5" w:rsidP="004C1CA5">
      <w:pPr>
        <w:pStyle w:val="100"/>
        <w:ind w:firstLine="420"/>
      </w:pPr>
      <w:r w:rsidRPr="004C1CA5">
        <w:t>需要说明的是，</w:t>
      </w:r>
      <w:r w:rsidRPr="004C1CA5">
        <w:t>ODI</w:t>
      </w:r>
      <w:r w:rsidRPr="004C1CA5">
        <w:t>＞</w:t>
      </w:r>
      <w:r w:rsidRPr="004C1CA5">
        <w:t>0.70</w:t>
      </w:r>
      <w:r w:rsidRPr="004C1CA5">
        <w:t>并不表示某一单项灾害已经达到失稳状态，而是规划阶段用于识别中高扰动区域的统计阈值。对于这些区域，后续</w:t>
      </w:r>
      <w:r w:rsidRPr="004C1CA5">
        <w:t>仍需结合地表沉陷预计、导水裂隙带高度判定、含水层保护和上行开采安全性等专项评价进行复核。本文在方案生成阶段引入</w:t>
      </w:r>
      <w:r w:rsidRPr="004C1CA5">
        <w:t>ODI</w:t>
      </w:r>
      <w:r w:rsidRPr="004C1CA5">
        <w:t>图层，目的在于提前识别工作面可能经过的扰动较强区域，减少方案形成后再因专项校核不满足要求而反复调整的情况。</w:t>
      </w:r>
    </w:p>
    <w:p w14:paraId="5E1D1231" w14:textId="676C724F" w:rsidR="004B7D90" w:rsidRPr="004B7D90" w:rsidRDefault="004B7D90" w:rsidP="00DF00E8">
      <w:pPr>
        <w:pStyle w:val="12"/>
      </w:pPr>
      <w:r w:rsidRPr="004B7D90">
        <w:t xml:space="preserve">4.3 </w:t>
      </w:r>
      <w:r w:rsidR="004C1CA5" w:rsidRPr="004C1CA5">
        <w:t>工作面布置方案生成与对比分析</w:t>
      </w:r>
    </w:p>
    <w:p w14:paraId="2D0B15A7" w14:textId="77777777" w:rsidR="004C1CA5" w:rsidRPr="004C1CA5" w:rsidRDefault="004C1CA5" w:rsidP="004C1CA5">
      <w:pPr>
        <w:pStyle w:val="100"/>
        <w:ind w:firstLine="420"/>
      </w:pPr>
      <w:r w:rsidRPr="004C1CA5">
        <w:t>在工作面可布置区域、煤层厚度分布和</w:t>
      </w:r>
      <w:r w:rsidRPr="004C1CA5">
        <w:t>ODI</w:t>
      </w:r>
      <w:r w:rsidRPr="004C1CA5">
        <w:t>图层确定后，进一步开展工作面布置方案生成。</w:t>
      </w:r>
      <w:r w:rsidRPr="004C1CA5">
        <w:lastRenderedPageBreak/>
        <w:t>候选方案以工作面可布置区域为边界控制，以工作面宽度、推进方向、边界煤柱、区段煤柱和推进长度校核阈值为主要参数。计算时，先在可布置区域内构造平行工作面条带，再通过条带平移、组合和裁剪形成多组初始方案；随后检查各方案是否存在越界、重叠、煤柱不足、推进长度不足或局部形态不利于实施等问题。满足基本采矿要求的方案进入后续评价。</w:t>
      </w:r>
    </w:p>
    <w:p w14:paraId="1D4A81E2" w14:textId="77777777" w:rsidR="004C1CA5" w:rsidRPr="004C1CA5" w:rsidRDefault="004C1CA5" w:rsidP="004C1CA5">
      <w:pPr>
        <w:pStyle w:val="100"/>
        <w:ind w:firstLine="420"/>
      </w:pPr>
      <w:r w:rsidRPr="004C1CA5">
        <w:t>在相同边界、煤柱参数、煤层厚度分布和</w:t>
      </w:r>
      <w:r w:rsidRPr="004C1CA5">
        <w:t>ODI</w:t>
      </w:r>
      <w:r w:rsidRPr="004C1CA5">
        <w:t>图层条件下，分别按照工程组织效率、资源覆盖程度和扰动控制效果对候选方案进行筛选。经计算，工程效率偏好、资源回收偏好和扰动控制偏好下的有效候选数分别为</w:t>
      </w:r>
      <w:r w:rsidRPr="004C1CA5">
        <w:t>2417</w:t>
      </w:r>
      <w:r w:rsidRPr="004C1CA5">
        <w:t>、</w:t>
      </w:r>
      <w:r w:rsidRPr="004C1CA5">
        <w:t>1149</w:t>
      </w:r>
      <w:r w:rsidRPr="004C1CA5">
        <w:t>和</w:t>
      </w:r>
      <w:r w:rsidRPr="004C1CA5">
        <w:t>374</w:t>
      </w:r>
      <w:r w:rsidRPr="004C1CA5">
        <w:t>，其</w:t>
      </w:r>
      <w:r w:rsidRPr="004C1CA5">
        <w:t>中扰动控制偏好下满足低扰动筛选条件的候选数为</w:t>
      </w:r>
      <w:r w:rsidRPr="004C1CA5">
        <w:t>88</w:t>
      </w:r>
      <w:r w:rsidRPr="004C1CA5">
        <w:t>。该结果说明，在既定工程约束下，研究区仍存在较大的方案选择空间，不同规划目标会得到不同的工作面布置结果。</w:t>
      </w:r>
    </w:p>
    <w:p w14:paraId="4E658940" w14:textId="5F084D85" w:rsidR="004C1CA5" w:rsidRPr="004C1CA5" w:rsidRDefault="004C1CA5" w:rsidP="004C1CA5">
      <w:pPr>
        <w:pStyle w:val="100"/>
        <w:ind w:firstLine="420"/>
      </w:pPr>
      <w:r w:rsidRPr="004C1CA5">
        <w:t>为进一步比较不同规划目标下方案的差异，从候选方案集合中选取</w:t>
      </w:r>
      <w:r w:rsidRPr="004C1CA5">
        <w:t>3</w:t>
      </w:r>
      <w:r w:rsidRPr="004C1CA5">
        <w:t>个代表方案：工程效率优先方案</w:t>
      </w:r>
      <w:r w:rsidRPr="004C1CA5">
        <w:t>A</w:t>
      </w:r>
      <w:r w:rsidRPr="004C1CA5">
        <w:t>、资源回收优先方案</w:t>
      </w:r>
      <w:r w:rsidRPr="004C1CA5">
        <w:t>B</w:t>
      </w:r>
      <w:r w:rsidRPr="004C1CA5">
        <w:t>和低扰动候选方案</w:t>
      </w:r>
      <w:r w:rsidRPr="004C1CA5">
        <w:t>C</w:t>
      </w:r>
      <w:r w:rsidRPr="004C1CA5">
        <w:t>。三类方案均来自同一候选方案集合，采用相同的边界条件、煤厚分布、</w:t>
      </w:r>
      <w:r w:rsidRPr="004C1CA5">
        <w:t>ODI</w:t>
      </w:r>
      <w:r w:rsidRPr="004C1CA5">
        <w:t>图层和评价指标，因此其差异主要反映工程效率、资源覆盖和扰动控制之间的取舍关系。</w:t>
      </w:r>
      <w:r w:rsidRPr="004C1CA5">
        <w:t>A</w:t>
      </w:r>
      <w:r w:rsidRPr="004C1CA5">
        <w:t>、</w:t>
      </w:r>
      <w:r w:rsidRPr="004C1CA5">
        <w:t>B</w:t>
      </w:r>
      <w:r w:rsidRPr="004C1CA5">
        <w:t>、</w:t>
      </w:r>
      <w:r w:rsidRPr="004C1CA5">
        <w:t>C</w:t>
      </w:r>
      <w:r w:rsidRPr="004C1CA5">
        <w:t>方案多指标对比如</w:t>
      </w:r>
      <w:r w:rsidR="001E1EA5">
        <w:fldChar w:fldCharType="begin"/>
      </w:r>
      <w:r w:rsidR="001E1EA5">
        <w:instrText xml:space="preserve"> REF _Ref227925930 \h </w:instrText>
      </w:r>
      <w:r w:rsidR="001E1EA5">
        <w:fldChar w:fldCharType="separate"/>
      </w:r>
      <w:r w:rsidR="001E1EA5">
        <w:rPr>
          <w:rFonts w:hint="eastAsia"/>
        </w:rPr>
        <w:t>图</w:t>
      </w:r>
      <w:r w:rsidR="001E1EA5">
        <w:rPr>
          <w:noProof/>
        </w:rPr>
        <w:t>10</w:t>
      </w:r>
      <w:r w:rsidR="001E1EA5">
        <w:fldChar w:fldCharType="end"/>
      </w:r>
      <w:r w:rsidRPr="004C1CA5">
        <w:t>所示。</w:t>
      </w:r>
    </w:p>
    <w:p w14:paraId="70B874E4" w14:textId="77777777" w:rsidR="004B7D90" w:rsidRDefault="004B7D90" w:rsidP="004B7D90">
      <w:pPr>
        <w:pStyle w:val="100"/>
        <w:ind w:firstLineChars="0" w:firstLine="0"/>
        <w:jc w:val="center"/>
        <w:sectPr w:rsidR="004B7D90" w:rsidSect="00A07DBF">
          <w:type w:val="continuous"/>
          <w:pgSz w:w="11906" w:h="16838"/>
          <w:pgMar w:top="1418" w:right="1134" w:bottom="1134" w:left="1134" w:header="720" w:footer="720" w:gutter="0"/>
          <w:cols w:num="2" w:space="720"/>
          <w:docGrid w:linePitch="598"/>
        </w:sectPr>
      </w:pPr>
    </w:p>
    <w:p w14:paraId="552ACAD8" w14:textId="77777777" w:rsidR="004B7D90" w:rsidRDefault="004B7D90" w:rsidP="004B7D90">
      <w:pPr>
        <w:pStyle w:val="100"/>
        <w:ind w:firstLineChars="0" w:firstLine="0"/>
        <w:jc w:val="center"/>
      </w:pPr>
      <w:r>
        <w:rPr>
          <w:noProof/>
        </w:rPr>
        <w:drawing>
          <wp:inline distT="0" distB="0" distL="0" distR="0" wp14:anchorId="6D031F19" wp14:editId="2BCCF3F9">
            <wp:extent cx="6113780" cy="1729105"/>
            <wp:effectExtent l="0" t="0" r="1270" b="4445"/>
            <wp:docPr id="1139421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6113780" cy="1729105"/>
                    </a:xfrm>
                    <a:prstGeom prst="rect">
                      <a:avLst/>
                    </a:prstGeom>
                    <a:noFill/>
                    <a:ln>
                      <a:noFill/>
                    </a:ln>
                  </pic:spPr>
                </pic:pic>
              </a:graphicData>
            </a:graphic>
          </wp:inline>
        </w:drawing>
      </w:r>
    </w:p>
    <w:p w14:paraId="65B4B0C9" w14:textId="7AAE3F36" w:rsidR="004B7D90" w:rsidRDefault="004B7D90" w:rsidP="004B7D90">
      <w:pPr>
        <w:pStyle w:val="14"/>
      </w:pPr>
      <w:bookmarkStart w:id="10" w:name="_Ref22792593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10</w:t>
      </w:r>
      <w:r>
        <w:fldChar w:fldCharType="end"/>
      </w:r>
      <w:bookmarkEnd w:id="10"/>
      <w:r>
        <w:rPr>
          <w:rFonts w:hint="eastAsia"/>
        </w:rPr>
        <w:t xml:space="preserve"> </w:t>
      </w:r>
      <w:r w:rsidRPr="00551567">
        <w:t>A</w:t>
      </w:r>
      <w:r w:rsidRPr="00551567">
        <w:t>、</w:t>
      </w:r>
      <w:r w:rsidRPr="00551567">
        <w:t>B</w:t>
      </w:r>
      <w:r w:rsidRPr="00551567">
        <w:t>、</w:t>
      </w:r>
      <w:r w:rsidRPr="00551567">
        <w:t>C</w:t>
      </w:r>
      <w:r w:rsidRPr="00551567">
        <w:t>候选方案多指标对比图</w:t>
      </w:r>
    </w:p>
    <w:p w14:paraId="5FEEF392" w14:textId="4A53BB65" w:rsidR="004B7D90" w:rsidRDefault="004B7D90" w:rsidP="004B7D90">
      <w:pPr>
        <w:pStyle w:val="14"/>
      </w:pPr>
      <w:r w:rsidRPr="00551567">
        <w:t>Fig.</w:t>
      </w:r>
      <w:r w:rsidR="001E1EA5">
        <w:rPr>
          <w:rFonts w:hint="eastAsia"/>
        </w:rPr>
        <w:t>10</w:t>
      </w:r>
      <w:r w:rsidRPr="00551567">
        <w:t xml:space="preserve"> Multi-indicator comparison of candidate schemes A, B and C</w:t>
      </w:r>
    </w:p>
    <w:p w14:paraId="6F693C12"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6CB95A7F" w14:textId="72012B43" w:rsidR="004C1CA5" w:rsidRPr="004C1CA5" w:rsidRDefault="004C1CA5" w:rsidP="004C1CA5">
      <w:pPr>
        <w:pStyle w:val="100"/>
        <w:ind w:firstLine="420"/>
      </w:pPr>
      <w:r w:rsidRPr="004C1CA5">
        <w:t>由</w:t>
      </w:r>
      <w:r w:rsidR="001E1EA5">
        <w:fldChar w:fldCharType="begin"/>
      </w:r>
      <w:r w:rsidR="001E1EA5">
        <w:instrText xml:space="preserve"> REF _Ref227925930 \h </w:instrText>
      </w:r>
      <w:r w:rsidR="001E1EA5">
        <w:fldChar w:fldCharType="separate"/>
      </w:r>
      <w:r w:rsidR="001E1EA5">
        <w:rPr>
          <w:rFonts w:hint="eastAsia"/>
        </w:rPr>
        <w:t>图</w:t>
      </w:r>
      <w:r w:rsidR="001E1EA5">
        <w:rPr>
          <w:noProof/>
        </w:rPr>
        <w:t>10</w:t>
      </w:r>
      <w:r w:rsidR="001E1EA5">
        <w:fldChar w:fldCharType="end"/>
      </w:r>
      <w:r w:rsidRPr="004C1CA5">
        <w:t>可见，三类方案在覆盖率和扰动指标上存在明显差异。资源回收优先方案</w:t>
      </w:r>
      <w:r w:rsidRPr="004C1CA5">
        <w:t>B</w:t>
      </w:r>
      <w:r w:rsidRPr="004C1CA5">
        <w:t>覆盖率最高，说明其对可布置区域和煤厚资源的利用程度较高，但随着覆盖范围扩大，方案与中高扰动区域接触的可能性也随之增加。低扰动候选方案</w:t>
      </w:r>
      <w:r w:rsidRPr="004C1CA5">
        <w:t>C</w:t>
      </w:r>
      <w:r w:rsidRPr="004C1CA5">
        <w:t>覆盖率低于</w:t>
      </w:r>
      <w:r w:rsidRPr="004C1CA5">
        <w:t>A</w:t>
      </w:r>
      <w:r w:rsidRPr="004C1CA5">
        <w:t>、</w:t>
      </w:r>
      <w:r w:rsidRPr="004C1CA5">
        <w:t>B</w:t>
      </w:r>
      <w:r w:rsidRPr="004C1CA5">
        <w:t>方案，但</w:t>
      </w:r>
      <w:r w:rsidRPr="004C1CA5">
        <w:t>ODI</w:t>
      </w:r>
      <w:r w:rsidRPr="004C1CA5">
        <w:t>均值和</w:t>
      </w:r>
      <w:r w:rsidRPr="004C1CA5">
        <w:t>P90</w:t>
      </w:r>
      <w:r w:rsidRPr="004C1CA5">
        <w:t>较低，说明其整体扰动水平和局部高值扰动相对较小。工程效率优先方案</w:t>
      </w:r>
      <w:r w:rsidRPr="004C1CA5">
        <w:t>A</w:t>
      </w:r>
      <w:r w:rsidRPr="004C1CA5">
        <w:t>则处于二者之间，在覆盖率、工作面数量和扰动控制方面表现较为均衡。</w:t>
      </w:r>
    </w:p>
    <w:p w14:paraId="1DD1A06B" w14:textId="00D5EB23" w:rsidR="004C1CA5" w:rsidRPr="004C1CA5" w:rsidRDefault="004C1CA5" w:rsidP="004C1CA5">
      <w:pPr>
        <w:pStyle w:val="100"/>
        <w:ind w:firstLine="420"/>
      </w:pPr>
      <w:r w:rsidRPr="004C1CA5">
        <w:t>A</w:t>
      </w:r>
      <w:r w:rsidRPr="004C1CA5">
        <w:t>、</w:t>
      </w:r>
      <w:r w:rsidRPr="004C1CA5">
        <w:t>B</w:t>
      </w:r>
      <w:r w:rsidRPr="004C1CA5">
        <w:t>、</w:t>
      </w:r>
      <w:r w:rsidRPr="004C1CA5">
        <w:t>C</w:t>
      </w:r>
      <w:r w:rsidRPr="004C1CA5">
        <w:t>方案的主要指标见表</w:t>
      </w:r>
      <w:r w:rsidR="00495807">
        <w:rPr>
          <w:rFonts w:hint="eastAsia"/>
        </w:rPr>
        <w:t>4</w:t>
      </w:r>
      <w:r w:rsidRPr="004C1CA5">
        <w:t>。</w:t>
      </w:r>
    </w:p>
    <w:p w14:paraId="5E100D4A" w14:textId="77777777" w:rsidR="004B7D90" w:rsidRDefault="004B7D90" w:rsidP="004B7D90">
      <w:pPr>
        <w:pStyle w:val="100"/>
        <w:ind w:firstLineChars="0" w:firstLine="0"/>
        <w:rPr>
          <w:b/>
          <w:bCs/>
        </w:rPr>
        <w:sectPr w:rsidR="004B7D90" w:rsidSect="00A07DBF">
          <w:type w:val="continuous"/>
          <w:pgSz w:w="11906" w:h="16838"/>
          <w:pgMar w:top="1418" w:right="1134" w:bottom="1134" w:left="1134" w:header="720" w:footer="720" w:gutter="0"/>
          <w:cols w:num="2" w:space="720"/>
          <w:docGrid w:linePitch="598"/>
        </w:sectPr>
      </w:pPr>
    </w:p>
    <w:p w14:paraId="4F2B9434" w14:textId="366F8236" w:rsidR="00D94197" w:rsidRDefault="00D94197" w:rsidP="00067EEE">
      <w:pPr>
        <w:pStyle w:val="15"/>
      </w:pPr>
      <w:bookmarkStart w:id="11" w:name="_Ref228479628"/>
      <w:r>
        <w:rPr>
          <w:rFonts w:hint="eastAsia"/>
        </w:rPr>
        <w:t>表</w:t>
      </w:r>
      <w:r w:rsidR="00495807">
        <w:fldChar w:fldCharType="begin"/>
      </w:r>
      <w:r w:rsidR="00495807">
        <w:instrText xml:space="preserve"> </w:instrText>
      </w:r>
      <w:r w:rsidR="00495807">
        <w:rPr>
          <w:rFonts w:hint="eastAsia"/>
        </w:rPr>
        <w:instrText xml:space="preserve">SEQ </w:instrText>
      </w:r>
      <w:r w:rsidR="00495807">
        <w:rPr>
          <w:rFonts w:hint="eastAsia"/>
        </w:rPr>
        <w:instrText>表</w:instrText>
      </w:r>
      <w:r w:rsidR="00495807">
        <w:rPr>
          <w:rFonts w:hint="eastAsia"/>
        </w:rPr>
        <w:instrText xml:space="preserve"> \* ARABIC</w:instrText>
      </w:r>
      <w:r w:rsidR="00495807">
        <w:instrText xml:space="preserve"> </w:instrText>
      </w:r>
      <w:r w:rsidR="00495807">
        <w:fldChar w:fldCharType="separate"/>
      </w:r>
      <w:r w:rsidR="00495807">
        <w:rPr>
          <w:noProof/>
        </w:rPr>
        <w:t>4</w:t>
      </w:r>
      <w:r w:rsidR="00495807">
        <w:fldChar w:fldCharType="end"/>
      </w:r>
      <w:bookmarkEnd w:id="11"/>
      <w:r>
        <w:rPr>
          <w:rFonts w:hint="eastAsia"/>
        </w:rPr>
        <w:t xml:space="preserve"> </w:t>
      </w:r>
      <w:r w:rsidR="00067EEE" w:rsidRPr="00067EEE">
        <w:t>A</w:t>
      </w:r>
      <w:r w:rsidR="00067EEE" w:rsidRPr="00067EEE">
        <w:t>、</w:t>
      </w:r>
      <w:r w:rsidR="00067EEE" w:rsidRPr="00067EEE">
        <w:t>B</w:t>
      </w:r>
      <w:r w:rsidR="00067EEE" w:rsidRPr="00067EEE">
        <w:t>、</w:t>
      </w:r>
      <w:r w:rsidR="00067EEE" w:rsidRPr="00067EEE">
        <w:t>C</w:t>
      </w:r>
      <w:r w:rsidR="00067EEE" w:rsidRPr="00067EEE">
        <w:t>代表性工作面布置方案指标对比</w:t>
      </w:r>
    </w:p>
    <w:p w14:paraId="1B2DB6D0" w14:textId="0BBD910F" w:rsidR="00067EEE" w:rsidRDefault="00067EEE" w:rsidP="00067EEE">
      <w:pPr>
        <w:pStyle w:val="15"/>
      </w:pPr>
      <w:r w:rsidRPr="00067EEE">
        <w:t xml:space="preserve">Table </w:t>
      </w:r>
      <w:r w:rsidR="00495807">
        <w:rPr>
          <w:rFonts w:hint="eastAsia"/>
        </w:rPr>
        <w:t>4</w:t>
      </w:r>
      <w:r w:rsidRPr="00067EEE">
        <w:t xml:space="preserve"> Comparison of indicators for representative working-face layout schemes A, B and C</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1143"/>
        <w:gridCol w:w="670"/>
        <w:gridCol w:w="652"/>
        <w:gridCol w:w="841"/>
        <w:gridCol w:w="841"/>
        <w:gridCol w:w="881"/>
        <w:gridCol w:w="683"/>
        <w:gridCol w:w="555"/>
        <w:gridCol w:w="993"/>
        <w:gridCol w:w="2024"/>
      </w:tblGrid>
      <w:tr w:rsidR="004B7D90" w:rsidRPr="004B7D90" w14:paraId="08D1391B" w14:textId="77777777" w:rsidTr="004B7D90">
        <w:trPr>
          <w:tblHeader/>
          <w:tblCellSpacing w:w="15" w:type="dxa"/>
          <w:jc w:val="center"/>
        </w:trPr>
        <w:tc>
          <w:tcPr>
            <w:tcW w:w="0" w:type="auto"/>
            <w:tcBorders>
              <w:top w:val="nil"/>
              <w:bottom w:val="single" w:sz="4" w:space="0" w:color="auto"/>
            </w:tcBorders>
            <w:vAlign w:val="center"/>
            <w:hideMark/>
          </w:tcPr>
          <w:p w14:paraId="5295180F" w14:textId="77777777" w:rsidR="004B7D90" w:rsidRPr="00D76668" w:rsidRDefault="004B7D90" w:rsidP="00D76668">
            <w:pPr>
              <w:spacing w:beforeLines="0" w:before="0" w:afterLines="0" w:after="0"/>
              <w:jc w:val="center"/>
              <w:rPr>
                <w:rFonts w:eastAsia="宋体"/>
                <w:sz w:val="18"/>
              </w:rPr>
            </w:pPr>
            <w:r w:rsidRPr="00D76668">
              <w:rPr>
                <w:rFonts w:eastAsia="宋体"/>
                <w:sz w:val="18"/>
              </w:rPr>
              <w:t>方案</w:t>
            </w:r>
          </w:p>
        </w:tc>
        <w:tc>
          <w:tcPr>
            <w:tcW w:w="0" w:type="auto"/>
            <w:tcBorders>
              <w:top w:val="nil"/>
              <w:bottom w:val="single" w:sz="4" w:space="0" w:color="auto"/>
            </w:tcBorders>
            <w:vAlign w:val="center"/>
            <w:hideMark/>
          </w:tcPr>
          <w:p w14:paraId="3CC8D376" w14:textId="77777777" w:rsidR="004B7D90" w:rsidRPr="00D76668" w:rsidRDefault="004B7D90" w:rsidP="00D76668">
            <w:pPr>
              <w:spacing w:beforeLines="0" w:before="0" w:afterLines="0" w:after="0"/>
              <w:jc w:val="center"/>
              <w:rPr>
                <w:rFonts w:eastAsia="宋体"/>
                <w:sz w:val="18"/>
              </w:rPr>
            </w:pPr>
            <w:r w:rsidRPr="00D76668">
              <w:rPr>
                <w:rFonts w:eastAsia="宋体"/>
                <w:sz w:val="18"/>
              </w:rPr>
              <w:t>偏好模式</w:t>
            </w:r>
          </w:p>
        </w:tc>
        <w:tc>
          <w:tcPr>
            <w:tcW w:w="0" w:type="auto"/>
            <w:tcBorders>
              <w:top w:val="nil"/>
              <w:bottom w:val="single" w:sz="4" w:space="0" w:color="auto"/>
            </w:tcBorders>
            <w:vAlign w:val="center"/>
            <w:hideMark/>
          </w:tcPr>
          <w:p w14:paraId="7F6531CD"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工作面数</w:t>
            </w:r>
            <w:r w:rsidRPr="00D76668">
              <w:rPr>
                <w:rFonts w:eastAsia="宋体"/>
                <w:sz w:val="18"/>
              </w:rPr>
              <w:t>/</w:t>
            </w:r>
            <w:r w:rsidRPr="00D76668">
              <w:rPr>
                <w:rFonts w:eastAsia="宋体"/>
                <w:sz w:val="18"/>
              </w:rPr>
              <w:t>个</w:t>
            </w:r>
          </w:p>
        </w:tc>
        <w:tc>
          <w:tcPr>
            <w:tcW w:w="0" w:type="auto"/>
            <w:tcBorders>
              <w:top w:val="nil"/>
              <w:bottom w:val="single" w:sz="4" w:space="0" w:color="auto"/>
            </w:tcBorders>
            <w:vAlign w:val="center"/>
            <w:hideMark/>
          </w:tcPr>
          <w:p w14:paraId="683480CD" w14:textId="77777777" w:rsidR="004B7D90" w:rsidRPr="00D76668" w:rsidRDefault="004B7D90" w:rsidP="00D76668">
            <w:pPr>
              <w:spacing w:beforeLines="0" w:before="0" w:afterLines="0" w:after="0"/>
              <w:jc w:val="center"/>
              <w:rPr>
                <w:rFonts w:eastAsia="宋体"/>
                <w:sz w:val="18"/>
              </w:rPr>
            </w:pPr>
            <w:r w:rsidRPr="00D76668">
              <w:rPr>
                <w:rFonts w:eastAsia="宋体"/>
                <w:sz w:val="18"/>
              </w:rPr>
              <w:t>覆盖率</w:t>
            </w:r>
            <w:r w:rsidRPr="00D76668">
              <w:rPr>
                <w:rFonts w:eastAsia="宋体"/>
                <w:sz w:val="18"/>
              </w:rPr>
              <w:t>/%</w:t>
            </w:r>
          </w:p>
        </w:tc>
        <w:tc>
          <w:tcPr>
            <w:tcW w:w="0" w:type="auto"/>
            <w:tcBorders>
              <w:top w:val="nil"/>
              <w:bottom w:val="single" w:sz="4" w:space="0" w:color="auto"/>
            </w:tcBorders>
            <w:vAlign w:val="center"/>
            <w:hideMark/>
          </w:tcPr>
          <w:p w14:paraId="413E3813"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工程效率评分</w:t>
            </w:r>
          </w:p>
        </w:tc>
        <w:tc>
          <w:tcPr>
            <w:tcW w:w="0" w:type="auto"/>
            <w:tcBorders>
              <w:top w:val="nil"/>
              <w:bottom w:val="single" w:sz="4" w:space="0" w:color="auto"/>
            </w:tcBorders>
            <w:vAlign w:val="center"/>
            <w:hideMark/>
          </w:tcPr>
          <w:p w14:paraId="0AFA178F"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资源回收评分</w:t>
            </w:r>
          </w:p>
        </w:tc>
        <w:tc>
          <w:tcPr>
            <w:tcW w:w="0" w:type="auto"/>
            <w:tcBorders>
              <w:top w:val="nil"/>
              <w:bottom w:val="single" w:sz="4" w:space="0" w:color="auto"/>
            </w:tcBorders>
            <w:vAlign w:val="center"/>
            <w:hideMark/>
          </w:tcPr>
          <w:p w14:paraId="37667695" w14:textId="77777777" w:rsidR="004B7D90" w:rsidRPr="00D76668" w:rsidRDefault="004B7D90" w:rsidP="00D76668">
            <w:pPr>
              <w:spacing w:beforeLines="0" w:before="0" w:afterLines="0" w:after="0"/>
              <w:jc w:val="center"/>
              <w:rPr>
                <w:rFonts w:eastAsia="宋体"/>
                <w:sz w:val="18"/>
              </w:rPr>
            </w:pPr>
            <w:r w:rsidRPr="00D76668">
              <w:rPr>
                <w:rFonts w:eastAsia="宋体"/>
                <w:sz w:val="18"/>
              </w:rPr>
              <w:t>风险综合得分</w:t>
            </w:r>
          </w:p>
        </w:tc>
        <w:tc>
          <w:tcPr>
            <w:tcW w:w="0" w:type="auto"/>
            <w:tcBorders>
              <w:top w:val="nil"/>
              <w:bottom w:val="single" w:sz="4" w:space="0" w:color="auto"/>
            </w:tcBorders>
            <w:vAlign w:val="center"/>
            <w:hideMark/>
          </w:tcPr>
          <w:p w14:paraId="70DFFD5B"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均值</w:t>
            </w:r>
          </w:p>
        </w:tc>
        <w:tc>
          <w:tcPr>
            <w:tcW w:w="0" w:type="auto"/>
            <w:tcBorders>
              <w:top w:val="nil"/>
              <w:bottom w:val="single" w:sz="4" w:space="0" w:color="auto"/>
            </w:tcBorders>
            <w:vAlign w:val="center"/>
            <w:hideMark/>
          </w:tcPr>
          <w:p w14:paraId="5C0773FC" w14:textId="77777777" w:rsidR="004B7D90" w:rsidRPr="00D76668" w:rsidRDefault="004B7D90" w:rsidP="00D76668">
            <w:pPr>
              <w:spacing w:beforeLines="0" w:before="0" w:afterLines="0" w:after="0"/>
              <w:jc w:val="center"/>
              <w:rPr>
                <w:rFonts w:eastAsia="宋体"/>
                <w:sz w:val="18"/>
              </w:rPr>
            </w:pPr>
            <w:r w:rsidRPr="00D76668">
              <w:rPr>
                <w:rFonts w:eastAsia="宋体"/>
                <w:sz w:val="18"/>
              </w:rPr>
              <w:t>P90</w:t>
            </w:r>
          </w:p>
        </w:tc>
        <w:tc>
          <w:tcPr>
            <w:tcW w:w="0" w:type="auto"/>
            <w:tcBorders>
              <w:top w:val="nil"/>
              <w:bottom w:val="single" w:sz="4" w:space="0" w:color="auto"/>
            </w:tcBorders>
            <w:vAlign w:val="center"/>
            <w:hideMark/>
          </w:tcPr>
          <w:p w14:paraId="24F961FD"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w:t>
            </w:r>
            <w:r w:rsidRPr="00D76668">
              <w:rPr>
                <w:rFonts w:eastAsia="宋体"/>
                <w:sz w:val="18"/>
              </w:rPr>
              <w:t>0.70</w:t>
            </w:r>
            <w:r w:rsidRPr="00D76668">
              <w:rPr>
                <w:rFonts w:eastAsia="宋体"/>
                <w:sz w:val="18"/>
              </w:rPr>
              <w:t>比例</w:t>
            </w:r>
            <w:r w:rsidRPr="00D76668">
              <w:rPr>
                <w:rFonts w:eastAsia="宋体"/>
                <w:sz w:val="18"/>
              </w:rPr>
              <w:t>/%</w:t>
            </w:r>
          </w:p>
        </w:tc>
        <w:tc>
          <w:tcPr>
            <w:tcW w:w="0" w:type="auto"/>
            <w:tcBorders>
              <w:top w:val="nil"/>
              <w:bottom w:val="single" w:sz="4" w:space="0" w:color="auto"/>
            </w:tcBorders>
            <w:vAlign w:val="center"/>
            <w:hideMark/>
          </w:tcPr>
          <w:p w14:paraId="0E30FFC7" w14:textId="77777777" w:rsidR="004B7D90" w:rsidRPr="00D76668" w:rsidRDefault="004B7D90" w:rsidP="00D76668">
            <w:pPr>
              <w:spacing w:beforeLines="0" w:before="0" w:afterLines="0" w:after="0"/>
              <w:jc w:val="center"/>
              <w:rPr>
                <w:rFonts w:eastAsia="宋体"/>
                <w:sz w:val="18"/>
              </w:rPr>
            </w:pPr>
            <w:r w:rsidRPr="00D76668">
              <w:rPr>
                <w:rFonts w:eastAsia="宋体"/>
                <w:sz w:val="18"/>
              </w:rPr>
              <w:t>判定依据</w:t>
            </w:r>
          </w:p>
        </w:tc>
      </w:tr>
      <w:tr w:rsidR="004B7D90" w:rsidRPr="004B7D90" w14:paraId="01A2BE43" w14:textId="77777777" w:rsidTr="004B7D90">
        <w:trPr>
          <w:tblCellSpacing w:w="15" w:type="dxa"/>
          <w:jc w:val="center"/>
        </w:trPr>
        <w:tc>
          <w:tcPr>
            <w:tcW w:w="0" w:type="auto"/>
            <w:vAlign w:val="center"/>
            <w:hideMark/>
          </w:tcPr>
          <w:p w14:paraId="5D88830B" w14:textId="77777777" w:rsidR="004B7D90" w:rsidRPr="00D76668" w:rsidRDefault="004B7D90" w:rsidP="00D76668">
            <w:pPr>
              <w:spacing w:beforeLines="0" w:before="0" w:afterLines="0" w:after="0"/>
              <w:jc w:val="center"/>
              <w:rPr>
                <w:rFonts w:eastAsia="宋体"/>
                <w:sz w:val="18"/>
              </w:rPr>
            </w:pPr>
            <w:r w:rsidRPr="00D76668">
              <w:rPr>
                <w:rFonts w:eastAsia="宋体"/>
                <w:sz w:val="18"/>
              </w:rPr>
              <w:t>A</w:t>
            </w:r>
          </w:p>
        </w:tc>
        <w:tc>
          <w:tcPr>
            <w:tcW w:w="0" w:type="auto"/>
            <w:vAlign w:val="center"/>
            <w:hideMark/>
          </w:tcPr>
          <w:p w14:paraId="59182CB7"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工程效率优先</w:t>
            </w:r>
          </w:p>
        </w:tc>
        <w:tc>
          <w:tcPr>
            <w:tcW w:w="0" w:type="auto"/>
            <w:vAlign w:val="center"/>
            <w:hideMark/>
          </w:tcPr>
          <w:p w14:paraId="0F783BA7" w14:textId="77777777" w:rsidR="004B7D90" w:rsidRPr="00D76668" w:rsidRDefault="004B7D90" w:rsidP="00D76668">
            <w:pPr>
              <w:spacing w:beforeLines="0" w:before="0" w:afterLines="0" w:after="0"/>
              <w:jc w:val="center"/>
              <w:rPr>
                <w:rFonts w:eastAsia="宋体"/>
                <w:sz w:val="18"/>
              </w:rPr>
            </w:pPr>
            <w:r w:rsidRPr="00D76668">
              <w:rPr>
                <w:rFonts w:eastAsia="宋体"/>
                <w:sz w:val="18"/>
              </w:rPr>
              <w:t>5</w:t>
            </w:r>
          </w:p>
        </w:tc>
        <w:tc>
          <w:tcPr>
            <w:tcW w:w="0" w:type="auto"/>
            <w:vAlign w:val="center"/>
            <w:hideMark/>
          </w:tcPr>
          <w:p w14:paraId="129540F9" w14:textId="77777777" w:rsidR="004B7D90" w:rsidRPr="00D76668" w:rsidRDefault="004B7D90" w:rsidP="00D76668">
            <w:pPr>
              <w:spacing w:beforeLines="0" w:before="0" w:afterLines="0" w:after="0"/>
              <w:jc w:val="center"/>
              <w:rPr>
                <w:rFonts w:eastAsia="宋体"/>
                <w:sz w:val="18"/>
              </w:rPr>
            </w:pPr>
            <w:r w:rsidRPr="00D76668">
              <w:rPr>
                <w:rFonts w:eastAsia="宋体"/>
                <w:sz w:val="18"/>
              </w:rPr>
              <w:t>89.34</w:t>
            </w:r>
          </w:p>
        </w:tc>
        <w:tc>
          <w:tcPr>
            <w:tcW w:w="0" w:type="auto"/>
            <w:vAlign w:val="center"/>
            <w:hideMark/>
          </w:tcPr>
          <w:p w14:paraId="02EA58FE" w14:textId="77777777" w:rsidR="004B7D90" w:rsidRPr="00D76668" w:rsidRDefault="004B7D90" w:rsidP="00D76668">
            <w:pPr>
              <w:spacing w:beforeLines="0" w:before="0" w:afterLines="0" w:after="0"/>
              <w:jc w:val="center"/>
              <w:rPr>
                <w:rFonts w:eastAsia="宋体"/>
                <w:sz w:val="18"/>
              </w:rPr>
            </w:pPr>
            <w:r w:rsidRPr="00D76668">
              <w:rPr>
                <w:rFonts w:eastAsia="宋体"/>
                <w:sz w:val="18"/>
              </w:rPr>
              <w:t>87.82</w:t>
            </w:r>
          </w:p>
        </w:tc>
        <w:tc>
          <w:tcPr>
            <w:tcW w:w="0" w:type="auto"/>
            <w:vAlign w:val="center"/>
            <w:hideMark/>
          </w:tcPr>
          <w:p w14:paraId="7364B527"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798691CD" w14:textId="2E822DD0" w:rsidR="004B7D90" w:rsidRPr="00D76668" w:rsidRDefault="003B394F" w:rsidP="00D76668">
            <w:pPr>
              <w:spacing w:beforeLines="0" w:before="0" w:afterLines="0" w:after="0"/>
              <w:jc w:val="center"/>
              <w:rPr>
                <w:rFonts w:eastAsia="宋体"/>
                <w:sz w:val="18"/>
              </w:rPr>
            </w:pPr>
            <w:r w:rsidRPr="003B394F">
              <w:rPr>
                <w:rFonts w:eastAsia="宋体"/>
                <w:sz w:val="18"/>
              </w:rPr>
              <w:t>0.4481</w:t>
            </w:r>
          </w:p>
        </w:tc>
        <w:tc>
          <w:tcPr>
            <w:tcW w:w="0" w:type="auto"/>
            <w:vAlign w:val="center"/>
            <w:hideMark/>
          </w:tcPr>
          <w:p w14:paraId="3A946753"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0.4463</w:t>
            </w:r>
          </w:p>
        </w:tc>
        <w:tc>
          <w:tcPr>
            <w:tcW w:w="0" w:type="auto"/>
            <w:vAlign w:val="center"/>
            <w:hideMark/>
          </w:tcPr>
          <w:p w14:paraId="6A4CACBF"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0.6407</w:t>
            </w:r>
          </w:p>
        </w:tc>
        <w:tc>
          <w:tcPr>
            <w:tcW w:w="0" w:type="auto"/>
            <w:vAlign w:val="center"/>
            <w:hideMark/>
          </w:tcPr>
          <w:p w14:paraId="1A8C142C"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w:t>
            </w:r>
          </w:p>
        </w:tc>
        <w:tc>
          <w:tcPr>
            <w:tcW w:w="0" w:type="auto"/>
            <w:vAlign w:val="center"/>
            <w:hideMark/>
          </w:tcPr>
          <w:p w14:paraId="0AEEAE56"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工程效率分项排序最优</w:t>
            </w:r>
          </w:p>
        </w:tc>
      </w:tr>
      <w:tr w:rsidR="004B7D90" w:rsidRPr="004B7D90" w14:paraId="431AD1E8" w14:textId="77777777" w:rsidTr="004B7D90">
        <w:trPr>
          <w:tblCellSpacing w:w="15" w:type="dxa"/>
          <w:jc w:val="center"/>
        </w:trPr>
        <w:tc>
          <w:tcPr>
            <w:tcW w:w="0" w:type="auto"/>
            <w:vAlign w:val="center"/>
            <w:hideMark/>
          </w:tcPr>
          <w:p w14:paraId="5B69B979" w14:textId="77777777" w:rsidR="004B7D90" w:rsidRPr="00D76668" w:rsidRDefault="004B7D90" w:rsidP="00D76668">
            <w:pPr>
              <w:spacing w:beforeLines="0" w:before="0" w:afterLines="0" w:after="0"/>
              <w:jc w:val="center"/>
              <w:rPr>
                <w:rFonts w:eastAsia="宋体"/>
                <w:sz w:val="18"/>
              </w:rPr>
            </w:pPr>
            <w:r w:rsidRPr="00D76668">
              <w:rPr>
                <w:rFonts w:eastAsia="宋体"/>
                <w:sz w:val="18"/>
              </w:rPr>
              <w:t>B</w:t>
            </w:r>
          </w:p>
        </w:tc>
        <w:tc>
          <w:tcPr>
            <w:tcW w:w="0" w:type="auto"/>
            <w:vAlign w:val="center"/>
            <w:hideMark/>
          </w:tcPr>
          <w:p w14:paraId="01FD4C73"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资源回收优先</w:t>
            </w:r>
          </w:p>
        </w:tc>
        <w:tc>
          <w:tcPr>
            <w:tcW w:w="0" w:type="auto"/>
            <w:vAlign w:val="center"/>
            <w:hideMark/>
          </w:tcPr>
          <w:p w14:paraId="6D6A8F86" w14:textId="77777777" w:rsidR="004B7D90" w:rsidRPr="00D76668" w:rsidRDefault="004B7D90" w:rsidP="00D76668">
            <w:pPr>
              <w:spacing w:beforeLines="0" w:before="0" w:afterLines="0" w:after="0"/>
              <w:jc w:val="center"/>
              <w:rPr>
                <w:rFonts w:eastAsia="宋体"/>
                <w:sz w:val="18"/>
              </w:rPr>
            </w:pPr>
            <w:r w:rsidRPr="00D76668">
              <w:rPr>
                <w:rFonts w:eastAsia="宋体"/>
                <w:sz w:val="18"/>
              </w:rPr>
              <w:t>9</w:t>
            </w:r>
          </w:p>
        </w:tc>
        <w:tc>
          <w:tcPr>
            <w:tcW w:w="0" w:type="auto"/>
            <w:vAlign w:val="center"/>
            <w:hideMark/>
          </w:tcPr>
          <w:p w14:paraId="2C10E6EB" w14:textId="77777777" w:rsidR="004B7D90" w:rsidRPr="00D76668" w:rsidRDefault="004B7D90" w:rsidP="00D76668">
            <w:pPr>
              <w:spacing w:beforeLines="0" w:before="0" w:afterLines="0" w:after="0"/>
              <w:jc w:val="center"/>
              <w:rPr>
                <w:rFonts w:eastAsia="宋体"/>
                <w:sz w:val="18"/>
              </w:rPr>
            </w:pPr>
            <w:r w:rsidRPr="00D76668">
              <w:rPr>
                <w:rFonts w:eastAsia="宋体"/>
                <w:sz w:val="18"/>
              </w:rPr>
              <w:t>98.52</w:t>
            </w:r>
          </w:p>
        </w:tc>
        <w:tc>
          <w:tcPr>
            <w:tcW w:w="0" w:type="auto"/>
            <w:vAlign w:val="center"/>
            <w:hideMark/>
          </w:tcPr>
          <w:p w14:paraId="1F778AAF"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48100FB9" w14:textId="77777777" w:rsidR="004B7D90" w:rsidRPr="00D76668" w:rsidRDefault="004B7D90" w:rsidP="00D76668">
            <w:pPr>
              <w:spacing w:beforeLines="0" w:before="0" w:afterLines="0" w:after="0"/>
              <w:jc w:val="center"/>
              <w:rPr>
                <w:rFonts w:eastAsia="宋体"/>
                <w:sz w:val="18"/>
              </w:rPr>
            </w:pPr>
            <w:r w:rsidRPr="00D76668">
              <w:rPr>
                <w:rFonts w:eastAsia="宋体"/>
                <w:sz w:val="18"/>
              </w:rPr>
              <w:t>89.76</w:t>
            </w:r>
          </w:p>
        </w:tc>
        <w:tc>
          <w:tcPr>
            <w:tcW w:w="0" w:type="auto"/>
            <w:vAlign w:val="center"/>
            <w:hideMark/>
          </w:tcPr>
          <w:p w14:paraId="2B38163B" w14:textId="743C80C8" w:rsidR="004B7D90" w:rsidRPr="00D76668" w:rsidRDefault="003B394F" w:rsidP="00D76668">
            <w:pPr>
              <w:spacing w:beforeLines="0" w:before="0" w:afterLines="0" w:after="0"/>
              <w:jc w:val="center"/>
              <w:rPr>
                <w:rFonts w:eastAsia="宋体"/>
                <w:sz w:val="18"/>
              </w:rPr>
            </w:pPr>
            <w:r w:rsidRPr="003B394F">
              <w:rPr>
                <w:rFonts w:eastAsia="宋体"/>
                <w:sz w:val="18"/>
              </w:rPr>
              <w:t>0.4546</w:t>
            </w:r>
          </w:p>
        </w:tc>
        <w:tc>
          <w:tcPr>
            <w:tcW w:w="0" w:type="auto"/>
            <w:vAlign w:val="center"/>
            <w:hideMark/>
          </w:tcPr>
          <w:p w14:paraId="21B9B019"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0.4552</w:t>
            </w:r>
          </w:p>
        </w:tc>
        <w:tc>
          <w:tcPr>
            <w:tcW w:w="0" w:type="auto"/>
            <w:vAlign w:val="center"/>
            <w:hideMark/>
          </w:tcPr>
          <w:p w14:paraId="6BA580AD"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0.6462</w:t>
            </w:r>
          </w:p>
        </w:tc>
        <w:tc>
          <w:tcPr>
            <w:tcW w:w="0" w:type="auto"/>
            <w:vAlign w:val="center"/>
            <w:hideMark/>
          </w:tcPr>
          <w:p w14:paraId="474665A2" w14:textId="77777777" w:rsidR="004B7D90" w:rsidRPr="00D76668" w:rsidRDefault="004B7D90" w:rsidP="00D76668">
            <w:pPr>
              <w:spacing w:beforeLines="0" w:before="0" w:afterLines="0" w:after="0"/>
              <w:jc w:val="center"/>
              <w:rPr>
                <w:rFonts w:eastAsia="宋体"/>
                <w:sz w:val="18"/>
              </w:rPr>
            </w:pPr>
            <w:r w:rsidRPr="00D76668">
              <w:rPr>
                <w:rFonts w:eastAsia="宋体"/>
                <w:sz w:val="18"/>
              </w:rPr>
              <w:t>0.56</w:t>
            </w:r>
          </w:p>
        </w:tc>
        <w:tc>
          <w:tcPr>
            <w:tcW w:w="0" w:type="auto"/>
            <w:vAlign w:val="center"/>
            <w:hideMark/>
          </w:tcPr>
          <w:p w14:paraId="72B5CA32"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资源回收分项排序最优</w:t>
            </w:r>
          </w:p>
        </w:tc>
      </w:tr>
      <w:tr w:rsidR="004B7D90" w:rsidRPr="004B7D90" w14:paraId="755C167C" w14:textId="77777777" w:rsidTr="004B7D90">
        <w:trPr>
          <w:tblCellSpacing w:w="15" w:type="dxa"/>
          <w:jc w:val="center"/>
        </w:trPr>
        <w:tc>
          <w:tcPr>
            <w:tcW w:w="0" w:type="auto"/>
            <w:vAlign w:val="center"/>
            <w:hideMark/>
          </w:tcPr>
          <w:p w14:paraId="76F380ED" w14:textId="77777777" w:rsidR="004B7D90" w:rsidRPr="00D76668" w:rsidRDefault="004B7D90" w:rsidP="00D76668">
            <w:pPr>
              <w:spacing w:beforeLines="0" w:before="0" w:afterLines="0" w:after="0"/>
              <w:jc w:val="center"/>
              <w:rPr>
                <w:rFonts w:eastAsia="宋体"/>
                <w:sz w:val="18"/>
              </w:rPr>
            </w:pPr>
            <w:r w:rsidRPr="00D76668">
              <w:rPr>
                <w:rFonts w:eastAsia="宋体"/>
                <w:sz w:val="18"/>
              </w:rPr>
              <w:t>C</w:t>
            </w:r>
          </w:p>
        </w:tc>
        <w:tc>
          <w:tcPr>
            <w:tcW w:w="0" w:type="auto"/>
            <w:vAlign w:val="center"/>
            <w:hideMark/>
          </w:tcPr>
          <w:p w14:paraId="76A60785" w14:textId="77777777" w:rsidR="004B7D90" w:rsidRPr="00D76668" w:rsidRDefault="004B7D90" w:rsidP="00D76668">
            <w:pPr>
              <w:spacing w:beforeLines="0" w:before="0" w:afterLines="0" w:after="0"/>
              <w:jc w:val="center"/>
              <w:rPr>
                <w:rFonts w:eastAsia="宋体"/>
                <w:sz w:val="18"/>
              </w:rPr>
            </w:pPr>
            <w:r w:rsidRPr="00D76668">
              <w:rPr>
                <w:rFonts w:eastAsia="宋体"/>
                <w:sz w:val="18"/>
              </w:rPr>
              <w:t>联合判据下低扰动候选</w:t>
            </w:r>
          </w:p>
        </w:tc>
        <w:tc>
          <w:tcPr>
            <w:tcW w:w="0" w:type="auto"/>
            <w:vAlign w:val="center"/>
            <w:hideMark/>
          </w:tcPr>
          <w:p w14:paraId="5A7B6A3B" w14:textId="77777777" w:rsidR="004B7D90" w:rsidRPr="00D76668" w:rsidRDefault="004B7D90" w:rsidP="00D76668">
            <w:pPr>
              <w:spacing w:beforeLines="0" w:before="0" w:afterLines="0" w:after="0"/>
              <w:jc w:val="center"/>
              <w:rPr>
                <w:rFonts w:eastAsia="宋体"/>
                <w:sz w:val="18"/>
              </w:rPr>
            </w:pPr>
            <w:r w:rsidRPr="00D76668">
              <w:rPr>
                <w:rFonts w:eastAsia="宋体"/>
                <w:sz w:val="18"/>
              </w:rPr>
              <w:t>4</w:t>
            </w:r>
          </w:p>
        </w:tc>
        <w:tc>
          <w:tcPr>
            <w:tcW w:w="0" w:type="auto"/>
            <w:vAlign w:val="center"/>
            <w:hideMark/>
          </w:tcPr>
          <w:p w14:paraId="4BA74F72" w14:textId="77777777" w:rsidR="004B7D90" w:rsidRPr="00D76668" w:rsidRDefault="004B7D90" w:rsidP="00D76668">
            <w:pPr>
              <w:spacing w:beforeLines="0" w:before="0" w:afterLines="0" w:after="0"/>
              <w:jc w:val="center"/>
              <w:rPr>
                <w:rFonts w:eastAsia="宋体"/>
                <w:sz w:val="18"/>
              </w:rPr>
            </w:pPr>
            <w:r w:rsidRPr="00D76668">
              <w:rPr>
                <w:rFonts w:eastAsia="宋体"/>
                <w:sz w:val="18"/>
              </w:rPr>
              <w:t>80.67</w:t>
            </w:r>
          </w:p>
        </w:tc>
        <w:tc>
          <w:tcPr>
            <w:tcW w:w="0" w:type="auto"/>
            <w:vAlign w:val="center"/>
            <w:hideMark/>
          </w:tcPr>
          <w:p w14:paraId="6C9FA579"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439C03B9"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5347B848"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0.4449</w:t>
            </w:r>
          </w:p>
        </w:tc>
        <w:tc>
          <w:tcPr>
            <w:tcW w:w="0" w:type="auto"/>
            <w:vAlign w:val="center"/>
            <w:hideMark/>
          </w:tcPr>
          <w:p w14:paraId="01758777"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0.4416</w:t>
            </w:r>
          </w:p>
        </w:tc>
        <w:tc>
          <w:tcPr>
            <w:tcW w:w="0" w:type="auto"/>
            <w:vAlign w:val="center"/>
            <w:hideMark/>
          </w:tcPr>
          <w:p w14:paraId="14DA8386"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0.6353</w:t>
            </w:r>
          </w:p>
        </w:tc>
        <w:tc>
          <w:tcPr>
            <w:tcW w:w="0" w:type="auto"/>
            <w:vAlign w:val="center"/>
            <w:hideMark/>
          </w:tcPr>
          <w:p w14:paraId="1DF4745D" w14:textId="77777777" w:rsidR="004B7D90" w:rsidRPr="00D76668" w:rsidRDefault="004B7D90" w:rsidP="00D76668">
            <w:pPr>
              <w:spacing w:beforeLines="0" w:before="0" w:afterLines="0" w:after="0"/>
              <w:jc w:val="center"/>
              <w:rPr>
                <w:rFonts w:eastAsia="宋体"/>
                <w:sz w:val="18"/>
              </w:rPr>
            </w:pPr>
            <w:r w:rsidRPr="00D76668">
              <w:rPr>
                <w:rFonts w:eastAsia="宋体"/>
                <w:sz w:val="18"/>
              </w:rPr>
              <w:t>1.22</w:t>
            </w:r>
          </w:p>
        </w:tc>
        <w:tc>
          <w:tcPr>
            <w:tcW w:w="0" w:type="auto"/>
            <w:vAlign w:val="center"/>
            <w:hideMark/>
          </w:tcPr>
          <w:p w14:paraId="4620DA1B"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均值、</w:t>
            </w:r>
            <w:r w:rsidRPr="00D76668">
              <w:rPr>
                <w:rFonts w:eastAsia="宋体"/>
                <w:sz w:val="18"/>
              </w:rPr>
              <w:t>P90</w:t>
            </w:r>
            <w:r w:rsidRPr="00D76668">
              <w:rPr>
                <w:rFonts w:eastAsia="宋体"/>
                <w:sz w:val="18"/>
              </w:rPr>
              <w:t>和风险综合得分联合判定</w:t>
            </w:r>
          </w:p>
        </w:tc>
      </w:tr>
    </w:tbl>
    <w:p w14:paraId="28DAC752" w14:textId="536417D2"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r w:rsidRPr="004B7D90">
        <w:t>注：</w:t>
      </w:r>
      <w:r w:rsidRPr="004B7D90">
        <w:t>“—”</w:t>
      </w:r>
      <w:r w:rsidRPr="004B7D90">
        <w:t>表示该指标未作为对应偏好模式的主排序指标；风险综合得分越低，表示方案扰动风险越低。</w:t>
      </w:r>
    </w:p>
    <w:p w14:paraId="28E11BFF" w14:textId="075E1D70" w:rsidR="004C1CA5" w:rsidRPr="004C1CA5" w:rsidRDefault="004C1CA5" w:rsidP="004C1CA5">
      <w:pPr>
        <w:pStyle w:val="100"/>
        <w:ind w:firstLine="420"/>
      </w:pPr>
      <w:r w:rsidRPr="004C1CA5">
        <w:t>由表</w:t>
      </w:r>
      <w:r w:rsidR="00495807">
        <w:rPr>
          <w:rFonts w:hint="eastAsia"/>
        </w:rPr>
        <w:t>4</w:t>
      </w:r>
      <w:r w:rsidRPr="004C1CA5">
        <w:t>可知，工程效率优先方案</w:t>
      </w:r>
      <w:r w:rsidRPr="004C1CA5">
        <w:t>A</w:t>
      </w:r>
      <w:r w:rsidRPr="004C1CA5">
        <w:t>布置</w:t>
      </w:r>
      <w:r w:rsidRPr="004C1CA5">
        <w:t>5</w:t>
      </w:r>
      <w:r w:rsidRPr="004C1CA5">
        <w:t>个工作面，覆盖率为</w:t>
      </w:r>
      <w:r w:rsidRPr="004C1CA5">
        <w:t>89.34%</w:t>
      </w:r>
      <w:r w:rsidRPr="004C1CA5">
        <w:t>，工程效率评分为</w:t>
      </w:r>
      <w:r w:rsidRPr="004C1CA5">
        <w:t>87.82</w:t>
      </w:r>
      <w:r w:rsidRPr="004C1CA5">
        <w:t>。该方案工作面数量适中，覆盖率较高，说明其在工作面组织、推进长度协调和布局规整性方面表现较好，适用于采掘接续和生产组织要求较突出的规划情形。</w:t>
      </w:r>
    </w:p>
    <w:p w14:paraId="5EFBD1B0" w14:textId="77777777" w:rsidR="004C1CA5" w:rsidRPr="004C1CA5" w:rsidRDefault="004C1CA5" w:rsidP="004C1CA5">
      <w:pPr>
        <w:pStyle w:val="100"/>
        <w:ind w:firstLine="420"/>
      </w:pPr>
      <w:r w:rsidRPr="004C1CA5">
        <w:t>资源回收优先方案</w:t>
      </w:r>
      <w:r w:rsidRPr="004C1CA5">
        <w:t>B</w:t>
      </w:r>
      <w:r w:rsidRPr="004C1CA5">
        <w:t>布置</w:t>
      </w:r>
      <w:r w:rsidRPr="004C1CA5">
        <w:t>9</w:t>
      </w:r>
      <w:r w:rsidRPr="004C1CA5">
        <w:t>个工作面，覆盖率达到</w:t>
      </w:r>
      <w:r w:rsidRPr="004C1CA5">
        <w:t>98.52%</w:t>
      </w:r>
      <w:r w:rsidRPr="004C1CA5">
        <w:t>，资源回收评分为</w:t>
      </w:r>
      <w:r w:rsidRPr="004C1CA5">
        <w:t>89.76</w:t>
      </w:r>
      <w:r w:rsidRPr="004C1CA5">
        <w:t>，是</w:t>
      </w:r>
      <w:r w:rsidRPr="004C1CA5">
        <w:t>3</w:t>
      </w:r>
      <w:r w:rsidRPr="004C1CA5">
        <w:t>个代表方案中覆盖率最高的方案。该方案能够更充</w:t>
      </w:r>
      <w:r w:rsidRPr="004C1CA5">
        <w:t>分地利用可布置区域，但工作面数量较多，空间覆盖范围较大，可能增加巷道组织、工作面接续和局部扰动控制压力。因此，</w:t>
      </w:r>
      <w:r w:rsidRPr="004C1CA5">
        <w:t>B</w:t>
      </w:r>
      <w:r w:rsidRPr="004C1CA5">
        <w:t>方案更适合资源回收要求突出、且现场生产组织能力能够满足相应布置条件的情形。</w:t>
      </w:r>
    </w:p>
    <w:p w14:paraId="7DA834C9" w14:textId="77777777" w:rsidR="004C1CA5" w:rsidRPr="004C1CA5" w:rsidRDefault="004C1CA5" w:rsidP="004C1CA5">
      <w:pPr>
        <w:pStyle w:val="100"/>
        <w:ind w:firstLine="420"/>
      </w:pPr>
      <w:r w:rsidRPr="004C1CA5">
        <w:t>低扰动候选方案</w:t>
      </w:r>
      <w:r w:rsidRPr="004C1CA5">
        <w:t>C</w:t>
      </w:r>
      <w:r w:rsidRPr="004C1CA5">
        <w:t>布置</w:t>
      </w:r>
      <w:r w:rsidRPr="004C1CA5">
        <w:t>4</w:t>
      </w:r>
      <w:r w:rsidRPr="004C1CA5">
        <w:t>个工作面，覆盖率为</w:t>
      </w:r>
      <w:r w:rsidRPr="004C1CA5">
        <w:t>80.67%</w:t>
      </w:r>
      <w:r w:rsidRPr="004C1CA5">
        <w:t>，低于</w:t>
      </w:r>
      <w:r w:rsidRPr="004C1CA5">
        <w:t>A</w:t>
      </w:r>
      <w:r w:rsidRPr="004C1CA5">
        <w:t>、</w:t>
      </w:r>
      <w:r w:rsidRPr="004C1CA5">
        <w:t>B</w:t>
      </w:r>
      <w:r w:rsidRPr="004C1CA5">
        <w:t>方案，但其</w:t>
      </w:r>
      <w:r w:rsidRPr="004C1CA5">
        <w:t>ODI</w:t>
      </w:r>
      <w:r w:rsidRPr="004C1CA5">
        <w:t>均值为</w:t>
      </w:r>
      <w:r w:rsidRPr="004C1CA5">
        <w:t>0.4416</w:t>
      </w:r>
      <w:r w:rsidRPr="004C1CA5">
        <w:t>，</w:t>
      </w:r>
      <w:r w:rsidRPr="004C1CA5">
        <w:t>P90</w:t>
      </w:r>
      <w:r w:rsidRPr="004C1CA5">
        <w:t>为</w:t>
      </w:r>
      <w:r w:rsidRPr="004C1CA5">
        <w:t>0.6353</w:t>
      </w:r>
      <w:r w:rsidRPr="004C1CA5">
        <w:t>，扰动风险综合得分为</w:t>
      </w:r>
      <w:r w:rsidRPr="004C1CA5">
        <w:t>0.4449</w:t>
      </w:r>
      <w:r w:rsidRPr="004C1CA5">
        <w:t>，均表现出较低扰动特征。该结果说明，</w:t>
      </w:r>
      <w:r w:rsidRPr="004C1CA5">
        <w:t>C</w:t>
      </w:r>
      <w:r w:rsidRPr="004C1CA5">
        <w:t>方案通</w:t>
      </w:r>
      <w:r w:rsidRPr="004C1CA5">
        <w:lastRenderedPageBreak/>
        <w:t>过减少与中高扰动区域的整体接触，降低了方案覆盖范围内的平均扰动水平和局部高值扰动影响，更适合扰动控制要求较高的规划情形。</w:t>
      </w:r>
    </w:p>
    <w:p w14:paraId="38FDF9C8" w14:textId="77777777" w:rsidR="004C1CA5" w:rsidRPr="004C1CA5" w:rsidRDefault="004C1CA5" w:rsidP="004C1CA5">
      <w:pPr>
        <w:pStyle w:val="100"/>
        <w:ind w:firstLine="420"/>
      </w:pPr>
      <w:r w:rsidRPr="004C1CA5">
        <w:t>需要注意的是，</w:t>
      </w:r>
      <w:r w:rsidRPr="004C1CA5">
        <w:t>C</w:t>
      </w:r>
      <w:r w:rsidRPr="004C1CA5">
        <w:t>方案在</w:t>
      </w:r>
      <w:r w:rsidRPr="004C1CA5">
        <w:t>ODI</w:t>
      </w:r>
      <w:r w:rsidRPr="004C1CA5">
        <w:t>＞</w:t>
      </w:r>
      <w:r w:rsidRPr="004C1CA5">
        <w:t>0.70</w:t>
      </w:r>
      <w:r w:rsidRPr="004C1CA5">
        <w:t>阈值下的超阈值比例为</w:t>
      </w:r>
      <w:r w:rsidRPr="004C1CA5">
        <w:t>1.22%</w:t>
      </w:r>
      <w:r w:rsidRPr="004C1CA5">
        <w:t>，高于</w:t>
      </w:r>
      <w:r w:rsidRPr="004C1CA5">
        <w:t>A</w:t>
      </w:r>
      <w:r w:rsidRPr="004C1CA5">
        <w:t>方案的</w:t>
      </w:r>
      <w:r w:rsidRPr="004C1CA5">
        <w:t>0.44%</w:t>
      </w:r>
      <w:r w:rsidRPr="004C1CA5">
        <w:t>和</w:t>
      </w:r>
      <w:r w:rsidRPr="004C1CA5">
        <w:t>B</w:t>
      </w:r>
      <w:r w:rsidRPr="004C1CA5">
        <w:t>方案的</w:t>
      </w:r>
      <w:r w:rsidRPr="004C1CA5">
        <w:t>0.56%</w:t>
      </w:r>
      <w:r w:rsidRPr="004C1CA5">
        <w:t>。这一结果并不说明</w:t>
      </w:r>
      <w:r w:rsidRPr="004C1CA5">
        <w:t>C</w:t>
      </w:r>
      <w:r w:rsidRPr="004C1CA5">
        <w:t>方案整体扰动风险更高，而是反映出超阈值比例对阈值选取和局部高值栅格较敏感。</w:t>
      </w:r>
      <w:r w:rsidRPr="004C1CA5">
        <w:t>C</w:t>
      </w:r>
      <w:r w:rsidRPr="004C1CA5">
        <w:t>方案覆盖范围较小，整体上避开了连续中高扰动区域，因此</w:t>
      </w:r>
      <w:r w:rsidRPr="004C1CA5">
        <w:t>ODI</w:t>
      </w:r>
      <w:r w:rsidRPr="004C1CA5">
        <w:t>均值</w:t>
      </w:r>
      <w:r w:rsidRPr="004C1CA5">
        <w:t>和</w:t>
      </w:r>
      <w:r w:rsidRPr="004C1CA5">
        <w:t>P90</w:t>
      </w:r>
      <w:r w:rsidRPr="004C1CA5">
        <w:t>最低；但其局部仍覆盖少量</w:t>
      </w:r>
      <w:r w:rsidRPr="004C1CA5">
        <w:t>ODI</w:t>
      </w:r>
      <w:r w:rsidRPr="004C1CA5">
        <w:t>略高于</w:t>
      </w:r>
      <w:r w:rsidRPr="004C1CA5">
        <w:t>0.70</w:t>
      </w:r>
      <w:r w:rsidRPr="004C1CA5">
        <w:t>的栅格，导致</w:t>
      </w:r>
      <w:r w:rsidRPr="004C1CA5">
        <w:t>0.70</w:t>
      </w:r>
      <w:r w:rsidRPr="004C1CA5">
        <w:t>阈值下超阈值比例并非最低。因此，低扰动方案不宜只依据某一固定阈值下的超阈值比例确定，还应结合</w:t>
      </w:r>
      <w:r w:rsidRPr="004C1CA5">
        <w:t>ODI</w:t>
      </w:r>
      <w:r w:rsidRPr="004C1CA5">
        <w:t>均值、</w:t>
      </w:r>
      <w:r w:rsidRPr="004C1CA5">
        <w:t>P90</w:t>
      </w:r>
      <w:r w:rsidRPr="004C1CA5">
        <w:t>和扰动风险综合得分共同判断。</w:t>
      </w:r>
    </w:p>
    <w:p w14:paraId="026443C1" w14:textId="5007B194" w:rsidR="004C1CA5" w:rsidRPr="004C1CA5" w:rsidRDefault="004C1CA5" w:rsidP="004C1CA5">
      <w:pPr>
        <w:pStyle w:val="100"/>
        <w:ind w:firstLine="420"/>
      </w:pPr>
      <w:r w:rsidRPr="004C1CA5">
        <w:t>为进一步分析三类方案扰动差异的空间原因，将</w:t>
      </w:r>
      <w:r w:rsidRPr="004C1CA5">
        <w:t>A</w:t>
      </w:r>
      <w:r w:rsidRPr="004C1CA5">
        <w:t>、</w:t>
      </w:r>
      <w:r w:rsidRPr="004C1CA5">
        <w:t>B</w:t>
      </w:r>
      <w:r w:rsidRPr="004C1CA5">
        <w:t>、</w:t>
      </w:r>
      <w:r w:rsidRPr="004C1CA5">
        <w:t>C</w:t>
      </w:r>
      <w:r w:rsidRPr="004C1CA5">
        <w:t>方案工作面布局与中高扰动区域进行叠置分析，结果如</w:t>
      </w:r>
      <w:r w:rsidR="001E1EA5">
        <w:fldChar w:fldCharType="begin"/>
      </w:r>
      <w:r w:rsidR="001E1EA5">
        <w:instrText xml:space="preserve"> REF _Ref227925957 \h </w:instrText>
      </w:r>
      <w:r w:rsidR="001E1EA5">
        <w:fldChar w:fldCharType="separate"/>
      </w:r>
      <w:r w:rsidR="001E1EA5">
        <w:rPr>
          <w:rFonts w:hint="eastAsia"/>
        </w:rPr>
        <w:t>图</w:t>
      </w:r>
      <w:r w:rsidR="001E1EA5">
        <w:rPr>
          <w:noProof/>
        </w:rPr>
        <w:t>11</w:t>
      </w:r>
      <w:r w:rsidR="001E1EA5">
        <w:fldChar w:fldCharType="end"/>
      </w:r>
      <w:r w:rsidRPr="004C1CA5">
        <w:t>所示。</w:t>
      </w:r>
    </w:p>
    <w:p w14:paraId="21A05F4C" w14:textId="77777777" w:rsidR="004B7D90" w:rsidRDefault="004B7D90" w:rsidP="004B7D90">
      <w:pPr>
        <w:pStyle w:val="aff"/>
        <w:sectPr w:rsidR="004B7D90" w:rsidSect="00A07DBF">
          <w:type w:val="continuous"/>
          <w:pgSz w:w="11906" w:h="16838"/>
          <w:pgMar w:top="1418" w:right="1134" w:bottom="1134" w:left="1134" w:header="720" w:footer="720" w:gutter="0"/>
          <w:cols w:num="2" w:space="720"/>
          <w:docGrid w:linePitch="598"/>
        </w:sectPr>
      </w:pPr>
    </w:p>
    <w:p w14:paraId="5D0C3AB0" w14:textId="77777777" w:rsidR="004B7D90" w:rsidRDefault="004B7D90" w:rsidP="004B7D90">
      <w:pPr>
        <w:pStyle w:val="aff"/>
      </w:pPr>
      <w:r>
        <w:rPr>
          <w:noProof/>
        </w:rPr>
        <w:drawing>
          <wp:inline distT="0" distB="0" distL="0" distR="0" wp14:anchorId="0C749FC0" wp14:editId="33A4B578">
            <wp:extent cx="6268408" cy="1432560"/>
            <wp:effectExtent l="0" t="0" r="0" b="0"/>
            <wp:docPr id="11497558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247" cstate="print">
                      <a:extLst>
                        <a:ext uri="{28A0092B-C50C-407E-A947-70E740481C1C}">
                          <a14:useLocalDpi xmlns:a14="http://schemas.microsoft.com/office/drawing/2010/main" val="0"/>
                        </a:ext>
                      </a:extLst>
                    </a:blip>
                    <a:srcRect b="37097"/>
                    <a:stretch>
                      <a:fillRect/>
                    </a:stretch>
                  </pic:blipFill>
                  <pic:spPr bwMode="auto">
                    <a:xfrm>
                      <a:off x="0" y="0"/>
                      <a:ext cx="6281732" cy="1435605"/>
                    </a:xfrm>
                    <a:prstGeom prst="rect">
                      <a:avLst/>
                    </a:prstGeom>
                    <a:noFill/>
                    <a:ln>
                      <a:noFill/>
                    </a:ln>
                    <a:extLst>
                      <a:ext uri="{53640926-AAD7-44D8-BBD7-CCE9431645EC}">
                        <a14:shadowObscured xmlns:a14="http://schemas.microsoft.com/office/drawing/2010/main"/>
                      </a:ext>
                    </a:extLst>
                  </pic:spPr>
                </pic:pic>
              </a:graphicData>
            </a:graphic>
          </wp:inline>
        </w:drawing>
      </w:r>
    </w:p>
    <w:p w14:paraId="39346ADF" w14:textId="20CD6E0D" w:rsidR="004B7D90" w:rsidRDefault="004B7D90" w:rsidP="008419FD">
      <w:pPr>
        <w:pStyle w:val="14"/>
      </w:pPr>
      <w:bookmarkStart w:id="12" w:name="_Ref22792595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11</w:t>
      </w:r>
      <w:r>
        <w:fldChar w:fldCharType="end"/>
      </w:r>
      <w:bookmarkEnd w:id="12"/>
      <w:r>
        <w:rPr>
          <w:rFonts w:hint="eastAsia"/>
        </w:rPr>
        <w:t xml:space="preserve"> </w:t>
      </w:r>
      <w:r w:rsidR="003B394F" w:rsidRPr="003B394F">
        <w:t>A</w:t>
      </w:r>
      <w:r w:rsidR="003B394F" w:rsidRPr="003B394F">
        <w:t>、</w:t>
      </w:r>
      <w:r w:rsidR="003B394F" w:rsidRPr="003B394F">
        <w:t>B</w:t>
      </w:r>
      <w:r w:rsidR="003B394F" w:rsidRPr="003B394F">
        <w:t>、</w:t>
      </w:r>
      <w:r w:rsidR="003B394F" w:rsidRPr="003B394F">
        <w:t>C</w:t>
      </w:r>
      <w:r w:rsidR="003B394F" w:rsidRPr="003B394F">
        <w:t>方案与中高扰动区域叠置对比</w:t>
      </w:r>
    </w:p>
    <w:p w14:paraId="35D61724" w14:textId="19658DD2" w:rsidR="004B7D90" w:rsidRPr="004B7D90" w:rsidRDefault="004B7D90" w:rsidP="008419FD">
      <w:pPr>
        <w:pStyle w:val="14"/>
        <w:rPr>
          <w:sz w:val="21"/>
        </w:rPr>
      </w:pPr>
      <w:r w:rsidRPr="009717C8">
        <w:t>Fig.</w:t>
      </w:r>
      <w:r w:rsidR="00A96B1F">
        <w:rPr>
          <w:rFonts w:hint="eastAsia"/>
        </w:rPr>
        <w:t>1</w:t>
      </w:r>
      <w:r w:rsidR="001E1EA5">
        <w:rPr>
          <w:rFonts w:hint="eastAsia"/>
        </w:rPr>
        <w:t>1</w:t>
      </w:r>
      <w:r w:rsidRPr="009717C8">
        <w:t xml:space="preserve"> </w:t>
      </w:r>
      <w:r w:rsidR="003B394F" w:rsidRPr="003B394F">
        <w:t>11 Overlay comparison of schemes A, B and C with medium-to-high disturbance zones</w:t>
      </w:r>
    </w:p>
    <w:p w14:paraId="2074B68F"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73D61BB3" w14:textId="352A4BD5" w:rsidR="004C1CA5" w:rsidRPr="004C1CA5" w:rsidRDefault="004C1CA5" w:rsidP="004C1CA5">
      <w:pPr>
        <w:pStyle w:val="100"/>
        <w:ind w:firstLine="420"/>
      </w:pPr>
      <w:r w:rsidRPr="004C1CA5">
        <w:t>由</w:t>
      </w:r>
      <w:r w:rsidR="001E1EA5">
        <w:fldChar w:fldCharType="begin"/>
      </w:r>
      <w:r w:rsidR="001E1EA5">
        <w:instrText xml:space="preserve"> REF _Ref227925957 \h </w:instrText>
      </w:r>
      <w:r w:rsidR="001E1EA5">
        <w:fldChar w:fldCharType="separate"/>
      </w:r>
      <w:r w:rsidR="001E1EA5">
        <w:rPr>
          <w:rFonts w:hint="eastAsia"/>
        </w:rPr>
        <w:t>图</w:t>
      </w:r>
      <w:r w:rsidR="001E1EA5">
        <w:rPr>
          <w:noProof/>
        </w:rPr>
        <w:t>11</w:t>
      </w:r>
      <w:r w:rsidR="001E1EA5">
        <w:fldChar w:fldCharType="end"/>
      </w:r>
      <w:r w:rsidRPr="004C1CA5">
        <w:t>可见，</w:t>
      </w:r>
      <w:r w:rsidRPr="004C1CA5">
        <w:t>A</w:t>
      </w:r>
      <w:r w:rsidRPr="004C1CA5">
        <w:t>方案布局较为规整，工作面数量适中，整体上兼顾了生产组织和扰动控制；</w:t>
      </w:r>
      <w:r w:rsidRPr="004C1CA5">
        <w:t>B</w:t>
      </w:r>
      <w:r w:rsidRPr="004C1CA5">
        <w:t>方案覆盖范围最大，更多区域被纳入工作面布置，资源利用程度较高，但其布置范围与中高扰动区域接触相对较多；</w:t>
      </w:r>
      <w:r w:rsidRPr="004C1CA5">
        <w:t>C</w:t>
      </w:r>
      <w:r w:rsidRPr="004C1CA5">
        <w:t>方案工作面数量较少，布置范围相对收缩，更倾向于避让中高扰动区域，因此</w:t>
      </w:r>
      <w:r w:rsidRPr="004C1CA5">
        <w:t>ODI</w:t>
      </w:r>
      <w:r w:rsidRPr="004C1CA5">
        <w:t>均值和</w:t>
      </w:r>
      <w:r w:rsidRPr="004C1CA5">
        <w:t>P90</w:t>
      </w:r>
      <w:r w:rsidRPr="004C1CA5">
        <w:t>较低。</w:t>
      </w:r>
    </w:p>
    <w:p w14:paraId="77F19C62" w14:textId="77777777" w:rsidR="004C1CA5" w:rsidRPr="004C1CA5" w:rsidRDefault="004C1CA5" w:rsidP="004C1CA5">
      <w:pPr>
        <w:pStyle w:val="100"/>
        <w:ind w:firstLine="420"/>
      </w:pPr>
      <w:r w:rsidRPr="004C1CA5">
        <w:t>若采用传统</w:t>
      </w:r>
      <w:r w:rsidRPr="004C1CA5">
        <w:t>“</w:t>
      </w:r>
      <w:r w:rsidRPr="004C1CA5">
        <w:t>先布置、后校核</w:t>
      </w:r>
      <w:r w:rsidRPr="004C1CA5">
        <w:t>”</w:t>
      </w:r>
      <w:r w:rsidRPr="004C1CA5">
        <w:t>的规划方式，方案选择往往优先考虑边界形态、覆盖率、工作面规整性和采掘接续便利性，高覆盖方案容易占用可布置区域内的连续空间，但可能忽略局部扰动较强区域。以</w:t>
      </w:r>
      <w:r w:rsidRPr="004C1CA5">
        <w:t>B</w:t>
      </w:r>
      <w:r w:rsidRPr="004C1CA5">
        <w:t>方案为例，其覆盖率达到</w:t>
      </w:r>
      <w:r w:rsidRPr="004C1CA5">
        <w:t>98.52%</w:t>
      </w:r>
      <w:r w:rsidRPr="004C1CA5">
        <w:t>，能够较充分地利用资源，但也更容易与中高</w:t>
      </w:r>
      <w:r w:rsidRPr="004C1CA5">
        <w:t>ODI</w:t>
      </w:r>
      <w:r w:rsidRPr="004C1CA5">
        <w:t>区域发生叠置，后续可能增加沉陷控制、含水层保护或上行开采安全复核压力。相比之下，引入</w:t>
      </w:r>
      <w:r w:rsidRPr="004C1CA5">
        <w:t>ODI</w:t>
      </w:r>
      <w:r w:rsidRPr="004C1CA5">
        <w:t>后，方案评价不再只看覆盖率和几何规整性，而是能够把工作面与扰动较强区域的关系转化为量化指标，从而提前发现需要避让或复核的位置。</w:t>
      </w:r>
    </w:p>
    <w:p w14:paraId="0B094D45" w14:textId="4AE45E59" w:rsidR="004C1CA5" w:rsidRPr="004C1CA5" w:rsidRDefault="004C1CA5" w:rsidP="004C1CA5">
      <w:pPr>
        <w:pStyle w:val="100"/>
        <w:ind w:firstLine="420"/>
      </w:pPr>
      <w:r w:rsidRPr="004C1CA5">
        <w:t>综合</w:t>
      </w:r>
      <w:r w:rsidR="003B394F">
        <w:fldChar w:fldCharType="begin"/>
      </w:r>
      <w:r w:rsidR="003B394F">
        <w:instrText xml:space="preserve"> REF _Ref227925930 \h </w:instrText>
      </w:r>
      <w:r w:rsidR="003B394F">
        <w:fldChar w:fldCharType="separate"/>
      </w:r>
      <w:r w:rsidR="003B394F">
        <w:rPr>
          <w:rFonts w:hint="eastAsia"/>
        </w:rPr>
        <w:t>图</w:t>
      </w:r>
      <w:r w:rsidR="003B394F">
        <w:rPr>
          <w:noProof/>
        </w:rPr>
        <w:t>10</w:t>
      </w:r>
      <w:r w:rsidR="003B394F">
        <w:fldChar w:fldCharType="end"/>
      </w:r>
      <w:r w:rsidRPr="004C1CA5">
        <w:t>、</w:t>
      </w:r>
      <w:r w:rsidR="003B394F">
        <w:fldChar w:fldCharType="begin"/>
      </w:r>
      <w:r w:rsidR="003B394F">
        <w:instrText xml:space="preserve"> REF _Ref228479628 \h </w:instrText>
      </w:r>
      <w:r w:rsidR="003B394F">
        <w:fldChar w:fldCharType="separate"/>
      </w:r>
      <w:r w:rsidR="003B394F">
        <w:rPr>
          <w:rFonts w:hint="eastAsia"/>
        </w:rPr>
        <w:t>表</w:t>
      </w:r>
      <w:r w:rsidR="003B394F">
        <w:rPr>
          <w:noProof/>
        </w:rPr>
        <w:t>4</w:t>
      </w:r>
      <w:r w:rsidR="003B394F">
        <w:fldChar w:fldCharType="end"/>
      </w:r>
      <w:r w:rsidRPr="004C1CA5">
        <w:t>和</w:t>
      </w:r>
      <w:r w:rsidR="003B394F">
        <w:fldChar w:fldCharType="begin"/>
      </w:r>
      <w:r w:rsidR="003B394F">
        <w:instrText xml:space="preserve"> REF _Ref227925957 \h </w:instrText>
      </w:r>
      <w:r w:rsidR="003B394F">
        <w:fldChar w:fldCharType="separate"/>
      </w:r>
      <w:r w:rsidR="003B394F">
        <w:rPr>
          <w:rFonts w:hint="eastAsia"/>
        </w:rPr>
        <w:t>图</w:t>
      </w:r>
      <w:r w:rsidR="003B394F">
        <w:rPr>
          <w:noProof/>
        </w:rPr>
        <w:t>11</w:t>
      </w:r>
      <w:r w:rsidR="003B394F">
        <w:fldChar w:fldCharType="end"/>
      </w:r>
      <w:r w:rsidRPr="004C1CA5">
        <w:t>可以看出，</w:t>
      </w:r>
      <w:r w:rsidRPr="004C1CA5">
        <w:t>A</w:t>
      </w:r>
      <w:r w:rsidRPr="004C1CA5">
        <w:t>、</w:t>
      </w:r>
      <w:r w:rsidRPr="004C1CA5">
        <w:t>B</w:t>
      </w:r>
      <w:r w:rsidRPr="004C1CA5">
        <w:t>、</w:t>
      </w:r>
      <w:r w:rsidRPr="004C1CA5">
        <w:t>C</w:t>
      </w:r>
      <w:r w:rsidRPr="004C1CA5">
        <w:t>方案分别代表了工程效率、资源回收和扰动控制</w:t>
      </w:r>
      <w:r w:rsidRPr="004C1CA5">
        <w:t>3</w:t>
      </w:r>
      <w:r w:rsidRPr="004C1CA5">
        <w:t>种规划偏好。</w:t>
      </w:r>
      <w:r w:rsidRPr="004C1CA5">
        <w:t>B</w:t>
      </w:r>
      <w:r w:rsidRPr="004C1CA5">
        <w:t>方案在覆盖率方面优势明显，但扰动水平相对较高；</w:t>
      </w:r>
      <w:r w:rsidRPr="004C1CA5">
        <w:t>C</w:t>
      </w:r>
      <w:r w:rsidRPr="004C1CA5">
        <w:t>方案牺牲了一定覆盖率，但降低了整体扰动水平和局部高值扰动影响；</w:t>
      </w:r>
      <w:r w:rsidRPr="004C1CA5">
        <w:t>A</w:t>
      </w:r>
      <w:r w:rsidRPr="004C1CA5">
        <w:t>方案则在覆盖率、工作面数量和扰动控制之间保持相对均衡。对于实际采区规划而言，并不存在同时兼顾最高覆盖率和最低扰动风险的单一最优方案，需要结合生产接续、资源回收要求和安全</w:t>
      </w:r>
      <w:r w:rsidRPr="004C1CA5">
        <w:t>控制目标进行综合取舍。</w:t>
      </w:r>
    </w:p>
    <w:p w14:paraId="5DD07483" w14:textId="77777777" w:rsidR="004B7D90" w:rsidRPr="004B7D90" w:rsidRDefault="004B7D90" w:rsidP="00DF00E8">
      <w:pPr>
        <w:pStyle w:val="12"/>
      </w:pPr>
      <w:r w:rsidRPr="004B7D90">
        <w:t xml:space="preserve">4.4 </w:t>
      </w:r>
      <w:r w:rsidRPr="004B7D90">
        <w:t>阈值与权重敏感性分析</w:t>
      </w:r>
    </w:p>
    <w:p w14:paraId="44125921" w14:textId="77777777" w:rsidR="004C1CA5" w:rsidRPr="004C1CA5" w:rsidRDefault="004C1CA5" w:rsidP="004C1CA5">
      <w:pPr>
        <w:pStyle w:val="100"/>
        <w:ind w:firstLine="420"/>
      </w:pPr>
      <w:r w:rsidRPr="004C1CA5">
        <w:t>为检验</w:t>
      </w:r>
      <w:r w:rsidRPr="004C1CA5">
        <w:t>ODI</w:t>
      </w:r>
      <w:r w:rsidRPr="004C1CA5">
        <w:t>统计阈值和扰动分量权重对方案判断结果的影响，进一步对</w:t>
      </w:r>
      <w:r w:rsidRPr="004C1CA5">
        <w:t>A</w:t>
      </w:r>
      <w:r w:rsidRPr="004C1CA5">
        <w:t>、</w:t>
      </w:r>
      <w:r w:rsidRPr="004C1CA5">
        <w:t>B</w:t>
      </w:r>
      <w:r w:rsidRPr="004C1CA5">
        <w:t>、</w:t>
      </w:r>
      <w:r w:rsidRPr="004C1CA5">
        <w:t>C</w:t>
      </w:r>
      <w:r w:rsidRPr="004C1CA5">
        <w:t>方案开展敏感性分析。需要说明的是，本节选取的</w:t>
      </w:r>
      <w:r w:rsidRPr="004C1CA5">
        <w:t>ODI</w:t>
      </w:r>
      <w:r w:rsidRPr="004C1CA5">
        <w:t>阈值</w:t>
      </w:r>
      <w:r w:rsidRPr="004C1CA5">
        <w:t>0.65</w:t>
      </w:r>
      <w:r w:rsidRPr="004C1CA5">
        <w:t>、</w:t>
      </w:r>
      <w:r w:rsidRPr="004C1CA5">
        <w:t>0.70</w:t>
      </w:r>
      <w:r w:rsidRPr="004C1CA5">
        <w:t>、</w:t>
      </w:r>
      <w:r w:rsidRPr="004C1CA5">
        <w:t>0.75</w:t>
      </w:r>
      <w:r w:rsidRPr="004C1CA5">
        <w:t>和</w:t>
      </w:r>
      <w:r w:rsidRPr="004C1CA5">
        <w:t>0.80</w:t>
      </w:r>
      <w:r w:rsidRPr="004C1CA5">
        <w:t>，并不是单项灾害的安全临界值，而是用于观察不同方案与扰动较强区域叠置程度的统计阈值。通过改变阈值，可以判断某一方案的</w:t>
      </w:r>
      <w:r w:rsidRPr="004C1CA5">
        <w:t>“</w:t>
      </w:r>
      <w:r w:rsidRPr="004C1CA5">
        <w:t>低扰动</w:t>
      </w:r>
      <w:r w:rsidRPr="004C1CA5">
        <w:t>”</w:t>
      </w:r>
      <w:r w:rsidRPr="004C1CA5">
        <w:t>特征是否依赖于特定阈值。</w:t>
      </w:r>
    </w:p>
    <w:p w14:paraId="0EF210A5" w14:textId="51DF7885" w:rsidR="004C1CA5" w:rsidRPr="004C1CA5" w:rsidRDefault="004C1CA5" w:rsidP="004C1CA5">
      <w:pPr>
        <w:pStyle w:val="100"/>
        <w:ind w:firstLine="420"/>
      </w:pPr>
      <w:r w:rsidRPr="004C1CA5">
        <w:t>阈值敏感性分析选取</w:t>
      </w:r>
      <w:r w:rsidRPr="004C1CA5">
        <w:t>ODI=0.65</w:t>
      </w:r>
      <w:r w:rsidRPr="004C1CA5">
        <w:t>、</w:t>
      </w:r>
      <w:r w:rsidRPr="004C1CA5">
        <w:t>0.70</w:t>
      </w:r>
      <w:r w:rsidRPr="004C1CA5">
        <w:t>、</w:t>
      </w:r>
      <w:r w:rsidRPr="004C1CA5">
        <w:t>0.75</w:t>
      </w:r>
      <w:r w:rsidRPr="004C1CA5">
        <w:t>和</w:t>
      </w:r>
      <w:r w:rsidRPr="004C1CA5">
        <w:t>0.80</w:t>
      </w:r>
      <w:r w:rsidRPr="004C1CA5">
        <w:t>作为统计标准，分别计算</w:t>
      </w:r>
      <w:r w:rsidRPr="004C1CA5">
        <w:t>A</w:t>
      </w:r>
      <w:r w:rsidRPr="004C1CA5">
        <w:t>、</w:t>
      </w:r>
      <w:r w:rsidRPr="004C1CA5">
        <w:t>B</w:t>
      </w:r>
      <w:r w:rsidRPr="004C1CA5">
        <w:t>、</w:t>
      </w:r>
      <w:r w:rsidRPr="004C1CA5">
        <w:t>C</w:t>
      </w:r>
      <w:r w:rsidRPr="004C1CA5">
        <w:t>方案中超过对应阈值的区域比例。权重敏感性分析则以</w:t>
      </w:r>
      <w:r w:rsidRPr="004C1CA5">
        <w:t>0.45/0.30/0.25</w:t>
      </w:r>
      <w:r w:rsidRPr="004C1CA5">
        <w:t>作为基准权重，并设置地表沉陷分量增强、含水层扰动分量增强、上行开采分量增强及上行开采专项权重等情景，比较不同权重组合下各方案扰动风险综合得分的变化。结果如</w:t>
      </w:r>
      <w:r w:rsidR="001E1EA5">
        <w:fldChar w:fldCharType="begin"/>
      </w:r>
      <w:r w:rsidR="001E1EA5">
        <w:instrText xml:space="preserve"> REF _Ref227765621 \h </w:instrText>
      </w:r>
      <w:r w:rsidR="001E1EA5">
        <w:fldChar w:fldCharType="separate"/>
      </w:r>
      <w:r w:rsidR="001E1EA5">
        <w:rPr>
          <w:rFonts w:hint="eastAsia"/>
        </w:rPr>
        <w:t>图</w:t>
      </w:r>
      <w:r w:rsidR="001E1EA5">
        <w:rPr>
          <w:noProof/>
        </w:rPr>
        <w:t>12</w:t>
      </w:r>
      <w:r w:rsidR="001E1EA5">
        <w:fldChar w:fldCharType="end"/>
      </w:r>
      <w:r w:rsidRPr="004C1CA5">
        <w:t>和</w:t>
      </w:r>
      <w:r w:rsidR="001E1EA5">
        <w:fldChar w:fldCharType="begin"/>
      </w:r>
      <w:r w:rsidR="001E1EA5">
        <w:instrText xml:space="preserve"> REF _Ref227765749 \h </w:instrText>
      </w:r>
      <w:r w:rsidR="001E1EA5">
        <w:fldChar w:fldCharType="separate"/>
      </w:r>
      <w:r w:rsidR="001E1EA5">
        <w:rPr>
          <w:rFonts w:hint="eastAsia"/>
        </w:rPr>
        <w:t>图</w:t>
      </w:r>
      <w:r w:rsidR="001E1EA5">
        <w:rPr>
          <w:noProof/>
        </w:rPr>
        <w:t>13</w:t>
      </w:r>
      <w:r w:rsidR="001E1EA5">
        <w:fldChar w:fldCharType="end"/>
      </w:r>
      <w:r w:rsidRPr="004C1CA5">
        <w:t>所示。</w:t>
      </w:r>
    </w:p>
    <w:p w14:paraId="256AC69C" w14:textId="73593C47" w:rsidR="004B7D90" w:rsidRDefault="004B7D90" w:rsidP="004B7D90">
      <w:pPr>
        <w:pStyle w:val="100"/>
        <w:ind w:firstLineChars="0" w:firstLine="0"/>
      </w:pPr>
      <w:r>
        <w:rPr>
          <w:noProof/>
        </w:rPr>
        <w:drawing>
          <wp:inline distT="0" distB="0" distL="0" distR="0" wp14:anchorId="0B5B198C" wp14:editId="40EFC356">
            <wp:extent cx="2827020" cy="1623060"/>
            <wp:effectExtent l="0" t="0" r="0" b="0"/>
            <wp:docPr id="13361904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2827020" cy="1623060"/>
                    </a:xfrm>
                    <a:prstGeom prst="rect">
                      <a:avLst/>
                    </a:prstGeom>
                    <a:noFill/>
                    <a:ln>
                      <a:noFill/>
                    </a:ln>
                  </pic:spPr>
                </pic:pic>
              </a:graphicData>
            </a:graphic>
          </wp:inline>
        </w:drawing>
      </w:r>
    </w:p>
    <w:p w14:paraId="0C521449" w14:textId="73A08372" w:rsidR="004B7D90" w:rsidRDefault="004B7D90" w:rsidP="004B7D90">
      <w:pPr>
        <w:pStyle w:val="14"/>
      </w:pPr>
      <w:bookmarkStart w:id="13" w:name="_Ref22776562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12</w:t>
      </w:r>
      <w:r>
        <w:fldChar w:fldCharType="end"/>
      </w:r>
      <w:bookmarkEnd w:id="13"/>
      <w:r>
        <w:rPr>
          <w:rFonts w:hint="eastAsia"/>
        </w:rPr>
        <w:t xml:space="preserve"> </w:t>
      </w:r>
      <w:r w:rsidRPr="009717C8">
        <w:t>A</w:t>
      </w:r>
      <w:r w:rsidRPr="009717C8">
        <w:t>、</w:t>
      </w:r>
      <w:r w:rsidRPr="009717C8">
        <w:t>B</w:t>
      </w:r>
      <w:r w:rsidRPr="009717C8">
        <w:t>、</w:t>
      </w:r>
      <w:r w:rsidRPr="009717C8">
        <w:t>C</w:t>
      </w:r>
      <w:r w:rsidRPr="009717C8">
        <w:t>方案阈值敏感性分析图</w:t>
      </w:r>
    </w:p>
    <w:p w14:paraId="43E0DE2E" w14:textId="07E93B09" w:rsidR="004B7D90" w:rsidRDefault="004B7D90" w:rsidP="004B7D90">
      <w:pPr>
        <w:pStyle w:val="14"/>
      </w:pPr>
      <w:r w:rsidRPr="009717C8">
        <w:t>Fig.</w:t>
      </w:r>
      <w:r w:rsidR="008419FD">
        <w:rPr>
          <w:rFonts w:hint="eastAsia"/>
        </w:rPr>
        <w:t>1</w:t>
      </w:r>
      <w:r w:rsidR="001E1EA5">
        <w:rPr>
          <w:rFonts w:hint="eastAsia"/>
        </w:rPr>
        <w:t>2</w:t>
      </w:r>
      <w:r w:rsidRPr="009717C8">
        <w:t xml:space="preserve"> Threshold sensitivity analysis of schemes A, B and C</w:t>
      </w:r>
    </w:p>
    <w:p w14:paraId="24B86441" w14:textId="77777777" w:rsidR="004B7D90" w:rsidRDefault="004B7D90" w:rsidP="004B7D90">
      <w:pPr>
        <w:pStyle w:val="aff"/>
      </w:pPr>
      <w:r>
        <w:rPr>
          <w:rFonts w:hint="eastAsia"/>
          <w:noProof/>
        </w:rPr>
        <w:lastRenderedPageBreak/>
        <w:drawing>
          <wp:inline distT="0" distB="0" distL="0" distR="0" wp14:anchorId="49258BEA" wp14:editId="40756966">
            <wp:extent cx="2827020" cy="1325880"/>
            <wp:effectExtent l="0" t="0" r="0" b="7620"/>
            <wp:docPr id="344813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827020" cy="1325880"/>
                    </a:xfrm>
                    <a:prstGeom prst="rect">
                      <a:avLst/>
                    </a:prstGeom>
                    <a:noFill/>
                    <a:ln>
                      <a:noFill/>
                    </a:ln>
                  </pic:spPr>
                </pic:pic>
              </a:graphicData>
            </a:graphic>
          </wp:inline>
        </w:drawing>
      </w:r>
    </w:p>
    <w:p w14:paraId="50EAC769" w14:textId="739EFE95" w:rsidR="004B7D90" w:rsidRDefault="004B7D90" w:rsidP="004B7D90">
      <w:pPr>
        <w:pStyle w:val="14"/>
      </w:pPr>
      <w:bookmarkStart w:id="14" w:name="_Ref22776574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1EA5">
        <w:rPr>
          <w:noProof/>
        </w:rPr>
        <w:t>13</w:t>
      </w:r>
      <w:r>
        <w:fldChar w:fldCharType="end"/>
      </w:r>
      <w:bookmarkEnd w:id="14"/>
      <w:r>
        <w:rPr>
          <w:rFonts w:hint="eastAsia"/>
        </w:rPr>
        <w:t xml:space="preserve"> </w:t>
      </w:r>
      <w:r w:rsidRPr="009717C8">
        <w:t>A</w:t>
      </w:r>
      <w:r w:rsidRPr="009717C8">
        <w:t>、</w:t>
      </w:r>
      <w:r w:rsidRPr="009717C8">
        <w:t>B</w:t>
      </w:r>
      <w:r w:rsidRPr="009717C8">
        <w:t>、</w:t>
      </w:r>
      <w:r w:rsidRPr="009717C8">
        <w:t>C</w:t>
      </w:r>
      <w:r w:rsidRPr="009717C8">
        <w:t>方案权重敏感性分析图</w:t>
      </w:r>
    </w:p>
    <w:p w14:paraId="59F0F104" w14:textId="62C912C6" w:rsidR="004B7D90" w:rsidRDefault="004B7D90" w:rsidP="004B7D90">
      <w:pPr>
        <w:pStyle w:val="14"/>
      </w:pPr>
      <w:r w:rsidRPr="009717C8">
        <w:t>Fig.</w:t>
      </w:r>
      <w:r w:rsidR="008419FD">
        <w:rPr>
          <w:rFonts w:hint="eastAsia"/>
        </w:rPr>
        <w:t>1</w:t>
      </w:r>
      <w:r w:rsidR="001E1EA5">
        <w:rPr>
          <w:rFonts w:hint="eastAsia"/>
        </w:rPr>
        <w:t>3</w:t>
      </w:r>
      <w:r w:rsidRPr="009717C8">
        <w:t xml:space="preserve"> </w:t>
      </w:r>
      <w:r w:rsidRPr="002711E2">
        <w:t>Weight sensitivity analysis of schemes A, B and C</w:t>
      </w:r>
    </w:p>
    <w:p w14:paraId="3A95C9A8" w14:textId="6A1BB5C4" w:rsidR="004C1CA5" w:rsidRPr="004C1CA5" w:rsidRDefault="004C1CA5" w:rsidP="004C1CA5">
      <w:pPr>
        <w:pStyle w:val="100"/>
        <w:ind w:firstLine="420"/>
      </w:pPr>
      <w:r w:rsidRPr="004C1CA5">
        <w:t>由</w:t>
      </w:r>
      <w:r w:rsidR="003B394F">
        <w:fldChar w:fldCharType="begin"/>
      </w:r>
      <w:r w:rsidR="003B394F">
        <w:instrText xml:space="preserve"> REF _Ref227765621 \h </w:instrText>
      </w:r>
      <w:r w:rsidR="003B394F">
        <w:fldChar w:fldCharType="separate"/>
      </w:r>
      <w:r w:rsidR="003B394F">
        <w:rPr>
          <w:rFonts w:hint="eastAsia"/>
        </w:rPr>
        <w:t>图</w:t>
      </w:r>
      <w:r w:rsidR="003B394F">
        <w:rPr>
          <w:noProof/>
        </w:rPr>
        <w:t>12</w:t>
      </w:r>
      <w:r w:rsidR="003B394F">
        <w:fldChar w:fldCharType="end"/>
      </w:r>
      <w:r w:rsidRPr="004C1CA5">
        <w:t>可知，随着</w:t>
      </w:r>
      <w:r w:rsidRPr="004C1CA5">
        <w:t>ODI</w:t>
      </w:r>
      <w:r w:rsidRPr="004C1CA5">
        <w:t>阈值由</w:t>
      </w:r>
      <w:r w:rsidRPr="004C1CA5">
        <w:t>0.65</w:t>
      </w:r>
      <w:r w:rsidRPr="004C1CA5">
        <w:t>提高至</w:t>
      </w:r>
      <w:r w:rsidRPr="004C1CA5">
        <w:t>0.80</w:t>
      </w:r>
      <w:r w:rsidRPr="004C1CA5">
        <w:t>，</w:t>
      </w:r>
      <w:r w:rsidRPr="004C1CA5">
        <w:t>A</w:t>
      </w:r>
      <w:r w:rsidRPr="004C1CA5">
        <w:t>、</w:t>
      </w:r>
      <w:r w:rsidRPr="004C1CA5">
        <w:t>B</w:t>
      </w:r>
      <w:r w:rsidRPr="004C1CA5">
        <w:t>、</w:t>
      </w:r>
      <w:r w:rsidRPr="004C1CA5">
        <w:t>C</w:t>
      </w:r>
      <w:r w:rsidRPr="004C1CA5">
        <w:t>方案的超阈值比例整体降低。这说明超阈值比例对阈值选取较为敏感，不能单独作为判断方案扰动水平的唯一依据。当阈值取</w:t>
      </w:r>
      <w:r w:rsidRPr="004C1CA5">
        <w:t>0.65</w:t>
      </w:r>
      <w:r w:rsidRPr="004C1CA5">
        <w:t>时，</w:t>
      </w:r>
      <w:r w:rsidRPr="004C1CA5">
        <w:t>A</w:t>
      </w:r>
      <w:r w:rsidRPr="004C1CA5">
        <w:t>、</w:t>
      </w:r>
      <w:r w:rsidRPr="004C1CA5">
        <w:t>B</w:t>
      </w:r>
      <w:r w:rsidRPr="004C1CA5">
        <w:t>、</w:t>
      </w:r>
      <w:r w:rsidRPr="004C1CA5">
        <w:t>C</w:t>
      </w:r>
      <w:r w:rsidRPr="004C1CA5">
        <w:t>方案的超阈值比例分别为</w:t>
      </w:r>
      <w:r w:rsidRPr="004C1CA5">
        <w:t>7.42%</w:t>
      </w:r>
      <w:r w:rsidRPr="004C1CA5">
        <w:t>、</w:t>
      </w:r>
      <w:r w:rsidRPr="004C1CA5">
        <w:t>9.09%</w:t>
      </w:r>
      <w:r w:rsidRPr="004C1CA5">
        <w:t>和</w:t>
      </w:r>
      <w:r w:rsidRPr="004C1CA5">
        <w:t>6.31%</w:t>
      </w:r>
      <w:r w:rsidRPr="004C1CA5">
        <w:t>，</w:t>
      </w:r>
      <w:r w:rsidRPr="004C1CA5">
        <w:t>C</w:t>
      </w:r>
      <w:r w:rsidRPr="004C1CA5">
        <w:t>方案最低；当阈值取</w:t>
      </w:r>
      <w:r w:rsidRPr="004C1CA5">
        <w:t>0.70</w:t>
      </w:r>
      <w:r w:rsidRPr="004C1CA5">
        <w:t>时，三者分别为</w:t>
      </w:r>
      <w:r w:rsidRPr="004C1CA5">
        <w:t>0.44%</w:t>
      </w:r>
      <w:r w:rsidRPr="004C1CA5">
        <w:t>、</w:t>
      </w:r>
      <w:r w:rsidRPr="004C1CA5">
        <w:t>0.56%</w:t>
      </w:r>
      <w:r w:rsidRPr="004C1CA5">
        <w:t>和</w:t>
      </w:r>
      <w:r w:rsidRPr="004C1CA5">
        <w:t>1.22%</w:t>
      </w:r>
      <w:r w:rsidRPr="004C1CA5">
        <w:t>，</w:t>
      </w:r>
      <w:r w:rsidRPr="004C1CA5">
        <w:t>C</w:t>
      </w:r>
      <w:r w:rsidRPr="004C1CA5">
        <w:t>方案反而不是最低。该结果表明，某一固定阈值下的超阈值比例只能反映方案对该统计标准的响应，难以全面代表方案整体扰动水平。</w:t>
      </w:r>
    </w:p>
    <w:p w14:paraId="1F65F791" w14:textId="11CB4296" w:rsidR="004C1CA5" w:rsidRPr="004C1CA5" w:rsidRDefault="004C1CA5" w:rsidP="004C1CA5">
      <w:pPr>
        <w:pStyle w:val="100"/>
        <w:ind w:firstLine="420"/>
      </w:pPr>
      <w:r w:rsidRPr="004C1CA5">
        <w:t>由</w:t>
      </w:r>
      <w:r w:rsidR="003B394F">
        <w:fldChar w:fldCharType="begin"/>
      </w:r>
      <w:r w:rsidR="003B394F">
        <w:instrText xml:space="preserve"> REF _Ref227765749 \h </w:instrText>
      </w:r>
      <w:r w:rsidR="003B394F">
        <w:fldChar w:fldCharType="separate"/>
      </w:r>
      <w:r w:rsidR="003B394F">
        <w:rPr>
          <w:rFonts w:hint="eastAsia"/>
        </w:rPr>
        <w:t>图</w:t>
      </w:r>
      <w:r w:rsidR="003B394F">
        <w:rPr>
          <w:noProof/>
        </w:rPr>
        <w:t>13</w:t>
      </w:r>
      <w:r w:rsidR="003B394F">
        <w:fldChar w:fldCharType="end"/>
      </w:r>
      <w:r w:rsidRPr="004C1CA5">
        <w:t>可知，不同权重组合会引起扰动风险综合得分的小幅变化，但</w:t>
      </w:r>
      <w:r w:rsidRPr="004C1CA5">
        <w:t>A</w:t>
      </w:r>
      <w:r w:rsidRPr="004C1CA5">
        <w:t>、</w:t>
      </w:r>
      <w:r w:rsidRPr="004C1CA5">
        <w:t>B</w:t>
      </w:r>
      <w:r w:rsidRPr="004C1CA5">
        <w:t>、</w:t>
      </w:r>
      <w:r w:rsidRPr="004C1CA5">
        <w:t>C</w:t>
      </w:r>
      <w:r w:rsidRPr="004C1CA5">
        <w:t>方案的基本判断结果没有发生明显改变。基准权重下，</w:t>
      </w:r>
      <w:r w:rsidRPr="004C1CA5">
        <w:t>A</w:t>
      </w:r>
      <w:r w:rsidRPr="004C1CA5">
        <w:t>、</w:t>
      </w:r>
      <w:r w:rsidRPr="004C1CA5">
        <w:t>B</w:t>
      </w:r>
      <w:r w:rsidRPr="004C1CA5">
        <w:t>、</w:t>
      </w:r>
      <w:r w:rsidRPr="004C1CA5">
        <w:t>C</w:t>
      </w:r>
      <w:r w:rsidRPr="004C1CA5">
        <w:t>方案扰动风险综合得分分别为</w:t>
      </w:r>
      <w:r w:rsidRPr="004C1CA5">
        <w:t>0.4481</w:t>
      </w:r>
      <w:r w:rsidRPr="004C1CA5">
        <w:t>、</w:t>
      </w:r>
      <w:r w:rsidRPr="004C1CA5">
        <w:t>0.4546</w:t>
      </w:r>
      <w:r w:rsidRPr="004C1CA5">
        <w:t>和</w:t>
      </w:r>
      <w:r w:rsidRPr="004C1CA5">
        <w:t>0.4449</w:t>
      </w:r>
      <w:r w:rsidRPr="004C1CA5">
        <w:t>；在上行开采专项权重</w:t>
      </w:r>
      <w:r w:rsidRPr="004C1CA5">
        <w:t>0.15/0.25/0.60</w:t>
      </w:r>
      <w:r w:rsidRPr="004C1CA5">
        <w:t>条件下，三者分别为</w:t>
      </w:r>
      <w:r w:rsidRPr="004C1CA5">
        <w:t>0.4505</w:t>
      </w:r>
      <w:r w:rsidRPr="004C1CA5">
        <w:t>、</w:t>
      </w:r>
      <w:r w:rsidRPr="004C1CA5">
        <w:t>0.4564</w:t>
      </w:r>
      <w:r w:rsidRPr="004C1CA5">
        <w:t>和</w:t>
      </w:r>
      <w:r w:rsidRPr="004C1CA5">
        <w:t>0.4498</w:t>
      </w:r>
      <w:r w:rsidRPr="004C1CA5">
        <w:t>。虽然</w:t>
      </w:r>
      <w:r w:rsidRPr="004C1CA5">
        <w:t>C</w:t>
      </w:r>
      <w:r w:rsidRPr="004C1CA5">
        <w:t>方案得分有所升高，但仍保持相对较低水平，说明其低扰动特征并不完全依赖某一组固定权重。</w:t>
      </w:r>
    </w:p>
    <w:p w14:paraId="25D73EBC" w14:textId="77777777" w:rsidR="004C1CA5" w:rsidRPr="004C1CA5" w:rsidRDefault="004C1CA5" w:rsidP="004C1CA5">
      <w:pPr>
        <w:pStyle w:val="100"/>
        <w:ind w:firstLine="420"/>
      </w:pPr>
      <w:r w:rsidRPr="004C1CA5">
        <w:t>需要指出的是，权重敏感性分析的目的不是证明</w:t>
      </w:r>
      <w:r w:rsidRPr="004C1CA5">
        <w:t>0.45/0.30/0.25</w:t>
      </w:r>
      <w:r w:rsidRPr="004C1CA5">
        <w:t>权重具有普适性，而是检验在敏东矿区当前条件下，方案判断结果对权重调整是否敏感。不同矿区的主控风险、保护对象、水文地质条件和开采技术条件不同，</w:t>
      </w:r>
      <w:r w:rsidRPr="004C1CA5">
        <w:t>ODI</w:t>
      </w:r>
      <w:r w:rsidRPr="004C1CA5">
        <w:t>权重应结合具体工程背景重新确定。对于含水层保护要求更高的矿区，可适当提高含水层扰动分量权重；对于上行开采安全边界更突出的矿区，则应提高上行开采分量权重，并重新开展方案评价。</w:t>
      </w:r>
    </w:p>
    <w:p w14:paraId="4D8E6998" w14:textId="77777777" w:rsidR="004C1CA5" w:rsidRPr="004C1CA5" w:rsidRDefault="004C1CA5" w:rsidP="004C1CA5">
      <w:pPr>
        <w:pStyle w:val="100"/>
        <w:ind w:firstLine="420"/>
      </w:pPr>
      <w:r w:rsidRPr="004C1CA5">
        <w:t>综合阈值和权重敏感性结果可以看出，低扰动方案不宜只依据</w:t>
      </w:r>
      <w:r w:rsidRPr="004C1CA5">
        <w:t>ODI</w:t>
      </w:r>
      <w:r w:rsidRPr="004C1CA5">
        <w:t>超过某一阈值的面积比例确定。超阈值比例能够反映方案与扰动较强区域的重叠程度，但对阈值选择较敏感；</w:t>
      </w:r>
      <w:r w:rsidRPr="004C1CA5">
        <w:t>ODI</w:t>
      </w:r>
      <w:r w:rsidRPr="004C1CA5">
        <w:t>均值能够反映方案整体扰动水平；</w:t>
      </w:r>
      <w:r w:rsidRPr="004C1CA5">
        <w:t>P90</w:t>
      </w:r>
      <w:r w:rsidRPr="004C1CA5">
        <w:t>能够反映局部高值扰动影响。因此，在采区规划阶段判断低扰动方案时，应结合</w:t>
      </w:r>
      <w:r w:rsidRPr="004C1CA5">
        <w:t>ODI</w:t>
      </w:r>
      <w:r w:rsidRPr="004C1CA5">
        <w:t>均值、</w:t>
      </w:r>
      <w:r w:rsidRPr="004C1CA5">
        <w:t>P90</w:t>
      </w:r>
      <w:r w:rsidRPr="004C1CA5">
        <w:t>和扰动风险综合得分进行综合判断，以降低单一阈值或单一权重组合对方案优选结果的影响。</w:t>
      </w:r>
    </w:p>
    <w:p w14:paraId="1359F004" w14:textId="77777777" w:rsidR="004B7D90" w:rsidRPr="004B7D90" w:rsidRDefault="004B7D90" w:rsidP="004B7D90">
      <w:pPr>
        <w:pStyle w:val="11"/>
      </w:pPr>
      <w:r w:rsidRPr="004B7D90">
        <w:t xml:space="preserve">5 </w:t>
      </w:r>
      <w:r w:rsidRPr="004B7D90">
        <w:t>结论</w:t>
      </w:r>
    </w:p>
    <w:p w14:paraId="7F1CD19A" w14:textId="77777777" w:rsidR="004C1CA5" w:rsidRPr="004C1CA5" w:rsidRDefault="004C1CA5" w:rsidP="004C1CA5">
      <w:pPr>
        <w:pStyle w:val="100"/>
        <w:ind w:firstLine="420"/>
      </w:pPr>
      <w:r w:rsidRPr="004C1CA5">
        <w:t>1</w:t>
      </w:r>
      <w:r w:rsidRPr="004C1CA5">
        <w:t>）针对常规采区规划中</w:t>
      </w:r>
      <w:r w:rsidRPr="004C1CA5">
        <w:t>“</w:t>
      </w:r>
      <w:r w:rsidRPr="004C1CA5">
        <w:t>先布置、后校核</w:t>
      </w:r>
      <w:r w:rsidRPr="004C1CA5">
        <w:t>”</w:t>
      </w:r>
      <w:r w:rsidRPr="004C1CA5">
        <w:t>容易造成方案反复调整的问题，提出了多场景采动扰动约束下的采区规划方法。该方法将地表沉陷、含水层扰动和上行开采影响提前纳入工作面方案形成过程，使工作面布置不再只依据边界形态、煤柱参数和经验判断，而能够同时考虑资源覆盖、生产组织和扰动控制要求。</w:t>
      </w:r>
    </w:p>
    <w:p w14:paraId="0FA20E43" w14:textId="77777777" w:rsidR="004C1CA5" w:rsidRPr="004C1CA5" w:rsidRDefault="004C1CA5" w:rsidP="004C1CA5">
      <w:pPr>
        <w:pStyle w:val="100"/>
        <w:ind w:firstLine="420"/>
      </w:pPr>
      <w:r w:rsidRPr="004C1CA5">
        <w:t>2</w:t>
      </w:r>
      <w:r w:rsidRPr="004C1CA5">
        <w:t>）提出了综合覆岩扰动指数（</w:t>
      </w:r>
      <w:r w:rsidRPr="004C1CA5">
        <w:t>ODI</w:t>
      </w:r>
      <w:r w:rsidRPr="004C1CA5">
        <w:t>），用于表征采区内不同位置的采动扰动强弱。</w:t>
      </w:r>
      <w:r w:rsidRPr="004C1CA5">
        <w:t>ODI</w:t>
      </w:r>
      <w:r w:rsidRPr="004C1CA5">
        <w:t>将地表沉陷、含水层扰动和上行开采影响归一化后加权叠加，形成</w:t>
      </w:r>
      <w:r w:rsidRPr="004C1CA5">
        <w:t>0</w:t>
      </w:r>
      <w:r w:rsidRPr="004C1CA5">
        <w:t>～</w:t>
      </w:r>
      <w:r w:rsidRPr="004C1CA5">
        <w:t>1</w:t>
      </w:r>
      <w:r w:rsidRPr="004C1CA5">
        <w:t>之间的空间评价指标。该指标不是某一单项灾害的失稳判据，而是采区规划阶段识别扰动较强区域、辅助工作面方案比较的综合指标。基于</w:t>
      </w:r>
      <w:r w:rsidRPr="004C1CA5">
        <w:t>ODI</w:t>
      </w:r>
      <w:r w:rsidRPr="004C1CA5">
        <w:t>均值、</w:t>
      </w:r>
      <w:r w:rsidRPr="004C1CA5">
        <w:t>P90</w:t>
      </w:r>
      <w:r w:rsidRPr="004C1CA5">
        <w:t>和超阈值比例，可以将原本分散的风险评价结果转化为方案级扰动指标。</w:t>
      </w:r>
    </w:p>
    <w:p w14:paraId="5709E9FE" w14:textId="77777777" w:rsidR="004C1CA5" w:rsidRPr="004C1CA5" w:rsidRDefault="004C1CA5" w:rsidP="004C1CA5">
      <w:pPr>
        <w:pStyle w:val="100"/>
        <w:ind w:firstLine="420"/>
      </w:pPr>
      <w:r w:rsidRPr="004C1CA5">
        <w:t>3</w:t>
      </w:r>
      <w:r w:rsidRPr="004C1CA5">
        <w:t>）敏东矿区工程应用表明，研究区整体扰动水平处于中等程度，但局部存在扰动高值区。研究区</w:t>
      </w:r>
      <w:r w:rsidRPr="004C1CA5">
        <w:t>ODI</w:t>
      </w:r>
      <w:r w:rsidRPr="004C1CA5">
        <w:t>均值为</w:t>
      </w:r>
      <w:r w:rsidRPr="004C1CA5">
        <w:t>0.4669</w:t>
      </w:r>
      <w:r w:rsidRPr="004C1CA5">
        <w:t>，</w:t>
      </w:r>
      <w:r w:rsidRPr="004C1CA5">
        <w:t>P90</w:t>
      </w:r>
      <w:r w:rsidRPr="004C1CA5">
        <w:t>为</w:t>
      </w:r>
      <w:r w:rsidRPr="004C1CA5">
        <w:t>0.7474</w:t>
      </w:r>
      <w:r w:rsidRPr="004C1CA5">
        <w:t>，</w:t>
      </w:r>
      <w:r w:rsidRPr="004C1CA5">
        <w:t>ODI</w:t>
      </w:r>
      <w:r w:rsidRPr="004C1CA5">
        <w:t>＞</w:t>
      </w:r>
      <w:r w:rsidRPr="004C1CA5">
        <w:t>0.70</w:t>
      </w:r>
      <w:r w:rsidRPr="004C1CA5">
        <w:t>区域占</w:t>
      </w:r>
      <w:r w:rsidRPr="004C1CA5">
        <w:t>15.89%</w:t>
      </w:r>
      <w:r w:rsidRPr="004C1CA5">
        <w:t>，说明约</w:t>
      </w:r>
      <w:r w:rsidRPr="004C1CA5">
        <w:t>1/6</w:t>
      </w:r>
      <w:r w:rsidRPr="004C1CA5">
        <w:t>范围达到中高扰动水平。该类区域在工作面布置阶段不宜简单忽略，应作为优先避让或进一步复核对象。</w:t>
      </w:r>
    </w:p>
    <w:p w14:paraId="3262A451" w14:textId="77777777" w:rsidR="004C1CA5" w:rsidRPr="004C1CA5" w:rsidRDefault="004C1CA5" w:rsidP="004C1CA5">
      <w:pPr>
        <w:pStyle w:val="100"/>
        <w:ind w:firstLine="420"/>
      </w:pPr>
      <w:r w:rsidRPr="004C1CA5">
        <w:t>4</w:t>
      </w:r>
      <w:r w:rsidRPr="004C1CA5">
        <w:t>）在相同边界、煤厚分布和</w:t>
      </w:r>
      <w:r w:rsidRPr="004C1CA5">
        <w:t>ODI</w:t>
      </w:r>
      <w:r w:rsidRPr="004C1CA5">
        <w:t>图层条件下，工程效率优先、资源回收优先和低扰动候选三类代表方案表现出明显差异。资源回收优先方案覆盖率最高，为</w:t>
      </w:r>
      <w:r w:rsidRPr="004C1CA5">
        <w:t>98.52%</w:t>
      </w:r>
      <w:r w:rsidRPr="004C1CA5">
        <w:t>，但扰动水平相对较高；低扰动候选方案覆盖率为</w:t>
      </w:r>
      <w:r w:rsidRPr="004C1CA5">
        <w:t>80.67%</w:t>
      </w:r>
      <w:r w:rsidRPr="004C1CA5">
        <w:t>，但</w:t>
      </w:r>
      <w:r w:rsidRPr="004C1CA5">
        <w:t>ODI</w:t>
      </w:r>
      <w:r w:rsidRPr="004C1CA5">
        <w:t>均值和</w:t>
      </w:r>
      <w:r w:rsidRPr="004C1CA5">
        <w:t>P90</w:t>
      </w:r>
      <w:r w:rsidRPr="004C1CA5">
        <w:t>最低，分别为</w:t>
      </w:r>
      <w:r w:rsidRPr="004C1CA5">
        <w:t>0.4416</w:t>
      </w:r>
      <w:r w:rsidRPr="004C1CA5">
        <w:t>和</w:t>
      </w:r>
      <w:r w:rsidRPr="004C1CA5">
        <w:t>0.6353</w:t>
      </w:r>
      <w:r w:rsidRPr="004C1CA5">
        <w:t>；工程效率优先方案覆盖率为</w:t>
      </w:r>
      <w:r w:rsidRPr="004C1CA5">
        <w:t>89.34%</w:t>
      </w:r>
      <w:r w:rsidRPr="004C1CA5">
        <w:t>，综合表现介于二者之间。结果说明，采区规划中不存在简单的</w:t>
      </w:r>
      <w:r w:rsidRPr="004C1CA5">
        <w:t>“</w:t>
      </w:r>
      <w:r w:rsidRPr="004C1CA5">
        <w:t>高覆盖、低扰动</w:t>
      </w:r>
      <w:r w:rsidRPr="004C1CA5">
        <w:t>”</w:t>
      </w:r>
      <w:r w:rsidRPr="004C1CA5">
        <w:t>单一最优方案，需要根据生产接续、资源回收和安全控制目标进行取舍。</w:t>
      </w:r>
    </w:p>
    <w:p w14:paraId="0D46989C" w14:textId="77777777" w:rsidR="004C1CA5" w:rsidRPr="004C1CA5" w:rsidRDefault="004C1CA5" w:rsidP="004C1CA5">
      <w:pPr>
        <w:pStyle w:val="100"/>
        <w:ind w:firstLine="420"/>
      </w:pPr>
      <w:r w:rsidRPr="004C1CA5">
        <w:t>5</w:t>
      </w:r>
      <w:r w:rsidRPr="004C1CA5">
        <w:t>）阈值和权重敏感性分析表明，低扰动方案不宜仅依据</w:t>
      </w:r>
      <w:r w:rsidRPr="004C1CA5">
        <w:t>ODI</w:t>
      </w:r>
      <w:r w:rsidRPr="004C1CA5">
        <w:t>超过某一阈值的面积比例确定。超阈值比例能够反映方案与扰动较强区域的重叠程度，但对阈值选取较敏感；</w:t>
      </w:r>
      <w:r w:rsidRPr="004C1CA5">
        <w:t>ODI</w:t>
      </w:r>
      <w:r w:rsidRPr="004C1CA5">
        <w:t>均值和</w:t>
      </w:r>
      <w:r w:rsidRPr="004C1CA5">
        <w:t>P90</w:t>
      </w:r>
      <w:r w:rsidRPr="004C1CA5">
        <w:t>分别反映方案整体扰动水平和局部高值扰动影响。因此，在采区规划阶段判断低扰动方案时，应结合</w:t>
      </w:r>
      <w:r w:rsidRPr="004C1CA5">
        <w:t>ODI</w:t>
      </w:r>
      <w:r w:rsidRPr="004C1CA5">
        <w:t>均值、</w:t>
      </w:r>
      <w:r w:rsidRPr="004C1CA5">
        <w:t>P90</w:t>
      </w:r>
      <w:r w:rsidRPr="004C1CA5">
        <w:t>和扰动风险综合得分共同分析。本文方法可用于采区规划初期的方案比较和风险前置识别，但最终方案仍需结合地表沉陷预计、导水裂隙带高度判定、含水层保护、上行开采安全性以及矿井生产系统条件进行专项复核。</w:t>
      </w:r>
    </w:p>
    <w:p w14:paraId="7E52FE41" w14:textId="4BDCA49F" w:rsidR="00351EC4" w:rsidRPr="00351EC4" w:rsidRDefault="00351EC4" w:rsidP="00351EC4">
      <w:pPr>
        <w:pStyle w:val="11"/>
      </w:pPr>
      <w:r w:rsidRPr="00351EC4">
        <w:lastRenderedPageBreak/>
        <w:t>参考文献</w:t>
      </w:r>
    </w:p>
    <w:p w14:paraId="50F10C0F" w14:textId="77777777" w:rsidR="00351EC4" w:rsidRPr="00351EC4" w:rsidRDefault="00351EC4" w:rsidP="00351EC4">
      <w:pPr>
        <w:pStyle w:val="17"/>
      </w:pPr>
      <w:bookmarkStart w:id="15" w:name="REF_001"/>
      <w:r w:rsidRPr="00351EC4">
        <w:t>[1]</w:t>
      </w:r>
      <w:r w:rsidRPr="00351EC4">
        <w:tab/>
        <w:t>WU Xuefei, LI Hongxia, WANG Baoli, et al. Review on improvements to the safety level of coal mines by applying intelligent coal mining[J]. Sustainability, 2022, 14(24): 16400. DOI: 10.3390/su142416400.</w:t>
      </w:r>
      <w:bookmarkEnd w:id="15"/>
    </w:p>
    <w:p w14:paraId="4A686C72" w14:textId="77777777" w:rsidR="00351EC4" w:rsidRPr="00351EC4" w:rsidRDefault="00351EC4" w:rsidP="00351EC4">
      <w:pPr>
        <w:pStyle w:val="17"/>
      </w:pPr>
      <w:bookmarkStart w:id="16" w:name="REF_002"/>
      <w:r w:rsidRPr="00351EC4">
        <w:t>[2]</w:t>
      </w:r>
      <w:r w:rsidRPr="00351EC4">
        <w:tab/>
        <w:t>WANG Guofa, REN Huaiwei, ZHAO Guorui, et al. Research and practice of intelligent coal mine technology systems in China[J]. International Journal of Coal Science &amp; Technology, 2022, 9(1). DOI: 10.1007/s40789-022-00491-3.</w:t>
      </w:r>
      <w:bookmarkEnd w:id="16"/>
    </w:p>
    <w:p w14:paraId="231538D1" w14:textId="77777777" w:rsidR="00351EC4" w:rsidRPr="00351EC4" w:rsidRDefault="00351EC4" w:rsidP="00351EC4">
      <w:pPr>
        <w:pStyle w:val="17"/>
      </w:pPr>
      <w:bookmarkStart w:id="17" w:name="REF_003"/>
      <w:r w:rsidRPr="00351EC4">
        <w:t>[3]</w:t>
      </w:r>
      <w:r w:rsidRPr="00351EC4">
        <w:tab/>
        <w:t>ZHANG Kexue, KANG Lei, CHEN Xuexi, et al. A review of intelligent unmanned mining current situation and development trend[J]. Energies, 2022, 15(2): 513. DOI: 10.3390/en15020513.</w:t>
      </w:r>
      <w:bookmarkEnd w:id="17"/>
    </w:p>
    <w:p w14:paraId="003176E2" w14:textId="77777777" w:rsidR="00351EC4" w:rsidRPr="00351EC4" w:rsidRDefault="00351EC4" w:rsidP="00351EC4">
      <w:pPr>
        <w:pStyle w:val="17"/>
      </w:pPr>
      <w:bookmarkStart w:id="18"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18"/>
    </w:p>
    <w:p w14:paraId="04AA5E1F" w14:textId="77777777" w:rsidR="00351EC4" w:rsidRPr="00351EC4" w:rsidRDefault="00351EC4" w:rsidP="00351EC4">
      <w:pPr>
        <w:pStyle w:val="17"/>
      </w:pPr>
      <w:bookmarkStart w:id="19" w:name="REF_005"/>
      <w:r w:rsidRPr="00351EC4">
        <w:t>[5]</w:t>
      </w:r>
      <w:r w:rsidRPr="00351EC4">
        <w:tab/>
      </w:r>
      <w:r w:rsidRPr="00351EC4">
        <w:t>王国法</w:t>
      </w:r>
      <w:r w:rsidRPr="00351EC4">
        <w:t xml:space="preserve">, </w:t>
      </w:r>
      <w:r w:rsidRPr="00351EC4">
        <w:t>杜毅博</w:t>
      </w:r>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19"/>
    </w:p>
    <w:p w14:paraId="16E99093" w14:textId="77777777" w:rsidR="00351EC4" w:rsidRPr="00351EC4" w:rsidRDefault="00351EC4" w:rsidP="00351EC4">
      <w:pPr>
        <w:pStyle w:val="17"/>
      </w:pPr>
      <w:bookmarkStart w:id="20" w:name="REF_006"/>
      <w:r w:rsidRPr="00351EC4">
        <w:t>[6]</w:t>
      </w:r>
      <w:r w:rsidRPr="00351EC4">
        <w:tab/>
      </w:r>
      <w:r w:rsidRPr="00351EC4">
        <w:t>王国法</w:t>
      </w:r>
      <w:r w:rsidRPr="00351EC4">
        <w:t xml:space="preserve">, </w:t>
      </w:r>
      <w:r w:rsidRPr="00351EC4">
        <w:t>任怀伟</w:t>
      </w:r>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20"/>
    </w:p>
    <w:p w14:paraId="195C19ED" w14:textId="77777777" w:rsidR="00351EC4" w:rsidRPr="00351EC4" w:rsidRDefault="00351EC4" w:rsidP="00351EC4">
      <w:pPr>
        <w:pStyle w:val="17"/>
      </w:pPr>
      <w:bookmarkStart w:id="21" w:name="REF_007"/>
      <w:r w:rsidRPr="00351EC4">
        <w:t>[7]</w:t>
      </w:r>
      <w:r w:rsidRPr="00351EC4">
        <w:tab/>
      </w:r>
      <w:r w:rsidRPr="00351EC4">
        <w:t>李首滨</w:t>
      </w:r>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21"/>
    </w:p>
    <w:p w14:paraId="7D5B676F" w14:textId="77777777" w:rsidR="00351EC4" w:rsidRPr="00351EC4" w:rsidRDefault="00351EC4" w:rsidP="00351EC4">
      <w:pPr>
        <w:pStyle w:val="17"/>
      </w:pPr>
      <w:bookmarkStart w:id="22" w:name="REF_008"/>
      <w:r w:rsidRPr="00351EC4">
        <w:t>[8]</w:t>
      </w:r>
      <w:r w:rsidRPr="00351EC4">
        <w:tab/>
      </w:r>
      <w:r w:rsidRPr="00351EC4">
        <w:t>王存飞</w:t>
      </w:r>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22"/>
    </w:p>
    <w:p w14:paraId="369BF6B6" w14:textId="77777777" w:rsidR="00351EC4" w:rsidRPr="00351EC4" w:rsidRDefault="00351EC4" w:rsidP="00351EC4">
      <w:pPr>
        <w:pStyle w:val="17"/>
      </w:pPr>
      <w:bookmarkStart w:id="23" w:name="REF_009"/>
      <w:r w:rsidRPr="00351EC4">
        <w:t>[9]</w:t>
      </w:r>
      <w:r w:rsidRPr="00351EC4">
        <w:tab/>
      </w:r>
      <w:r w:rsidRPr="00351EC4">
        <w:t>程建远</w:t>
      </w:r>
      <w:r w:rsidRPr="00351EC4">
        <w:t xml:space="preserve">, </w:t>
      </w:r>
      <w:r w:rsidRPr="00351EC4">
        <w:t>朱梦博</w:t>
      </w:r>
      <w:r w:rsidRPr="00351EC4">
        <w:t xml:space="preserve">, </w:t>
      </w:r>
      <w:r w:rsidRPr="00351EC4">
        <w:t>王云宏</w:t>
      </w:r>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23"/>
    </w:p>
    <w:p w14:paraId="18547D36" w14:textId="77777777" w:rsidR="00351EC4" w:rsidRPr="00351EC4" w:rsidRDefault="00351EC4" w:rsidP="00351EC4">
      <w:pPr>
        <w:pStyle w:val="17"/>
      </w:pPr>
      <w:bookmarkStart w:id="24" w:name="REF_010"/>
      <w:r w:rsidRPr="00351EC4">
        <w:t>[10]</w:t>
      </w:r>
      <w:r w:rsidRPr="00351EC4">
        <w:tab/>
      </w:r>
      <w:r w:rsidRPr="00351EC4">
        <w:t>刘万里</w:t>
      </w:r>
      <w:r w:rsidRPr="00351EC4">
        <w:t xml:space="preserve">, </w:t>
      </w:r>
      <w:r w:rsidRPr="00351EC4">
        <w:t>张学亮</w:t>
      </w:r>
      <w:r w:rsidRPr="00351EC4">
        <w:t xml:space="preserve">, </w:t>
      </w:r>
      <w:r w:rsidRPr="00351EC4">
        <w:t>王世博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24"/>
    </w:p>
    <w:p w14:paraId="7C5432F7" w14:textId="77777777" w:rsidR="00351EC4" w:rsidRPr="00351EC4" w:rsidRDefault="00351EC4" w:rsidP="00351EC4">
      <w:pPr>
        <w:pStyle w:val="17"/>
      </w:pPr>
      <w:bookmarkStart w:id="25" w:name="REF_011"/>
      <w:r w:rsidRPr="00351EC4">
        <w:t>[11]</w:t>
      </w:r>
      <w:r w:rsidRPr="00351EC4">
        <w:tab/>
        <w:t>YANG Yi, LI Yingchun, WANG Lujun, et al. On strata damage and stress disturbance induced by coal mining based on physical similarity simulation experiments[J]. Scientific Reports, 2023, 13(1). DOI: 10.1038/s41598-023-42148-4.</w:t>
      </w:r>
      <w:bookmarkEnd w:id="25"/>
    </w:p>
    <w:p w14:paraId="45343055" w14:textId="77777777" w:rsidR="00351EC4" w:rsidRPr="00351EC4" w:rsidRDefault="00351EC4" w:rsidP="00351EC4">
      <w:pPr>
        <w:pStyle w:val="17"/>
      </w:pPr>
      <w:bookmarkStart w:id="26"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26"/>
    </w:p>
    <w:p w14:paraId="7E2EF76E" w14:textId="77777777" w:rsidR="00351EC4" w:rsidRPr="00351EC4" w:rsidRDefault="00351EC4" w:rsidP="00351EC4">
      <w:pPr>
        <w:pStyle w:val="17"/>
      </w:pPr>
      <w:bookmarkStart w:id="27" w:name="REF_013"/>
      <w:r w:rsidRPr="00351EC4">
        <w:t>[13]</w:t>
      </w:r>
      <w:r w:rsidRPr="00351EC4">
        <w:tab/>
        <w:t>YANG Xiao, SHI Longqing, QIU Mei, et al. Spatiotemporal evolution patterns of mining-induced overburden damage based on microseismic event response analysis[J]. Journal of Applied Geophysics, 2025, 242: 105876. DOI: 10.1016/j.jappgeo.2025.105876.</w:t>
      </w:r>
      <w:bookmarkEnd w:id="27"/>
    </w:p>
    <w:p w14:paraId="6AD72CE5" w14:textId="77777777" w:rsidR="00351EC4" w:rsidRPr="00351EC4" w:rsidRDefault="00351EC4" w:rsidP="00351EC4">
      <w:pPr>
        <w:pStyle w:val="17"/>
      </w:pPr>
      <w:bookmarkStart w:id="28"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28"/>
    </w:p>
    <w:p w14:paraId="5BE249CC" w14:textId="77777777" w:rsidR="00351EC4" w:rsidRPr="00351EC4" w:rsidRDefault="00351EC4" w:rsidP="00351EC4">
      <w:pPr>
        <w:pStyle w:val="17"/>
      </w:pPr>
      <w:bookmarkStart w:id="29" w:name="REF_015"/>
      <w:r w:rsidRPr="00351EC4">
        <w:t>[15]</w:t>
      </w:r>
      <w:r w:rsidRPr="00351EC4">
        <w:tab/>
        <w:t>CAO Jian, HUANG Qingxiang, GUO Lingfei. Subsidence prediction of overburden strata and ground surface in shallow coal seam mining[J]. Scientific Reports, 2021, 11(1). DOI: 10.1038/s41598-021-98520-9.</w:t>
      </w:r>
      <w:bookmarkEnd w:id="29"/>
    </w:p>
    <w:p w14:paraId="1335F3A6" w14:textId="77777777" w:rsidR="00351EC4" w:rsidRPr="00351EC4" w:rsidRDefault="00351EC4" w:rsidP="00351EC4">
      <w:pPr>
        <w:pStyle w:val="17"/>
      </w:pPr>
      <w:bookmarkStart w:id="30"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30"/>
    </w:p>
    <w:p w14:paraId="17D0E74C" w14:textId="77777777" w:rsidR="00351EC4" w:rsidRPr="00351EC4" w:rsidRDefault="00351EC4" w:rsidP="00351EC4">
      <w:pPr>
        <w:pStyle w:val="17"/>
      </w:pPr>
      <w:bookmarkStart w:id="31" w:name="REF_017"/>
      <w:r w:rsidRPr="00351EC4">
        <w:t>[17]</w:t>
      </w:r>
      <w:r w:rsidRPr="00351EC4">
        <w:tab/>
        <w:t>SHI Xiuchang, ZHANG Jixing. Characteristics of overburden failure and fracture evolution in shallow buried working face with large mining height[J]. Sustainability, 2021, 13(24): 13775. DOI: 10.3390/su132413775.</w:t>
      </w:r>
      <w:bookmarkEnd w:id="31"/>
    </w:p>
    <w:p w14:paraId="444606BB" w14:textId="77777777" w:rsidR="00351EC4" w:rsidRPr="00351EC4" w:rsidRDefault="00351EC4" w:rsidP="00351EC4">
      <w:pPr>
        <w:pStyle w:val="17"/>
      </w:pPr>
      <w:bookmarkStart w:id="32"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32"/>
    </w:p>
    <w:p w14:paraId="4D7D0FA5" w14:textId="77777777" w:rsidR="00351EC4" w:rsidRPr="00351EC4" w:rsidRDefault="00351EC4" w:rsidP="00351EC4">
      <w:pPr>
        <w:pStyle w:val="17"/>
      </w:pPr>
      <w:bookmarkStart w:id="33" w:name="REF_019"/>
      <w:r w:rsidRPr="00351EC4">
        <w:t>[19]</w:t>
      </w:r>
      <w:r w:rsidRPr="00351EC4">
        <w:tab/>
        <w:t>XUE Sen, WANG Qiqing, SONG Zhen. Analysis of water-permeable fractured zone in weakly cemented overburden considering rock strain-softening[J]. Scientific Reports, 2026, 16(1). DOI: 10.1038/s41598-026-45413-4.</w:t>
      </w:r>
      <w:bookmarkEnd w:id="33"/>
    </w:p>
    <w:p w14:paraId="51CE135E" w14:textId="77777777" w:rsidR="00351EC4" w:rsidRPr="00351EC4" w:rsidRDefault="00351EC4" w:rsidP="00351EC4">
      <w:pPr>
        <w:pStyle w:val="17"/>
      </w:pPr>
      <w:bookmarkStart w:id="34"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34"/>
    </w:p>
    <w:p w14:paraId="69C9E299" w14:textId="77777777" w:rsidR="00351EC4" w:rsidRPr="00351EC4" w:rsidRDefault="00351EC4" w:rsidP="00351EC4">
      <w:pPr>
        <w:pStyle w:val="17"/>
      </w:pPr>
      <w:bookmarkStart w:id="35" w:name="REF_021"/>
      <w:r w:rsidRPr="00351EC4">
        <w:t>[21]</w:t>
      </w:r>
      <w:r w:rsidRPr="00351EC4">
        <w:tab/>
        <w:t>KRATZSCH Helmut. Strata movement at the mining horizon[M]//Mining Subsidence Engineering. Berlin, , Heidelberg: Springer, 1983: 7-40. DOI: 10.1007/978-3-642-81923-0_2.</w:t>
      </w:r>
      <w:bookmarkEnd w:id="35"/>
    </w:p>
    <w:p w14:paraId="0107058A" w14:textId="77777777" w:rsidR="00351EC4" w:rsidRPr="00351EC4" w:rsidRDefault="00351EC4" w:rsidP="00351EC4">
      <w:pPr>
        <w:pStyle w:val="17"/>
      </w:pPr>
      <w:bookmarkStart w:id="36"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干旱矿区采动顶板导水裂隙的演化规律及保水采煤意义</w:t>
      </w:r>
      <w:r w:rsidRPr="00351EC4">
        <w:t xml:space="preserve">[J]. </w:t>
      </w:r>
      <w:r w:rsidRPr="00351EC4">
        <w:t>煤炭学报</w:t>
      </w:r>
      <w:r w:rsidRPr="00351EC4">
        <w:t>, 2019, 44(3): 767-776. DOI: 10.13225/j.cnki.jccs.2018.6041.</w:t>
      </w:r>
      <w:bookmarkEnd w:id="36"/>
    </w:p>
    <w:p w14:paraId="056C3F93" w14:textId="77777777" w:rsidR="00351EC4" w:rsidRPr="00351EC4" w:rsidRDefault="00351EC4" w:rsidP="00351EC4">
      <w:pPr>
        <w:pStyle w:val="17"/>
      </w:pPr>
      <w:bookmarkStart w:id="37"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r w:rsidRPr="00351EC4">
        <w:t>采动覆岩导水裂隙主通道分布模型及其水流动特性</w:t>
      </w:r>
      <w:r w:rsidRPr="00351EC4">
        <w:t xml:space="preserve">[J]. </w:t>
      </w:r>
      <w:r w:rsidRPr="00351EC4">
        <w:t>煤炭学报</w:t>
      </w:r>
      <w:r w:rsidRPr="00351EC4">
        <w:t>, 2019, 44(12): 3719-3728. DOI: 10.13225/j.cnki.jccs.SH19.0446.</w:t>
      </w:r>
      <w:bookmarkEnd w:id="37"/>
    </w:p>
    <w:p w14:paraId="24CFA5F9" w14:textId="77777777" w:rsidR="00351EC4" w:rsidRPr="00351EC4" w:rsidRDefault="00351EC4" w:rsidP="00351EC4">
      <w:pPr>
        <w:pStyle w:val="17"/>
      </w:pPr>
      <w:bookmarkStart w:id="38" w:name="REF_024"/>
      <w:r w:rsidRPr="00351EC4">
        <w:t>[24]</w:t>
      </w:r>
      <w:r w:rsidRPr="00351EC4">
        <w:tab/>
      </w:r>
      <w:r w:rsidRPr="00351EC4">
        <w:t>郭文兵</w:t>
      </w:r>
      <w:r w:rsidRPr="00351EC4">
        <w:t xml:space="preserve">, </w:t>
      </w:r>
      <w:r w:rsidRPr="00351EC4">
        <w:t>娄高中</w:t>
      </w:r>
      <w:r w:rsidRPr="00351EC4">
        <w:t xml:space="preserve">. </w:t>
      </w:r>
      <w:r w:rsidRPr="00351EC4">
        <w:t>覆岩破坏充分采动程度定义及判别方法</w:t>
      </w:r>
      <w:r w:rsidRPr="00351EC4">
        <w:t xml:space="preserve">[J]. </w:t>
      </w:r>
      <w:r w:rsidRPr="00351EC4">
        <w:t>煤炭学报</w:t>
      </w:r>
      <w:r w:rsidRPr="00351EC4">
        <w:t>, 2019, 44(3): 755-766. DOI: 10.13225/j.cnki.jccs.2018.6038.</w:t>
      </w:r>
      <w:bookmarkEnd w:id="38"/>
    </w:p>
    <w:p w14:paraId="4D1F0FF0" w14:textId="77777777" w:rsidR="00351EC4" w:rsidRPr="00351EC4" w:rsidRDefault="00351EC4" w:rsidP="00351EC4">
      <w:pPr>
        <w:pStyle w:val="17"/>
      </w:pPr>
      <w:bookmarkStart w:id="39"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39"/>
    </w:p>
    <w:p w14:paraId="3BB359DE" w14:textId="77777777" w:rsidR="00351EC4" w:rsidRPr="00351EC4" w:rsidRDefault="00351EC4" w:rsidP="00351EC4">
      <w:pPr>
        <w:pStyle w:val="17"/>
      </w:pPr>
      <w:bookmarkStart w:id="40"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40"/>
    </w:p>
    <w:p w14:paraId="6A8B7C8D" w14:textId="77777777" w:rsidR="00351EC4" w:rsidRPr="00351EC4" w:rsidRDefault="00351EC4" w:rsidP="00351EC4">
      <w:pPr>
        <w:pStyle w:val="17"/>
      </w:pPr>
      <w:bookmarkStart w:id="41"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深部煤层非充分采动下覆岩裂隙场可视化探测研究</w:t>
      </w:r>
      <w:r w:rsidRPr="00351EC4">
        <w:t xml:space="preserve">[J]. </w:t>
      </w:r>
      <w:r w:rsidRPr="00351EC4">
        <w:t>煤炭科学技术</w:t>
      </w:r>
      <w:r w:rsidRPr="00351EC4">
        <w:t>, 2020, 48(3): 197-204. DOI: 10.13199/j.cnki.cst.2020.03.024.</w:t>
      </w:r>
      <w:bookmarkEnd w:id="41"/>
    </w:p>
    <w:p w14:paraId="04362470" w14:textId="77777777" w:rsidR="00351EC4" w:rsidRPr="00351EC4" w:rsidRDefault="00351EC4" w:rsidP="00351EC4">
      <w:pPr>
        <w:pStyle w:val="17"/>
      </w:pPr>
      <w:bookmarkStart w:id="42"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42"/>
    </w:p>
    <w:p w14:paraId="2C208FCA" w14:textId="77777777" w:rsidR="00351EC4" w:rsidRPr="00351EC4" w:rsidRDefault="00351EC4" w:rsidP="00351EC4">
      <w:pPr>
        <w:pStyle w:val="17"/>
      </w:pPr>
      <w:bookmarkStart w:id="43" w:name="REF_029"/>
      <w:r w:rsidRPr="00351EC4">
        <w:t>[29]</w:t>
      </w:r>
      <w:r w:rsidRPr="00351EC4">
        <w:tab/>
      </w:r>
      <w:r w:rsidRPr="00351EC4">
        <w:t>张玉军</w:t>
      </w:r>
      <w:r w:rsidRPr="00351EC4">
        <w:t xml:space="preserve">, </w:t>
      </w:r>
      <w:r w:rsidRPr="00351EC4">
        <w:t>宋业杰</w:t>
      </w:r>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43"/>
    </w:p>
    <w:p w14:paraId="78390D93" w14:textId="77777777" w:rsidR="00351EC4" w:rsidRPr="00351EC4" w:rsidRDefault="00351EC4" w:rsidP="00351EC4">
      <w:pPr>
        <w:pStyle w:val="17"/>
      </w:pPr>
      <w:bookmarkStart w:id="44" w:name="REF_030"/>
      <w:r w:rsidRPr="00351EC4">
        <w:t>[30]</w:t>
      </w:r>
      <w:r w:rsidRPr="00351EC4">
        <w:tab/>
      </w:r>
      <w:r w:rsidRPr="00351EC4">
        <w:t>董书宁</w:t>
      </w:r>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44"/>
    </w:p>
    <w:p w14:paraId="3FCAAE66" w14:textId="77777777" w:rsidR="00351EC4" w:rsidRPr="00351EC4" w:rsidRDefault="00351EC4" w:rsidP="00351EC4">
      <w:pPr>
        <w:pStyle w:val="17"/>
      </w:pPr>
      <w:bookmarkStart w:id="45" w:name="REF_031"/>
      <w:r w:rsidRPr="00351EC4">
        <w:t>[31]</w:t>
      </w:r>
      <w:r w:rsidRPr="00351EC4">
        <w:tab/>
      </w:r>
      <w:r w:rsidRPr="00351EC4">
        <w:t>范立民</w:t>
      </w:r>
      <w:r w:rsidRPr="00351EC4">
        <w:t xml:space="preserve">, </w:t>
      </w:r>
      <w:r w:rsidRPr="00351EC4">
        <w:t>马雄德</w:t>
      </w:r>
      <w:r w:rsidRPr="00351EC4">
        <w:t xml:space="preserve">, </w:t>
      </w:r>
      <w:r w:rsidRPr="00351EC4">
        <w:t>蒋泽泉</w:t>
      </w:r>
      <w:r w:rsidRPr="00351EC4">
        <w:t xml:space="preserve">, </w:t>
      </w:r>
      <w:r w:rsidRPr="00351EC4">
        <w:t>等</w:t>
      </w:r>
      <w:r w:rsidRPr="00351EC4">
        <w:t xml:space="preserve">. </w:t>
      </w:r>
      <w:r w:rsidRPr="00351EC4">
        <w:t>保水采煤研究</w:t>
      </w:r>
      <w:r w:rsidRPr="00351EC4">
        <w:t>30</w:t>
      </w:r>
      <w:r w:rsidRPr="00351EC4">
        <w:t>年回顾与展望</w:t>
      </w:r>
      <w:r w:rsidRPr="00351EC4">
        <w:t xml:space="preserve">[J]. </w:t>
      </w:r>
      <w:r w:rsidRPr="00351EC4">
        <w:t>煤炭科学技术</w:t>
      </w:r>
      <w:r w:rsidRPr="00351EC4">
        <w:t>, 2019, 47(7): 1-30. DOI: 10.13199/j.cnki.cst.2019.07.001.</w:t>
      </w:r>
      <w:bookmarkEnd w:id="45"/>
    </w:p>
    <w:p w14:paraId="5D914B68" w14:textId="77777777" w:rsidR="00351EC4" w:rsidRPr="00351EC4" w:rsidRDefault="00351EC4" w:rsidP="00351EC4">
      <w:pPr>
        <w:pStyle w:val="17"/>
      </w:pPr>
      <w:bookmarkStart w:id="46" w:name="REF_032"/>
      <w:r w:rsidRPr="00351EC4">
        <w:lastRenderedPageBreak/>
        <w:t>[32]</w:t>
      </w:r>
      <w:r w:rsidRPr="00351EC4">
        <w:tab/>
      </w:r>
      <w:r w:rsidRPr="00351EC4">
        <w:t>许家林</w:t>
      </w:r>
      <w:r w:rsidRPr="00351EC4">
        <w:t xml:space="preserve">, </w:t>
      </w:r>
      <w:r w:rsidRPr="00351EC4">
        <w:t>朱卫兵</w:t>
      </w:r>
      <w:r w:rsidRPr="00351EC4">
        <w:t xml:space="preserve">, </w:t>
      </w:r>
      <w:r w:rsidRPr="00351EC4">
        <w:t>王晓振</w:t>
      </w:r>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46"/>
    </w:p>
    <w:p w14:paraId="2A06B225" w14:textId="77777777" w:rsidR="00351EC4" w:rsidRPr="00351EC4" w:rsidRDefault="00351EC4" w:rsidP="00351EC4">
      <w:pPr>
        <w:pStyle w:val="17"/>
      </w:pPr>
      <w:bookmarkStart w:id="47" w:name="REF_033"/>
      <w:r w:rsidRPr="00351EC4">
        <w:t>[33]</w:t>
      </w:r>
      <w:r w:rsidRPr="00351EC4">
        <w:tab/>
      </w:r>
      <w:r w:rsidRPr="00351EC4">
        <w:t>郭小铭</w:t>
      </w:r>
      <w:r w:rsidRPr="00351EC4">
        <w:t xml:space="preserve">, </w:t>
      </w:r>
      <w:r w:rsidRPr="00351EC4">
        <w:t>董书宁</w:t>
      </w:r>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47"/>
    </w:p>
    <w:p w14:paraId="5DECF55B" w14:textId="77777777" w:rsidR="00351EC4" w:rsidRPr="00351EC4" w:rsidRDefault="00351EC4" w:rsidP="00351EC4">
      <w:pPr>
        <w:pStyle w:val="17"/>
      </w:pPr>
      <w:bookmarkStart w:id="48" w:name="REF_034"/>
      <w:r w:rsidRPr="00351EC4">
        <w:t>[34]</w:t>
      </w:r>
      <w:r w:rsidRPr="00351EC4">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48"/>
    </w:p>
    <w:p w14:paraId="668D7B93" w14:textId="77777777" w:rsidR="00351EC4" w:rsidRPr="00351EC4" w:rsidRDefault="00351EC4" w:rsidP="00351EC4">
      <w:pPr>
        <w:pStyle w:val="17"/>
      </w:pPr>
      <w:bookmarkStart w:id="49" w:name="REF_035"/>
      <w:r w:rsidRPr="00351EC4">
        <w:t>[35]</w:t>
      </w:r>
      <w:r w:rsidRPr="00351EC4">
        <w:tab/>
        <w:t>SHAN Yang, KE Li, XIANG Jun, et al. Multi-objective optimisation based on NSGA-II of mine cut-off grade from the perspective of resource security[J]. International Journal of Mining, Reclamation and Environment, 2025: 1-20. DOI: 10.1080/17480930.2025.2532460.</w:t>
      </w:r>
      <w:bookmarkEnd w:id="49"/>
    </w:p>
    <w:p w14:paraId="5CCA963C" w14:textId="77777777" w:rsidR="00351EC4" w:rsidRPr="00351EC4" w:rsidRDefault="00351EC4" w:rsidP="00351EC4">
      <w:pPr>
        <w:pStyle w:val="17"/>
      </w:pPr>
      <w:bookmarkStart w:id="50" w:name="REF_036"/>
      <w:r w:rsidRPr="00351EC4">
        <w:t>[36]</w:t>
      </w:r>
      <w:r w:rsidRPr="00351EC4">
        <w:tab/>
        <w:t>GU Xiaowei, WANG Xunhong, LIU Zaobao, et al. A multi-objective optimization model using improved NSGA-II for optimizing metal mines production process[J]. IEEE Access, 2020, 8: 28847-28858. DOI: 10.1109/access.2020.2972018.</w:t>
      </w:r>
      <w:bookmarkEnd w:id="50"/>
    </w:p>
    <w:p w14:paraId="62F261D9" w14:textId="77777777" w:rsidR="00351EC4" w:rsidRPr="00351EC4" w:rsidRDefault="00351EC4" w:rsidP="00351EC4">
      <w:pPr>
        <w:pStyle w:val="17"/>
      </w:pPr>
      <w:bookmarkStart w:id="51" w:name="REF_037"/>
      <w:r w:rsidRPr="00351EC4">
        <w:t>[37]</w:t>
      </w:r>
      <w:r w:rsidRPr="00351EC4">
        <w:tab/>
        <w:t>NESBITT Peter, BLAKE Lewis R., LAMAS Patricio, et al. Underground mine scheduling under uncertainty[J]. European Journal of Operational Research, 2021, 294(1): 340-352. DOI: 10.1016/j.ejor.2021.01.011.</w:t>
      </w:r>
      <w:bookmarkEnd w:id="51"/>
    </w:p>
    <w:p w14:paraId="07A0AACF" w14:textId="77777777" w:rsidR="00351EC4" w:rsidRPr="00351EC4" w:rsidRDefault="00351EC4" w:rsidP="00351EC4">
      <w:pPr>
        <w:pStyle w:val="17"/>
      </w:pPr>
      <w:bookmarkStart w:id="52"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52"/>
    </w:p>
    <w:p w14:paraId="39C58D08" w14:textId="77777777" w:rsidR="00351EC4" w:rsidRPr="00351EC4" w:rsidRDefault="00351EC4" w:rsidP="00351EC4">
      <w:pPr>
        <w:pStyle w:val="17"/>
      </w:pPr>
      <w:bookmarkStart w:id="53"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53"/>
    </w:p>
    <w:p w14:paraId="6AC050D5" w14:textId="77777777" w:rsidR="00351EC4" w:rsidRPr="00351EC4" w:rsidRDefault="00351EC4" w:rsidP="00351EC4">
      <w:pPr>
        <w:pStyle w:val="17"/>
      </w:pPr>
      <w:bookmarkStart w:id="54"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54"/>
    </w:p>
    <w:p w14:paraId="6EE9EEEA" w14:textId="77777777" w:rsidR="00351EC4" w:rsidRPr="00351EC4" w:rsidRDefault="00351EC4" w:rsidP="00351EC4">
      <w:pPr>
        <w:pStyle w:val="17"/>
      </w:pPr>
      <w:bookmarkStart w:id="55" w:name="REF_041"/>
      <w:r w:rsidRPr="00351EC4">
        <w:t>[41]</w:t>
      </w:r>
      <w:r w:rsidRPr="00351EC4">
        <w:tab/>
        <w:t xml:space="preserve">QU Juncong, KIZIL Mehmet S., YAHYAEI Mohsen, et al. Digital twins in the minerals industry: a comprehensive review[J]. Mining </w:t>
      </w:r>
      <w:r w:rsidRPr="00351EC4">
        <w:t>Technology, 2023, 132(4): 267-289. DOI: 10.1080/25726668.2023.2257479.</w:t>
      </w:r>
      <w:bookmarkEnd w:id="55"/>
    </w:p>
    <w:p w14:paraId="1F7F8AA9" w14:textId="77777777" w:rsidR="00351EC4" w:rsidRPr="00351EC4" w:rsidRDefault="00351EC4" w:rsidP="00351EC4">
      <w:pPr>
        <w:pStyle w:val="17"/>
      </w:pPr>
      <w:bookmarkStart w:id="56" w:name="REF_042"/>
      <w:r w:rsidRPr="00351EC4">
        <w:t>[42]</w:t>
      </w:r>
      <w:r w:rsidRPr="00351EC4">
        <w:tab/>
        <w:t>PAN Dongdong, XU Zhenhao, LU Xinming, et al. 3D scene and geological modeling using integrated multi-source spatial data: methodology, challenges, and suggestions[J]. Tunnelling and Underground Space Technology, 2020, 100: 103393. DOI: 10.1016/j.tust.2020.103393.</w:t>
      </w:r>
      <w:bookmarkEnd w:id="56"/>
    </w:p>
    <w:p w14:paraId="7AF72E69" w14:textId="77777777" w:rsidR="00351EC4" w:rsidRPr="00351EC4" w:rsidRDefault="00351EC4" w:rsidP="00351EC4">
      <w:pPr>
        <w:pStyle w:val="17"/>
      </w:pPr>
      <w:bookmarkStart w:id="57" w:name="REF_043"/>
      <w:r w:rsidRPr="00351EC4">
        <w:t>[43]</w:t>
      </w:r>
      <w:r w:rsidRPr="00351EC4">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57"/>
    </w:p>
    <w:p w14:paraId="77BC7B1C" w14:textId="77777777" w:rsidR="00351EC4" w:rsidRPr="00351EC4" w:rsidRDefault="00351EC4" w:rsidP="00351EC4">
      <w:pPr>
        <w:pStyle w:val="17"/>
      </w:pPr>
      <w:bookmarkStart w:id="58" w:name="REF_044"/>
      <w:r w:rsidRPr="00351EC4">
        <w:t>[44]</w:t>
      </w:r>
      <w:r w:rsidRPr="00351EC4">
        <w:tab/>
        <w:t>LI Jiaoqun, WU Tong, LU Zengxiang, et al. Investigation into mining economic evaluation approaches based on the Rosenblueth point estimate method[J]. Applied Sciences, 2023, 13(15): 9011. DOI: 10.3390/app13159011.</w:t>
      </w:r>
      <w:bookmarkEnd w:id="58"/>
    </w:p>
    <w:p w14:paraId="14CBE2E0" w14:textId="77777777" w:rsidR="00351EC4" w:rsidRPr="00351EC4" w:rsidRDefault="00351EC4" w:rsidP="00351EC4">
      <w:pPr>
        <w:pStyle w:val="17"/>
      </w:pPr>
      <w:bookmarkStart w:id="59"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59"/>
    </w:p>
    <w:p w14:paraId="6CCB6F08" w14:textId="77777777" w:rsidR="00351EC4" w:rsidRPr="00351EC4" w:rsidRDefault="00351EC4" w:rsidP="00351EC4">
      <w:pPr>
        <w:pStyle w:val="17"/>
      </w:pPr>
      <w:bookmarkStart w:id="60"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煤矿分布式地下水库渗流场分析及优化调度</w:t>
      </w:r>
      <w:r w:rsidRPr="00351EC4">
        <w:t xml:space="preserve">[J]. </w:t>
      </w:r>
      <w:r w:rsidRPr="00351EC4">
        <w:t>煤炭学报</w:t>
      </w:r>
      <w:r w:rsidRPr="00351EC4">
        <w:t>, 2019, 44(12): 3693-3699. DOI: 10.13225/j.cnki.jccs.SH19.1167.</w:t>
      </w:r>
      <w:bookmarkEnd w:id="60"/>
    </w:p>
    <w:p w14:paraId="536F86EF" w14:textId="77777777" w:rsidR="00351EC4" w:rsidRPr="00351EC4" w:rsidRDefault="00351EC4" w:rsidP="00351EC4">
      <w:pPr>
        <w:pStyle w:val="17"/>
      </w:pPr>
      <w:bookmarkStart w:id="61"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61"/>
    </w:p>
    <w:p w14:paraId="78985091" w14:textId="77777777" w:rsidR="00351EC4" w:rsidRPr="00351EC4" w:rsidRDefault="00351EC4" w:rsidP="00351EC4">
      <w:pPr>
        <w:pStyle w:val="17"/>
      </w:pPr>
      <w:bookmarkStart w:id="62"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62"/>
    </w:p>
    <w:p w14:paraId="0657D167" w14:textId="77777777" w:rsidR="00351EC4" w:rsidRPr="00351EC4" w:rsidRDefault="00351EC4" w:rsidP="00351EC4">
      <w:pPr>
        <w:pStyle w:val="17"/>
      </w:pPr>
      <w:bookmarkStart w:id="63"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63"/>
    </w:p>
    <w:p w14:paraId="7209004E" w14:textId="77777777" w:rsidR="00351EC4" w:rsidRPr="00351EC4" w:rsidRDefault="00351EC4" w:rsidP="00351EC4">
      <w:pPr>
        <w:pStyle w:val="17"/>
      </w:pPr>
      <w:bookmarkStart w:id="64"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64"/>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D2C8" w14:textId="77777777" w:rsidR="00C037B7" w:rsidRDefault="00C037B7" w:rsidP="00461D3E">
      <w:r>
        <w:separator/>
      </w:r>
    </w:p>
  </w:endnote>
  <w:endnote w:type="continuationSeparator" w:id="0">
    <w:p w14:paraId="41888C89" w14:textId="77777777" w:rsidR="00C037B7" w:rsidRDefault="00C037B7"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C7F4" w14:textId="77777777" w:rsidR="00C037B7" w:rsidRDefault="00C037B7" w:rsidP="00461D3E">
      <w:r>
        <w:separator/>
      </w:r>
    </w:p>
  </w:footnote>
  <w:footnote w:type="continuationSeparator" w:id="0">
    <w:p w14:paraId="5D1E47C4" w14:textId="77777777" w:rsidR="00C037B7" w:rsidRDefault="00C037B7"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F50"/>
    <w:rsid w:val="00015110"/>
    <w:rsid w:val="00016896"/>
    <w:rsid w:val="00020E1C"/>
    <w:rsid w:val="00021800"/>
    <w:rsid w:val="00021A7E"/>
    <w:rsid w:val="00026578"/>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D5463"/>
    <w:rsid w:val="000E1681"/>
    <w:rsid w:val="000E3131"/>
    <w:rsid w:val="000E3342"/>
    <w:rsid w:val="000E5F3E"/>
    <w:rsid w:val="000F094A"/>
    <w:rsid w:val="000F0DB4"/>
    <w:rsid w:val="000F224D"/>
    <w:rsid w:val="000F5D29"/>
    <w:rsid w:val="000F70E1"/>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2D06"/>
    <w:rsid w:val="001779BA"/>
    <w:rsid w:val="00177AD6"/>
    <w:rsid w:val="0018065B"/>
    <w:rsid w:val="0018173F"/>
    <w:rsid w:val="001833AF"/>
    <w:rsid w:val="0019414F"/>
    <w:rsid w:val="00195EA6"/>
    <w:rsid w:val="001A1FCC"/>
    <w:rsid w:val="001A24F2"/>
    <w:rsid w:val="001A27C0"/>
    <w:rsid w:val="001A6198"/>
    <w:rsid w:val="001B3FB2"/>
    <w:rsid w:val="001B4CF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10CE2"/>
    <w:rsid w:val="002114BD"/>
    <w:rsid w:val="00214BA0"/>
    <w:rsid w:val="00217C00"/>
    <w:rsid w:val="002201A9"/>
    <w:rsid w:val="002255A2"/>
    <w:rsid w:val="002270C4"/>
    <w:rsid w:val="00232EF5"/>
    <w:rsid w:val="00235E71"/>
    <w:rsid w:val="002376A5"/>
    <w:rsid w:val="00243011"/>
    <w:rsid w:val="0024334E"/>
    <w:rsid w:val="0024363D"/>
    <w:rsid w:val="00243AFF"/>
    <w:rsid w:val="00246620"/>
    <w:rsid w:val="00250A9F"/>
    <w:rsid w:val="00251090"/>
    <w:rsid w:val="00251574"/>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7846"/>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41B04"/>
    <w:rsid w:val="00341CAA"/>
    <w:rsid w:val="00343531"/>
    <w:rsid w:val="00346E14"/>
    <w:rsid w:val="003477D1"/>
    <w:rsid w:val="00350E11"/>
    <w:rsid w:val="00350E56"/>
    <w:rsid w:val="00351EC4"/>
    <w:rsid w:val="003527A6"/>
    <w:rsid w:val="00352BEA"/>
    <w:rsid w:val="0035485F"/>
    <w:rsid w:val="003575AE"/>
    <w:rsid w:val="003653D5"/>
    <w:rsid w:val="00365DBA"/>
    <w:rsid w:val="003678F2"/>
    <w:rsid w:val="00367C4C"/>
    <w:rsid w:val="003717F7"/>
    <w:rsid w:val="00372527"/>
    <w:rsid w:val="0037397B"/>
    <w:rsid w:val="00374454"/>
    <w:rsid w:val="003747C3"/>
    <w:rsid w:val="0037587A"/>
    <w:rsid w:val="0037651B"/>
    <w:rsid w:val="003767A7"/>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2D27"/>
    <w:rsid w:val="003B394F"/>
    <w:rsid w:val="003B6C7F"/>
    <w:rsid w:val="003C1FF9"/>
    <w:rsid w:val="003C48A0"/>
    <w:rsid w:val="003D074C"/>
    <w:rsid w:val="003D0797"/>
    <w:rsid w:val="003D17DA"/>
    <w:rsid w:val="003D416D"/>
    <w:rsid w:val="003D5D3E"/>
    <w:rsid w:val="003E3332"/>
    <w:rsid w:val="003E3751"/>
    <w:rsid w:val="003F17C1"/>
    <w:rsid w:val="003F477A"/>
    <w:rsid w:val="003F595F"/>
    <w:rsid w:val="003F67DC"/>
    <w:rsid w:val="003F72D3"/>
    <w:rsid w:val="00404D0C"/>
    <w:rsid w:val="00405278"/>
    <w:rsid w:val="004056D8"/>
    <w:rsid w:val="00412CBF"/>
    <w:rsid w:val="00415C61"/>
    <w:rsid w:val="00421776"/>
    <w:rsid w:val="0042675C"/>
    <w:rsid w:val="00427253"/>
    <w:rsid w:val="004373AF"/>
    <w:rsid w:val="004460C7"/>
    <w:rsid w:val="004507A0"/>
    <w:rsid w:val="00456741"/>
    <w:rsid w:val="00457570"/>
    <w:rsid w:val="004615A4"/>
    <w:rsid w:val="00461D3E"/>
    <w:rsid w:val="0046232D"/>
    <w:rsid w:val="00464360"/>
    <w:rsid w:val="00470E53"/>
    <w:rsid w:val="0047338F"/>
    <w:rsid w:val="004746E7"/>
    <w:rsid w:val="004864E4"/>
    <w:rsid w:val="00490F36"/>
    <w:rsid w:val="00490F8C"/>
    <w:rsid w:val="00491F01"/>
    <w:rsid w:val="00491F62"/>
    <w:rsid w:val="004954BD"/>
    <w:rsid w:val="00495807"/>
    <w:rsid w:val="004A118E"/>
    <w:rsid w:val="004A1FAD"/>
    <w:rsid w:val="004A29A7"/>
    <w:rsid w:val="004A699A"/>
    <w:rsid w:val="004B50B8"/>
    <w:rsid w:val="004B54C2"/>
    <w:rsid w:val="004B7D90"/>
    <w:rsid w:val="004C0EEE"/>
    <w:rsid w:val="004C0F25"/>
    <w:rsid w:val="004C1CA5"/>
    <w:rsid w:val="004C4850"/>
    <w:rsid w:val="004D01F4"/>
    <w:rsid w:val="004D065A"/>
    <w:rsid w:val="004E0591"/>
    <w:rsid w:val="004E4545"/>
    <w:rsid w:val="004F1DE8"/>
    <w:rsid w:val="004F35E7"/>
    <w:rsid w:val="004F40A1"/>
    <w:rsid w:val="004F556C"/>
    <w:rsid w:val="00500687"/>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3716"/>
    <w:rsid w:val="00545D38"/>
    <w:rsid w:val="00550676"/>
    <w:rsid w:val="00551567"/>
    <w:rsid w:val="0055182C"/>
    <w:rsid w:val="00552D46"/>
    <w:rsid w:val="00556823"/>
    <w:rsid w:val="005635AD"/>
    <w:rsid w:val="00564284"/>
    <w:rsid w:val="0056527E"/>
    <w:rsid w:val="00567136"/>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2531"/>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35BA5"/>
    <w:rsid w:val="006368C7"/>
    <w:rsid w:val="0064101C"/>
    <w:rsid w:val="006411B9"/>
    <w:rsid w:val="00644893"/>
    <w:rsid w:val="00644E0C"/>
    <w:rsid w:val="006536A9"/>
    <w:rsid w:val="00653A8F"/>
    <w:rsid w:val="00655631"/>
    <w:rsid w:val="00655AB3"/>
    <w:rsid w:val="0066034F"/>
    <w:rsid w:val="0066339D"/>
    <w:rsid w:val="00663A29"/>
    <w:rsid w:val="00664392"/>
    <w:rsid w:val="00671096"/>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5A25"/>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76577"/>
    <w:rsid w:val="007803F9"/>
    <w:rsid w:val="007814D1"/>
    <w:rsid w:val="00783248"/>
    <w:rsid w:val="00786498"/>
    <w:rsid w:val="00787C36"/>
    <w:rsid w:val="00796138"/>
    <w:rsid w:val="007976AE"/>
    <w:rsid w:val="007A2087"/>
    <w:rsid w:val="007A3D13"/>
    <w:rsid w:val="007B3AA3"/>
    <w:rsid w:val="007C2A0A"/>
    <w:rsid w:val="007C50E5"/>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423B"/>
    <w:rsid w:val="008707EF"/>
    <w:rsid w:val="00872BFA"/>
    <w:rsid w:val="00874C14"/>
    <w:rsid w:val="00874FDE"/>
    <w:rsid w:val="0087572E"/>
    <w:rsid w:val="00875900"/>
    <w:rsid w:val="00876603"/>
    <w:rsid w:val="00880C18"/>
    <w:rsid w:val="008845B5"/>
    <w:rsid w:val="00884AA2"/>
    <w:rsid w:val="0088530C"/>
    <w:rsid w:val="00885EA2"/>
    <w:rsid w:val="00886A97"/>
    <w:rsid w:val="00887C3A"/>
    <w:rsid w:val="00890D7E"/>
    <w:rsid w:val="00893176"/>
    <w:rsid w:val="008A2F6D"/>
    <w:rsid w:val="008B3DC5"/>
    <w:rsid w:val="008B42EC"/>
    <w:rsid w:val="008B6BEA"/>
    <w:rsid w:val="008C10FF"/>
    <w:rsid w:val="008C515D"/>
    <w:rsid w:val="008C6D61"/>
    <w:rsid w:val="008D0623"/>
    <w:rsid w:val="008D4178"/>
    <w:rsid w:val="008D5B0E"/>
    <w:rsid w:val="008E247D"/>
    <w:rsid w:val="008E2ED0"/>
    <w:rsid w:val="008F2042"/>
    <w:rsid w:val="008F39E6"/>
    <w:rsid w:val="008F3B06"/>
    <w:rsid w:val="0091220B"/>
    <w:rsid w:val="009130EB"/>
    <w:rsid w:val="00913156"/>
    <w:rsid w:val="00913973"/>
    <w:rsid w:val="00913AC3"/>
    <w:rsid w:val="0092199D"/>
    <w:rsid w:val="00925C6D"/>
    <w:rsid w:val="00927E53"/>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7C8"/>
    <w:rsid w:val="00971C15"/>
    <w:rsid w:val="00972B6E"/>
    <w:rsid w:val="00975A1A"/>
    <w:rsid w:val="00976B74"/>
    <w:rsid w:val="009810DF"/>
    <w:rsid w:val="0098111B"/>
    <w:rsid w:val="00985945"/>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E0D42"/>
    <w:rsid w:val="009E792C"/>
    <w:rsid w:val="009F0E19"/>
    <w:rsid w:val="009F1274"/>
    <w:rsid w:val="009F3BA1"/>
    <w:rsid w:val="009F5FB1"/>
    <w:rsid w:val="009F5FDD"/>
    <w:rsid w:val="00A07DBF"/>
    <w:rsid w:val="00A10272"/>
    <w:rsid w:val="00A1398A"/>
    <w:rsid w:val="00A13B3B"/>
    <w:rsid w:val="00A1550E"/>
    <w:rsid w:val="00A202FB"/>
    <w:rsid w:val="00A26188"/>
    <w:rsid w:val="00A26D86"/>
    <w:rsid w:val="00A313C6"/>
    <w:rsid w:val="00A330EE"/>
    <w:rsid w:val="00A35EEE"/>
    <w:rsid w:val="00A43BE5"/>
    <w:rsid w:val="00A4476A"/>
    <w:rsid w:val="00A565F4"/>
    <w:rsid w:val="00A6121E"/>
    <w:rsid w:val="00A75119"/>
    <w:rsid w:val="00A77E90"/>
    <w:rsid w:val="00A8054D"/>
    <w:rsid w:val="00A8389E"/>
    <w:rsid w:val="00A86782"/>
    <w:rsid w:val="00A87581"/>
    <w:rsid w:val="00A904B5"/>
    <w:rsid w:val="00A90B4F"/>
    <w:rsid w:val="00A96424"/>
    <w:rsid w:val="00A96B1F"/>
    <w:rsid w:val="00AA2548"/>
    <w:rsid w:val="00AA3DC3"/>
    <w:rsid w:val="00AA3FE2"/>
    <w:rsid w:val="00AA4B25"/>
    <w:rsid w:val="00AB2708"/>
    <w:rsid w:val="00AB2E6E"/>
    <w:rsid w:val="00AB2F3A"/>
    <w:rsid w:val="00AB73D7"/>
    <w:rsid w:val="00AC546D"/>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07870"/>
    <w:rsid w:val="00B12D4D"/>
    <w:rsid w:val="00B139E1"/>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40DA"/>
    <w:rsid w:val="00B5624B"/>
    <w:rsid w:val="00B6347E"/>
    <w:rsid w:val="00B65A06"/>
    <w:rsid w:val="00B668B9"/>
    <w:rsid w:val="00B675E9"/>
    <w:rsid w:val="00B71500"/>
    <w:rsid w:val="00B83A1A"/>
    <w:rsid w:val="00B84323"/>
    <w:rsid w:val="00B85640"/>
    <w:rsid w:val="00B909A2"/>
    <w:rsid w:val="00B931E7"/>
    <w:rsid w:val="00B93F48"/>
    <w:rsid w:val="00B9419E"/>
    <w:rsid w:val="00B942F3"/>
    <w:rsid w:val="00B96159"/>
    <w:rsid w:val="00BA1BEE"/>
    <w:rsid w:val="00BA3225"/>
    <w:rsid w:val="00BB3007"/>
    <w:rsid w:val="00BB3491"/>
    <w:rsid w:val="00BB680D"/>
    <w:rsid w:val="00BC2064"/>
    <w:rsid w:val="00BD05D4"/>
    <w:rsid w:val="00BD2B02"/>
    <w:rsid w:val="00BD3674"/>
    <w:rsid w:val="00BD3A38"/>
    <w:rsid w:val="00BE3C2D"/>
    <w:rsid w:val="00BE4503"/>
    <w:rsid w:val="00BE45FB"/>
    <w:rsid w:val="00BE6D17"/>
    <w:rsid w:val="00BF4E5A"/>
    <w:rsid w:val="00C0094F"/>
    <w:rsid w:val="00C037B7"/>
    <w:rsid w:val="00C043BF"/>
    <w:rsid w:val="00C14274"/>
    <w:rsid w:val="00C14B2B"/>
    <w:rsid w:val="00C159B4"/>
    <w:rsid w:val="00C16FAD"/>
    <w:rsid w:val="00C2056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4D9D"/>
    <w:rsid w:val="00C75004"/>
    <w:rsid w:val="00C776AC"/>
    <w:rsid w:val="00C863E6"/>
    <w:rsid w:val="00C90DB1"/>
    <w:rsid w:val="00C9766A"/>
    <w:rsid w:val="00CA38B5"/>
    <w:rsid w:val="00CA5821"/>
    <w:rsid w:val="00CA717F"/>
    <w:rsid w:val="00CB0ACE"/>
    <w:rsid w:val="00CB4E31"/>
    <w:rsid w:val="00CB553C"/>
    <w:rsid w:val="00CB5879"/>
    <w:rsid w:val="00CD312F"/>
    <w:rsid w:val="00CE0FA9"/>
    <w:rsid w:val="00CE3EA7"/>
    <w:rsid w:val="00CE5EE1"/>
    <w:rsid w:val="00CE6A33"/>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4019"/>
    <w:rsid w:val="00D74982"/>
    <w:rsid w:val="00D75E60"/>
    <w:rsid w:val="00D76668"/>
    <w:rsid w:val="00D8094F"/>
    <w:rsid w:val="00D81AE9"/>
    <w:rsid w:val="00D81F89"/>
    <w:rsid w:val="00D830E6"/>
    <w:rsid w:val="00D84105"/>
    <w:rsid w:val="00D90229"/>
    <w:rsid w:val="00D928FE"/>
    <w:rsid w:val="00D94197"/>
    <w:rsid w:val="00D97C48"/>
    <w:rsid w:val="00DA0094"/>
    <w:rsid w:val="00DA3048"/>
    <w:rsid w:val="00DB2EED"/>
    <w:rsid w:val="00DB398F"/>
    <w:rsid w:val="00DC0073"/>
    <w:rsid w:val="00DC0125"/>
    <w:rsid w:val="00DC1140"/>
    <w:rsid w:val="00DC3694"/>
    <w:rsid w:val="00DD19B2"/>
    <w:rsid w:val="00DD780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6383"/>
    <w:rsid w:val="00E27169"/>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87764"/>
    <w:rsid w:val="00E9648C"/>
    <w:rsid w:val="00EA0429"/>
    <w:rsid w:val="00EA3F12"/>
    <w:rsid w:val="00EB113B"/>
    <w:rsid w:val="00EB119E"/>
    <w:rsid w:val="00EB38E8"/>
    <w:rsid w:val="00EB51EA"/>
    <w:rsid w:val="00EC0531"/>
    <w:rsid w:val="00EC417F"/>
    <w:rsid w:val="00EC4EA7"/>
    <w:rsid w:val="00EC7A1C"/>
    <w:rsid w:val="00ED29A2"/>
    <w:rsid w:val="00ED47B1"/>
    <w:rsid w:val="00EE1D7E"/>
    <w:rsid w:val="00EE5A68"/>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3E3F"/>
    <w:rsid w:val="00FB4240"/>
    <w:rsid w:val="00FB611F"/>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5.bin"/><Relationship Id="rId42" Type="http://schemas.openxmlformats.org/officeDocument/2006/relationships/image" Target="media/image17.wmf"/><Relationship Id="rId63" Type="http://schemas.openxmlformats.org/officeDocument/2006/relationships/image" Target="media/image28.wmf"/><Relationship Id="rId84" Type="http://schemas.openxmlformats.org/officeDocument/2006/relationships/oleObject" Target="embeddings/oleObject36.bin"/><Relationship Id="rId138" Type="http://schemas.openxmlformats.org/officeDocument/2006/relationships/oleObject" Target="embeddings/oleObject63.bin"/><Relationship Id="rId159" Type="http://schemas.openxmlformats.org/officeDocument/2006/relationships/image" Target="media/image76.wmf"/><Relationship Id="rId170" Type="http://schemas.openxmlformats.org/officeDocument/2006/relationships/oleObject" Target="embeddings/oleObject79.bin"/><Relationship Id="rId191" Type="http://schemas.openxmlformats.org/officeDocument/2006/relationships/image" Target="media/image92.wmf"/><Relationship Id="rId205" Type="http://schemas.openxmlformats.org/officeDocument/2006/relationships/image" Target="media/image99.wmf"/><Relationship Id="rId226" Type="http://schemas.openxmlformats.org/officeDocument/2006/relationships/oleObject" Target="embeddings/oleObject107.bin"/><Relationship Id="rId247" Type="http://schemas.openxmlformats.org/officeDocument/2006/relationships/image" Target="media/image125.png"/><Relationship Id="rId107" Type="http://schemas.openxmlformats.org/officeDocument/2006/relationships/image" Target="media/image50.wmf"/><Relationship Id="rId11" Type="http://schemas.openxmlformats.org/officeDocument/2006/relationships/image" Target="media/image1.png"/><Relationship Id="rId32" Type="http://schemas.openxmlformats.org/officeDocument/2006/relationships/image" Target="media/image12.wmf"/><Relationship Id="rId53" Type="http://schemas.openxmlformats.org/officeDocument/2006/relationships/image" Target="media/image23.wmf"/><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4.bin"/><Relationship Id="rId181" Type="http://schemas.openxmlformats.org/officeDocument/2006/relationships/image" Target="media/image87.wmf"/><Relationship Id="rId216" Type="http://schemas.openxmlformats.org/officeDocument/2006/relationships/oleObject" Target="embeddings/oleObject102.bin"/><Relationship Id="rId237" Type="http://schemas.openxmlformats.org/officeDocument/2006/relationships/image" Target="media/image115.png"/><Relationship Id="rId22" Type="http://schemas.openxmlformats.org/officeDocument/2006/relationships/image" Target="media/image7.wmf"/><Relationship Id="rId43" Type="http://schemas.openxmlformats.org/officeDocument/2006/relationships/oleObject" Target="embeddings/oleObject16.bin"/><Relationship Id="rId64" Type="http://schemas.openxmlformats.org/officeDocument/2006/relationships/oleObject" Target="embeddings/oleObject26.bin"/><Relationship Id="rId118" Type="http://schemas.openxmlformats.org/officeDocument/2006/relationships/oleObject" Target="embeddings/oleObject53.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9.bin"/><Relationship Id="rId171" Type="http://schemas.openxmlformats.org/officeDocument/2006/relationships/image" Target="media/image82.wmf"/><Relationship Id="rId192" Type="http://schemas.openxmlformats.org/officeDocument/2006/relationships/oleObject" Target="embeddings/oleObject90.bin"/><Relationship Id="rId206" Type="http://schemas.openxmlformats.org/officeDocument/2006/relationships/oleObject" Target="embeddings/oleObject97.bin"/><Relationship Id="rId227" Type="http://schemas.openxmlformats.org/officeDocument/2006/relationships/image" Target="media/image110.wmf"/><Relationship Id="rId248" Type="http://schemas.openxmlformats.org/officeDocument/2006/relationships/image" Target="media/image126.png"/><Relationship Id="rId12" Type="http://schemas.openxmlformats.org/officeDocument/2006/relationships/image" Target="media/image2.wmf"/><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image" Target="media/image61.wmf"/><Relationship Id="rId54" Type="http://schemas.openxmlformats.org/officeDocument/2006/relationships/oleObject" Target="embeddings/oleObject21.bin"/><Relationship Id="rId75" Type="http://schemas.openxmlformats.org/officeDocument/2006/relationships/image" Target="media/image34.wmf"/><Relationship Id="rId96" Type="http://schemas.openxmlformats.org/officeDocument/2006/relationships/oleObject" Target="embeddings/oleObject42.bin"/><Relationship Id="rId140" Type="http://schemas.openxmlformats.org/officeDocument/2006/relationships/oleObject" Target="embeddings/oleObject64.bin"/><Relationship Id="rId161" Type="http://schemas.openxmlformats.org/officeDocument/2006/relationships/image" Target="media/image77.wmf"/><Relationship Id="rId182" Type="http://schemas.openxmlformats.org/officeDocument/2006/relationships/oleObject" Target="embeddings/oleObject85.bin"/><Relationship Id="rId217" Type="http://schemas.openxmlformats.org/officeDocument/2006/relationships/image" Target="media/image105.wmf"/><Relationship Id="rId6" Type="http://schemas.openxmlformats.org/officeDocument/2006/relationships/footnotes" Target="footnotes.xml"/><Relationship Id="rId238" Type="http://schemas.openxmlformats.org/officeDocument/2006/relationships/image" Target="media/image116.png"/><Relationship Id="rId23" Type="http://schemas.openxmlformats.org/officeDocument/2006/relationships/oleObject" Target="embeddings/oleObject6.bin"/><Relationship Id="rId119" Type="http://schemas.openxmlformats.org/officeDocument/2006/relationships/image" Target="media/image56.wmf"/><Relationship Id="rId44" Type="http://schemas.openxmlformats.org/officeDocument/2006/relationships/image" Target="media/image18.wmf"/><Relationship Id="rId65" Type="http://schemas.openxmlformats.org/officeDocument/2006/relationships/image" Target="media/image29.wmf"/><Relationship Id="rId86" Type="http://schemas.openxmlformats.org/officeDocument/2006/relationships/oleObject" Target="embeddings/oleObject37.bin"/><Relationship Id="rId130" Type="http://schemas.openxmlformats.org/officeDocument/2006/relationships/oleObject" Target="embeddings/oleObject59.bin"/><Relationship Id="rId151" Type="http://schemas.openxmlformats.org/officeDocument/2006/relationships/image" Target="media/image72.wmf"/><Relationship Id="rId172" Type="http://schemas.openxmlformats.org/officeDocument/2006/relationships/oleObject" Target="embeddings/oleObject80.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108.bin"/><Relationship Id="rId249" Type="http://schemas.openxmlformats.org/officeDocument/2006/relationships/image" Target="media/image127.png"/><Relationship Id="rId13" Type="http://schemas.openxmlformats.org/officeDocument/2006/relationships/oleObject" Target="embeddings/oleObject1.bin"/><Relationship Id="rId109" Type="http://schemas.openxmlformats.org/officeDocument/2006/relationships/image" Target="media/image51.wmf"/><Relationship Id="rId34" Type="http://schemas.openxmlformats.org/officeDocument/2006/relationships/image" Target="media/image13.wmf"/><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image" Target="media/image45.wmf"/><Relationship Id="rId120" Type="http://schemas.openxmlformats.org/officeDocument/2006/relationships/oleObject" Target="embeddings/oleObject54.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5.bin"/><Relationship Id="rId183" Type="http://schemas.openxmlformats.org/officeDocument/2006/relationships/image" Target="media/image88.wmf"/><Relationship Id="rId218" Type="http://schemas.openxmlformats.org/officeDocument/2006/relationships/oleObject" Target="embeddings/oleObject103.bin"/><Relationship Id="rId239" Type="http://schemas.openxmlformats.org/officeDocument/2006/relationships/image" Target="media/image117.png"/><Relationship Id="rId250" Type="http://schemas.openxmlformats.org/officeDocument/2006/relationships/fontTable" Target="fontTable.xml"/><Relationship Id="rId24" Type="http://schemas.openxmlformats.org/officeDocument/2006/relationships/image" Target="media/image8.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0.wmf"/><Relationship Id="rId110" Type="http://schemas.openxmlformats.org/officeDocument/2006/relationships/oleObject" Target="embeddings/oleObject49.bin"/><Relationship Id="rId131" Type="http://schemas.openxmlformats.org/officeDocument/2006/relationships/image" Target="media/image62.wmf"/><Relationship Id="rId152" Type="http://schemas.openxmlformats.org/officeDocument/2006/relationships/oleObject" Target="embeddings/oleObject70.bin"/><Relationship Id="rId173" Type="http://schemas.openxmlformats.org/officeDocument/2006/relationships/image" Target="media/image83.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image" Target="media/image111.wmf"/><Relationship Id="rId240" Type="http://schemas.openxmlformats.org/officeDocument/2006/relationships/image" Target="media/image118.png"/><Relationship Id="rId14" Type="http://schemas.openxmlformats.org/officeDocument/2006/relationships/image" Target="media/image3.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5.wmf"/><Relationship Id="rId100" Type="http://schemas.openxmlformats.org/officeDocument/2006/relationships/oleObject" Target="embeddings/oleObject44.bin"/><Relationship Id="rId8" Type="http://schemas.openxmlformats.org/officeDocument/2006/relationships/header" Target="header1.xml"/><Relationship Id="rId98" Type="http://schemas.openxmlformats.org/officeDocument/2006/relationships/oleObject" Target="embeddings/oleObject43.bin"/><Relationship Id="rId121" Type="http://schemas.openxmlformats.org/officeDocument/2006/relationships/image" Target="media/image57.wmf"/><Relationship Id="rId142" Type="http://schemas.openxmlformats.org/officeDocument/2006/relationships/oleObject" Target="embeddings/oleObject65.bin"/><Relationship Id="rId163" Type="http://schemas.openxmlformats.org/officeDocument/2006/relationships/image" Target="media/image78.wmf"/><Relationship Id="rId184" Type="http://schemas.openxmlformats.org/officeDocument/2006/relationships/oleObject" Target="embeddings/oleObject86.bin"/><Relationship Id="rId219" Type="http://schemas.openxmlformats.org/officeDocument/2006/relationships/image" Target="media/image106.wmf"/><Relationship Id="rId230" Type="http://schemas.openxmlformats.org/officeDocument/2006/relationships/oleObject" Target="embeddings/oleObject109.bin"/><Relationship Id="rId251" Type="http://schemas.openxmlformats.org/officeDocument/2006/relationships/theme" Target="theme/theme1.xml"/><Relationship Id="rId25" Type="http://schemas.openxmlformats.org/officeDocument/2006/relationships/oleObject" Target="embeddings/oleObject7.bin"/><Relationship Id="rId46" Type="http://schemas.openxmlformats.org/officeDocument/2006/relationships/image" Target="media/image19.png"/><Relationship Id="rId67" Type="http://schemas.openxmlformats.org/officeDocument/2006/relationships/image" Target="media/image30.wmf"/><Relationship Id="rId88" Type="http://schemas.openxmlformats.org/officeDocument/2006/relationships/oleObject" Target="embeddings/oleObject38.bin"/><Relationship Id="rId111" Type="http://schemas.openxmlformats.org/officeDocument/2006/relationships/image" Target="media/image52.wmf"/><Relationship Id="rId132" Type="http://schemas.openxmlformats.org/officeDocument/2006/relationships/oleObject" Target="embeddings/oleObject60.bin"/><Relationship Id="rId153" Type="http://schemas.openxmlformats.org/officeDocument/2006/relationships/image" Target="media/image73.wmf"/><Relationship Id="rId174" Type="http://schemas.openxmlformats.org/officeDocument/2006/relationships/oleObject" Target="embeddings/oleObject81.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oleObject" Target="embeddings/oleObject104.bin"/><Relationship Id="rId241" Type="http://schemas.openxmlformats.org/officeDocument/2006/relationships/image" Target="media/image119.png"/><Relationship Id="rId15" Type="http://schemas.openxmlformats.org/officeDocument/2006/relationships/oleObject" Target="embeddings/oleObject2.bin"/><Relationship Id="rId36" Type="http://schemas.openxmlformats.org/officeDocument/2006/relationships/image" Target="media/image14.wmf"/><Relationship Id="rId57" Type="http://schemas.openxmlformats.org/officeDocument/2006/relationships/image" Target="media/image25.wmf"/><Relationship Id="rId78" Type="http://schemas.openxmlformats.org/officeDocument/2006/relationships/oleObject" Target="embeddings/oleObject33.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5.bin"/><Relationship Id="rId143" Type="http://schemas.openxmlformats.org/officeDocument/2006/relationships/image" Target="media/image68.wmf"/><Relationship Id="rId164" Type="http://schemas.openxmlformats.org/officeDocument/2006/relationships/oleObject" Target="embeddings/oleObject76.bin"/><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oleObject" Target="embeddings/oleObject84.bin"/><Relationship Id="rId210" Type="http://schemas.openxmlformats.org/officeDocument/2006/relationships/oleObject" Target="embeddings/oleObject99.bin"/><Relationship Id="rId215" Type="http://schemas.openxmlformats.org/officeDocument/2006/relationships/image" Target="media/image104.wmf"/><Relationship Id="rId236" Type="http://schemas.openxmlformats.org/officeDocument/2006/relationships/oleObject" Target="embeddings/oleObject112.bin"/><Relationship Id="rId26" Type="http://schemas.openxmlformats.org/officeDocument/2006/relationships/image" Target="media/image9.wmf"/><Relationship Id="rId231" Type="http://schemas.openxmlformats.org/officeDocument/2006/relationships/image" Target="media/image112.wmf"/><Relationship Id="rId47" Type="http://schemas.openxmlformats.org/officeDocument/2006/relationships/image" Target="media/image20.wmf"/><Relationship Id="rId68" Type="http://schemas.openxmlformats.org/officeDocument/2006/relationships/oleObject" Target="embeddings/oleObject28.bin"/><Relationship Id="rId89" Type="http://schemas.openxmlformats.org/officeDocument/2006/relationships/image" Target="media/image41.wmf"/><Relationship Id="rId112" Type="http://schemas.openxmlformats.org/officeDocument/2006/relationships/oleObject" Target="embeddings/oleObject50.bin"/><Relationship Id="rId133" Type="http://schemas.openxmlformats.org/officeDocument/2006/relationships/image" Target="media/image63.wmf"/><Relationship Id="rId154" Type="http://schemas.openxmlformats.org/officeDocument/2006/relationships/oleObject" Target="embeddings/oleObject71.bin"/><Relationship Id="rId175" Type="http://schemas.openxmlformats.org/officeDocument/2006/relationships/image" Target="media/image84.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image" Target="media/image4.wmf"/><Relationship Id="rId221" Type="http://schemas.openxmlformats.org/officeDocument/2006/relationships/image" Target="media/image107.wmf"/><Relationship Id="rId242" Type="http://schemas.openxmlformats.org/officeDocument/2006/relationships/image" Target="media/image120.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image" Target="media/image58.wmf"/><Relationship Id="rId144" Type="http://schemas.openxmlformats.org/officeDocument/2006/relationships/oleObject" Target="embeddings/oleObject66.bin"/><Relationship Id="rId90" Type="http://schemas.openxmlformats.org/officeDocument/2006/relationships/oleObject" Target="embeddings/oleObject39.bin"/><Relationship Id="rId165" Type="http://schemas.openxmlformats.org/officeDocument/2006/relationships/image" Target="media/image79.wmf"/><Relationship Id="rId186" Type="http://schemas.openxmlformats.org/officeDocument/2006/relationships/oleObject" Target="embeddings/oleObject87.bin"/><Relationship Id="rId211" Type="http://schemas.openxmlformats.org/officeDocument/2006/relationships/image" Target="media/image102.wmf"/><Relationship Id="rId232" Type="http://schemas.openxmlformats.org/officeDocument/2006/relationships/oleObject" Target="embeddings/oleObject110.bin"/><Relationship Id="rId27" Type="http://schemas.openxmlformats.org/officeDocument/2006/relationships/oleObject" Target="embeddings/oleObject8.bin"/><Relationship Id="rId48" Type="http://schemas.openxmlformats.org/officeDocument/2006/relationships/oleObject" Target="embeddings/oleObject18.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1.bin"/><Relationship Id="rId80" Type="http://schemas.openxmlformats.org/officeDocument/2006/relationships/oleObject" Target="embeddings/oleObject34.bin"/><Relationship Id="rId155" Type="http://schemas.openxmlformats.org/officeDocument/2006/relationships/image" Target="media/image74.wmf"/><Relationship Id="rId176" Type="http://schemas.openxmlformats.org/officeDocument/2006/relationships/oleObject" Target="embeddings/oleObject82.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5.bin"/><Relationship Id="rId243" Type="http://schemas.openxmlformats.org/officeDocument/2006/relationships/image" Target="media/image121.png"/><Relationship Id="rId17" Type="http://schemas.openxmlformats.org/officeDocument/2006/relationships/oleObject" Target="embeddings/oleObject3.bin"/><Relationship Id="rId38" Type="http://schemas.openxmlformats.org/officeDocument/2006/relationships/image" Target="media/image15.wmf"/><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6.bin"/><Relationship Id="rId70" Type="http://schemas.openxmlformats.org/officeDocument/2006/relationships/oleObject" Target="embeddings/oleObject29.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7.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3.wmf"/><Relationship Id="rId28" Type="http://schemas.openxmlformats.org/officeDocument/2006/relationships/image" Target="media/image10.wmf"/><Relationship Id="rId49" Type="http://schemas.openxmlformats.org/officeDocument/2006/relationships/image" Target="media/image21.wmf"/><Relationship Id="rId114" Type="http://schemas.openxmlformats.org/officeDocument/2006/relationships/oleObject" Target="embeddings/oleObject51.bin"/><Relationship Id="rId60" Type="http://schemas.openxmlformats.org/officeDocument/2006/relationships/oleObject" Target="embeddings/oleObject24.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2.bin"/><Relationship Id="rId177" Type="http://schemas.openxmlformats.org/officeDocument/2006/relationships/image" Target="media/image85.wmf"/><Relationship Id="rId198" Type="http://schemas.openxmlformats.org/officeDocument/2006/relationships/oleObject" Target="embeddings/oleObject93.bin"/><Relationship Id="rId202" Type="http://schemas.openxmlformats.org/officeDocument/2006/relationships/oleObject" Target="embeddings/oleObject95.bin"/><Relationship Id="rId223" Type="http://schemas.openxmlformats.org/officeDocument/2006/relationships/image" Target="media/image108.wmf"/><Relationship Id="rId244" Type="http://schemas.openxmlformats.org/officeDocument/2006/relationships/image" Target="media/image122.png"/><Relationship Id="rId18" Type="http://schemas.openxmlformats.org/officeDocument/2006/relationships/image" Target="media/image5.wmf"/><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oleObject" Target="embeddings/oleObject46.bin"/><Relationship Id="rId125" Type="http://schemas.openxmlformats.org/officeDocument/2006/relationships/image" Target="media/image59.wmf"/><Relationship Id="rId146" Type="http://schemas.openxmlformats.org/officeDocument/2006/relationships/oleObject" Target="embeddings/oleObject67.bin"/><Relationship Id="rId167" Type="http://schemas.openxmlformats.org/officeDocument/2006/relationships/image" Target="media/image80.wmf"/><Relationship Id="rId188" Type="http://schemas.openxmlformats.org/officeDocument/2006/relationships/oleObject" Target="embeddings/oleObject88.bin"/><Relationship Id="rId71" Type="http://schemas.openxmlformats.org/officeDocument/2006/relationships/image" Target="media/image32.wmf"/><Relationship Id="rId92" Type="http://schemas.openxmlformats.org/officeDocument/2006/relationships/oleObject" Target="embeddings/oleObject40.bin"/><Relationship Id="rId213" Type="http://schemas.openxmlformats.org/officeDocument/2006/relationships/image" Target="media/image103.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oleObject" Target="embeddings/oleObject9.bin"/><Relationship Id="rId40" Type="http://schemas.openxmlformats.org/officeDocument/2006/relationships/image" Target="media/image16.wmf"/><Relationship Id="rId115" Type="http://schemas.openxmlformats.org/officeDocument/2006/relationships/image" Target="media/image54.wmf"/><Relationship Id="rId136" Type="http://schemas.openxmlformats.org/officeDocument/2006/relationships/oleObject" Target="embeddings/oleObject62.bin"/><Relationship Id="rId157" Type="http://schemas.openxmlformats.org/officeDocument/2006/relationships/image" Target="media/image75.wmf"/><Relationship Id="rId178" Type="http://schemas.openxmlformats.org/officeDocument/2006/relationships/oleObject" Target="embeddings/oleObject83.bin"/><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oleObject" Target="embeddings/oleObject4.bin"/><Relationship Id="rId224" Type="http://schemas.openxmlformats.org/officeDocument/2006/relationships/oleObject" Target="embeddings/oleObject106.bin"/><Relationship Id="rId245" Type="http://schemas.openxmlformats.org/officeDocument/2006/relationships/image" Target="media/image123.png"/><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7.bin"/><Relationship Id="rId147" Type="http://schemas.openxmlformats.org/officeDocument/2006/relationships/image" Target="media/image70.wmf"/><Relationship Id="rId168" Type="http://schemas.openxmlformats.org/officeDocument/2006/relationships/oleObject" Target="embeddings/oleObject78.bin"/><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3.wmf"/><Relationship Id="rId189" Type="http://schemas.openxmlformats.org/officeDocument/2006/relationships/image" Target="media/image91.wmf"/><Relationship Id="rId3" Type="http://schemas.openxmlformats.org/officeDocument/2006/relationships/styles" Target="styles.xml"/><Relationship Id="rId214" Type="http://schemas.openxmlformats.org/officeDocument/2006/relationships/oleObject" Target="embeddings/oleObject101.bin"/><Relationship Id="rId235" Type="http://schemas.openxmlformats.org/officeDocument/2006/relationships/image" Target="media/image114.wmf"/><Relationship Id="rId116" Type="http://schemas.openxmlformats.org/officeDocument/2006/relationships/oleObject" Target="embeddings/oleObject52.bin"/><Relationship Id="rId137" Type="http://schemas.openxmlformats.org/officeDocument/2006/relationships/image" Target="media/image65.wmf"/><Relationship Id="rId158" Type="http://schemas.openxmlformats.org/officeDocument/2006/relationships/oleObject" Target="embeddings/oleObject73.bin"/><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38.wmf"/><Relationship Id="rId179" Type="http://schemas.openxmlformats.org/officeDocument/2006/relationships/image" Target="media/image86.wmf"/><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09.wmf"/><Relationship Id="rId246" Type="http://schemas.openxmlformats.org/officeDocument/2006/relationships/image" Target="media/image124.png"/><Relationship Id="rId106" Type="http://schemas.openxmlformats.org/officeDocument/2006/relationships/oleObject" Target="embeddings/oleObject47.bin"/><Relationship Id="rId127" Type="http://schemas.openxmlformats.org/officeDocument/2006/relationships/image" Target="media/image60.wmf"/><Relationship Id="rId10" Type="http://schemas.openxmlformats.org/officeDocument/2006/relationships/footer" Target="footer2.xml"/><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3.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20</Pages>
  <Words>6533</Words>
  <Characters>37241</Characters>
  <Application>Microsoft Office Word</Application>
  <DocSecurity>0</DocSecurity>
  <PresentationFormat/>
  <Lines>310</Lines>
  <Paragraphs>87</Paragraphs>
  <Slides>0</Slides>
  <Notes>0</Notes>
  <HiddenSlides>0</HiddenSlides>
  <MMClips>0</MMClips>
  <ScaleCrop>false</ScaleCrop>
  <Manager/>
  <Company>芳向电脑工作室</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d63431</cp:lastModifiedBy>
  <cp:revision>3</cp:revision>
  <cp:lastPrinted>2026-04-22T08:43:00Z</cp:lastPrinted>
  <dcterms:created xsi:type="dcterms:W3CDTF">2026-05-09T06:22:00Z</dcterms:created>
  <dcterms:modified xsi:type="dcterms:W3CDTF">2026-05-11T09:44:00Z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WinEqns">
    <vt:bool>true</vt:bool>
  </property>
</Properties>
</file>