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A847252" w:rsidR="00351EC4" w:rsidRPr="009C06F7" w:rsidRDefault="00EC4EA7" w:rsidP="009C06F7">
      <w:pPr>
        <w:pStyle w:val="02"/>
        <w:spacing w:before="240" w:after="240"/>
      </w:pPr>
      <w:r w:rsidRPr="00EC4EA7">
        <w:rPr>
          <w:rFonts w:hint="eastAsia"/>
        </w:rPr>
        <w:t>多场景覆岩扰动约束下采区规划方法及工程应用</w:t>
      </w:r>
    </w:p>
    <w:p w14:paraId="71255FA8" w14:textId="4F80E0AA"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刘浩天</w:t>
      </w:r>
      <w:r w:rsidRPr="00351EC4">
        <w:rPr>
          <w:vertAlign w:val="superscript"/>
        </w:rPr>
        <w:t>1</w:t>
      </w:r>
      <w:r w:rsidRPr="00351EC4">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11EACA74" w:rsidR="00351EC4" w:rsidRPr="00351EC4" w:rsidRDefault="00351EC4" w:rsidP="00351EC4">
      <w:pPr>
        <w:pStyle w:val="05"/>
      </w:pPr>
      <w:r w:rsidRPr="00351EC4">
        <w:t>摘要：</w:t>
      </w:r>
      <w:r w:rsidR="003307AD" w:rsidRPr="003307AD">
        <w:t>针对传统采区规划中工作面布置主要依赖工程经验、覆岩扰动风险多以后置校核方式参与设计、方案反复调整成本较高等问题，提出一种多场景覆岩扰动约束下采区规划方法。该方法将地表沉陷、含水层扰动和上行开采等风险因素前置引入采区规划过程，围绕采区地质建模、覆岩扰动评价和工作面布置方案筛选，构建有效布置域、煤层厚度连续参数场、综合覆岩扰动指数（</w:t>
      </w:r>
      <w:r w:rsidR="003307AD" w:rsidRPr="003307AD">
        <w:t>ODI</w:t>
      </w:r>
      <w:r w:rsidR="003307AD" w:rsidRPr="003307AD">
        <w:t>）和多目标评价方法。以敏东研究区为例，构建</w:t>
      </w:r>
      <w:r w:rsidR="003307AD" w:rsidRPr="003307AD">
        <w:t>80×56</w:t>
      </w:r>
      <w:r w:rsidR="003307AD" w:rsidRPr="003307AD">
        <w:t>栅格综合</w:t>
      </w:r>
      <w:r w:rsidR="003307AD" w:rsidRPr="003307AD">
        <w:t>ODI</w:t>
      </w:r>
      <w:r w:rsidR="003307AD" w:rsidRPr="003307AD">
        <w:t>场，全域</w:t>
      </w:r>
      <w:r w:rsidR="003307AD" w:rsidRPr="003307AD">
        <w:t>ODI</w:t>
      </w:r>
      <w:r w:rsidR="003307AD" w:rsidRPr="003307AD">
        <w:t>均值为</w:t>
      </w:r>
      <w:r w:rsidR="003307AD" w:rsidRPr="003307AD">
        <w:t>0.4669</w:t>
      </w:r>
      <w:r w:rsidR="003307AD" w:rsidRPr="003307AD">
        <w:t>，</w:t>
      </w:r>
      <w:r w:rsidR="003307AD" w:rsidRPr="003307AD">
        <w:t>90%</w:t>
      </w:r>
      <w:r w:rsidR="003307AD" w:rsidRPr="003307AD">
        <w:t>分位数为</w:t>
      </w:r>
      <w:r w:rsidR="003307AD" w:rsidRPr="003307AD">
        <w:t>0.7474</w:t>
      </w:r>
      <w:r w:rsidR="003307AD" w:rsidRPr="003307AD">
        <w:t>，</w:t>
      </w:r>
      <w:r w:rsidR="003307AD" w:rsidRPr="003307AD">
        <w:t>ODI</w:t>
      </w:r>
      <w:r w:rsidR="003307AD" w:rsidRPr="003307AD">
        <w:t>＞</w:t>
      </w:r>
      <w:r w:rsidR="003307AD" w:rsidRPr="003307AD">
        <w:t>0.70</w:t>
      </w:r>
      <w:r w:rsidR="003307AD" w:rsidRPr="003307AD">
        <w:t>区域占</w:t>
      </w:r>
      <w:r w:rsidR="003307AD" w:rsidRPr="003307AD">
        <w:t>15.89%</w:t>
      </w:r>
      <w:r w:rsidR="003307AD" w:rsidRPr="003307AD">
        <w:t>，表明研究区内部存在一定规模的高扰动敏感区。在相同边界、参数场和</w:t>
      </w:r>
      <w:r w:rsidR="003307AD" w:rsidRPr="003307AD">
        <w:t>ODI</w:t>
      </w:r>
      <w:r w:rsidR="003307AD" w:rsidRPr="003307AD">
        <w:t>场条件下，工程效率优先方案</w:t>
      </w:r>
      <w:r w:rsidR="003307AD" w:rsidRPr="003307AD">
        <w:t>A</w:t>
      </w:r>
      <w:r w:rsidR="003307AD" w:rsidRPr="003307AD">
        <w:t>、资源回收优先方案</w:t>
      </w:r>
      <w:r w:rsidR="003307AD" w:rsidRPr="003307AD">
        <w:t>B</w:t>
      </w:r>
      <w:r w:rsidR="003307AD" w:rsidRPr="003307AD">
        <w:t>和低扰动候选方案</w:t>
      </w:r>
      <w:r w:rsidR="003307AD" w:rsidRPr="003307AD">
        <w:t>C</w:t>
      </w:r>
      <w:r w:rsidR="003307AD" w:rsidRPr="003307AD">
        <w:t>的覆盖率分别为</w:t>
      </w:r>
      <w:r w:rsidR="003307AD" w:rsidRPr="003307AD">
        <w:t>89.34%</w:t>
      </w:r>
      <w:r w:rsidR="003307AD" w:rsidRPr="003307AD">
        <w:t>、</w:t>
      </w:r>
      <w:r w:rsidR="003307AD" w:rsidRPr="003307AD">
        <w:t>98.52%</w:t>
      </w:r>
      <w:r w:rsidR="003307AD" w:rsidRPr="003307AD">
        <w:t>和</w:t>
      </w:r>
      <w:r w:rsidR="003307AD" w:rsidRPr="003307AD">
        <w:t>80.67%</w:t>
      </w:r>
      <w:r w:rsidR="003307AD" w:rsidRPr="003307AD">
        <w:t>，</w:t>
      </w:r>
      <w:r w:rsidR="003307AD" w:rsidRPr="003307AD">
        <w:t>ODI</w:t>
      </w:r>
      <w:r w:rsidR="003307AD" w:rsidRPr="003307AD">
        <w:t>均值分别为</w:t>
      </w:r>
      <w:r w:rsidR="003307AD" w:rsidRPr="003307AD">
        <w:t>0.4463</w:t>
      </w:r>
      <w:r w:rsidR="003307AD" w:rsidRPr="003307AD">
        <w:t>、</w:t>
      </w:r>
      <w:r w:rsidR="003307AD" w:rsidRPr="003307AD">
        <w:t>0.4552</w:t>
      </w:r>
      <w:r w:rsidR="003307AD" w:rsidRPr="003307AD">
        <w:t>和</w:t>
      </w:r>
      <w:r w:rsidR="003307AD" w:rsidRPr="003307AD">
        <w:t>0.4416</w:t>
      </w:r>
      <w:r w:rsidR="003307AD" w:rsidRPr="003307AD">
        <w:t>，</w:t>
      </w:r>
      <w:r w:rsidR="003307AD" w:rsidRPr="003307AD">
        <w:t>90%</w:t>
      </w:r>
      <w:r w:rsidR="003307AD" w:rsidRPr="003307AD">
        <w:t>分位数分别为</w:t>
      </w:r>
      <w:r w:rsidR="003307AD" w:rsidRPr="003307AD">
        <w:t>0.6407</w:t>
      </w:r>
      <w:r w:rsidR="003307AD" w:rsidRPr="003307AD">
        <w:t>、</w:t>
      </w:r>
      <w:r w:rsidR="003307AD" w:rsidRPr="003307AD">
        <w:t>0.6462</w:t>
      </w:r>
      <w:r w:rsidR="003307AD" w:rsidRPr="003307AD">
        <w:t>和</w:t>
      </w:r>
      <w:r w:rsidR="003307AD" w:rsidRPr="003307AD">
        <w:t>0.6353</w:t>
      </w:r>
      <w:r w:rsidR="003307AD" w:rsidRPr="003307AD">
        <w:t>。结果表明，资源覆盖与扰动控制之间存在明显权衡，统一</w:t>
      </w:r>
      <w:r w:rsidR="003307AD" w:rsidRPr="003307AD">
        <w:t>ODI</w:t>
      </w:r>
      <w:r w:rsidR="003307AD" w:rsidRPr="003307AD">
        <w:t>约束能够将多场景覆岩扰动结果转化为工作面布置方案的风险统计指标，为采区规划阶段风险前置控制、方案筛选和多目标比选提供参考</w:t>
      </w:r>
      <w:r w:rsidR="004B7D90" w:rsidRPr="004B7D90">
        <w:t>。</w:t>
      </w:r>
    </w:p>
    <w:p w14:paraId="482CD07D" w14:textId="62711DF1" w:rsidR="00351EC4" w:rsidRPr="00351EC4" w:rsidRDefault="00351EC4" w:rsidP="00351EC4">
      <w:pPr>
        <w:pStyle w:val="05"/>
      </w:pPr>
      <w:r w:rsidRPr="00351EC4">
        <w:t>关键词：</w:t>
      </w:r>
      <w:r w:rsidR="004B7D90" w:rsidRPr="004B7D90">
        <w:t>采区规划；覆岩扰动指数；多场景约束；工作面布置；多目标比选</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5C418C10" w:rsidR="00351EC4" w:rsidRPr="009C06F7" w:rsidRDefault="00EC4EA7" w:rsidP="009C06F7">
      <w:pPr>
        <w:pStyle w:val="06"/>
      </w:pPr>
      <w:r w:rsidRPr="00EC4EA7">
        <w:t>Mining District Planning Method under Multi-Scenario Overburden Disturbance Constraints and Its Engineering Application</w:t>
      </w:r>
    </w:p>
    <w:p w14:paraId="3DA41596" w14:textId="0A3B27ED" w:rsidR="00351EC4" w:rsidRPr="00351EC4" w:rsidRDefault="00351EC4" w:rsidP="00351EC4">
      <w:pPr>
        <w:pStyle w:val="07"/>
        <w:spacing w:after="120"/>
      </w:pPr>
      <w:r w:rsidRPr="00351EC4">
        <w:rPr>
          <w:rFonts w:eastAsia="宋体"/>
        </w:rPr>
        <w:t>L</w:t>
      </w:r>
      <w:r w:rsidR="008D0623">
        <w:rPr>
          <w:rFonts w:eastAsia="宋体" w:hint="eastAsia"/>
        </w:rPr>
        <w:t>i</w:t>
      </w:r>
      <w:r w:rsidRPr="00351EC4">
        <w:rPr>
          <w:rFonts w:eastAsia="宋体"/>
        </w:rPr>
        <w:t xml:space="preserve"> Yang</w:t>
      </w:r>
      <w:r w:rsidRPr="00351EC4">
        <w:rPr>
          <w:rFonts w:eastAsia="宋体"/>
          <w:vertAlign w:val="superscript"/>
        </w:rPr>
        <w:t>1</w:t>
      </w:r>
      <w:r w:rsidRPr="00351EC4">
        <w:rPr>
          <w:rFonts w:eastAsia="宋体"/>
        </w:rPr>
        <w:t>，</w:t>
      </w:r>
      <w:r w:rsidR="009C06F7" w:rsidRPr="009C06F7">
        <w:rPr>
          <w:rFonts w:eastAsia="宋体"/>
        </w:rPr>
        <w:t>L</w:t>
      </w:r>
      <w:r w:rsidR="009C06F7">
        <w:rPr>
          <w:rFonts w:eastAsia="宋体" w:hint="eastAsia"/>
        </w:rPr>
        <w:t>iu</w:t>
      </w:r>
      <w:r w:rsidR="009C06F7" w:rsidRPr="009C06F7">
        <w:rPr>
          <w:rFonts w:eastAsia="宋体"/>
        </w:rPr>
        <w:t xml:space="preserve"> Haotian </w:t>
      </w:r>
      <w:r w:rsidRPr="00351EC4">
        <w:rPr>
          <w:rFonts w:eastAsia="宋体"/>
          <w:vertAlign w:val="superscript"/>
        </w:rPr>
        <w:t>1</w:t>
      </w:r>
      <w:r w:rsidRPr="00351EC4">
        <w:rPr>
          <w:rFonts w:eastAsia="宋体"/>
        </w:rPr>
        <w:t>，</w:t>
      </w:r>
      <w:r w:rsidR="009C06F7">
        <w:rPr>
          <w:rFonts w:eastAsia="宋体" w:hint="eastAsia"/>
        </w:rPr>
        <w:t>Wang Nan</w:t>
      </w:r>
      <w:r w:rsidR="009C06F7" w:rsidRPr="00351EC4">
        <w:rPr>
          <w:rFonts w:eastAsia="宋体"/>
          <w:vertAlign w:val="superscript"/>
        </w:rPr>
        <w:t xml:space="preserve"> </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5B8DEEC0" w:rsidR="00351EC4" w:rsidRPr="009C06F7" w:rsidRDefault="00351EC4" w:rsidP="009C06F7">
      <w:pPr>
        <w:pStyle w:val="09"/>
      </w:pPr>
      <w:r w:rsidRPr="009C06F7">
        <w:t xml:space="preserve">Abstract: </w:t>
      </w:r>
      <w:r w:rsidR="004B7D90" w:rsidRPr="004B7D90">
        <w:t xml:space="preserve">Traditional mining district planning mainly relies on engineering experience for working-face layout, while overburden disturbance risks are often checked after the layout scheme has been formed. This may lead to repeated adjustment of working-face boundaries, coal pillar widths, or mining directions when the scheme conflicts with high-disturbance areas. To address this problem, a mining district planning method under multi-scenario overburden disturbance constraints is proposed. Surface subsidence, aquifer disturbance, and upward mining risks are introduced as pre-constraints in the planning process. The proposed method consists of three key parts: geological modeling of the mining district, multi-scenario overburden disturbance evaluation, and working-face layout generation and screening. An effective layout domain, continuous parameter fields, an integrated overburden disturbance index (ODI), and a multi-objective scheme evaluation method are established. A systematic calculation workflow, including data input, geological modeling, disturbance evaluation, scheme generation, scheme evaluation, and result output, is further developed. A case study in the </w:t>
      </w:r>
      <w:proofErr w:type="spellStart"/>
      <w:r w:rsidR="004B7D90" w:rsidRPr="004B7D90">
        <w:t>Mindong</w:t>
      </w:r>
      <w:proofErr w:type="spellEnd"/>
      <w:r w:rsidR="004B7D90" w:rsidRPr="004B7D90">
        <w:t xml:space="preserve"> study area was conducted. An integrated ODI field with 80×56 grids was constructed, with a mean ODI of 0.4669, a 90th percentile of 0.7474, and an exceedance ratio of 15.89% for ODI values greater than 0.70, indicating that high-disturbance sensitive zones exist within the study area. Under the same boundary, parameter fields, and ODI field, the coverage ratios of Scheme A, Scheme B, and Scheme C were 89.34%, 98.52%, and 80.67%, respectively. Their mean ODI values were 0.4463, 0.4552, and 0.4416, and their 90th percentile values were 0.6407, 0.6462, and 0.6353, respectively. The results show that there is an evident trade-off between resource coverage and disturbance control. The unified ODI constraint can transform multi-scenario overburden disturbance results into scheme-level risk statistics, providing a reference for risk pre-control, working-face layout screening, and multi-objective comparison in mining district planning</w:t>
      </w:r>
      <w:r w:rsidR="00EC4EA7" w:rsidRPr="00EC4EA7">
        <w:t>.</w:t>
      </w:r>
    </w:p>
    <w:p w14:paraId="03E1EEC9" w14:textId="39CAD165" w:rsidR="00351EC4" w:rsidRPr="009C06F7" w:rsidRDefault="00351EC4" w:rsidP="009C06F7">
      <w:pPr>
        <w:pStyle w:val="09"/>
      </w:pPr>
      <w:r w:rsidRPr="009C06F7">
        <w:t xml:space="preserve">Keywords: </w:t>
      </w:r>
      <w:r w:rsidR="004B7D90" w:rsidRPr="004B7D90">
        <w:t>mining district planning; overburden disturbance index; multi-scenario constraint; working-face layout; multi-objective comparison</w:t>
      </w:r>
    </w:p>
    <w:p w14:paraId="6145EC68" w14:textId="44D8E3CB" w:rsidR="00351EC4" w:rsidRPr="00351EC4" w:rsidRDefault="00351EC4" w:rsidP="00D027BE">
      <w:pPr>
        <w:pStyle w:val="18"/>
        <w:ind w:left="0" w:firstLineChars="0" w:firstLine="0"/>
        <w:sectPr w:rsidR="00351EC4" w:rsidRPr="00351EC4" w:rsidSect="004B50B8">
          <w:headerReference w:type="default" r:id="rId8"/>
          <w:type w:val="continuous"/>
          <w:pgSz w:w="11906" w:h="16838"/>
          <w:pgMar w:top="1417" w:right="1134" w:bottom="1417" w:left="1134" w:header="720" w:footer="720" w:gutter="0"/>
          <w:cols w:space="425"/>
          <w:docGrid w:linePitch="360"/>
        </w:sectPr>
      </w:pPr>
      <w:r w:rsidRPr="00351EC4">
        <w:t>作者简介：李杨（</w:t>
      </w:r>
      <w:r w:rsidRPr="00351EC4">
        <w:t>1982—</w:t>
      </w:r>
      <w:r w:rsidRPr="00351EC4">
        <w:t>），男，河北唐山人，教授，博士，研究方向为矿业工程。</w:t>
      </w:r>
      <w:r w:rsidRPr="00351EC4">
        <w:br/>
      </w:r>
      <w:r w:rsidRPr="00351EC4">
        <w:t>通信作者：刘浩天（</w:t>
      </w:r>
      <w:r w:rsidRPr="00351EC4">
        <w:t>2001—</w:t>
      </w:r>
      <w:r w:rsidRPr="00351EC4">
        <w:t>），男，河北唐山人，博士研究生，研究方向为矿业工程。</w:t>
      </w:r>
      <w:r w:rsidRPr="00351EC4">
        <w:t>Tel</w:t>
      </w:r>
      <w:r w:rsidRPr="00351EC4">
        <w:t>：</w:t>
      </w:r>
      <w:r w:rsidRPr="00351EC4">
        <w:t>17692508100</w:t>
      </w:r>
      <w:r w:rsidRPr="00351EC4">
        <w:t>，</w:t>
      </w:r>
      <w:r w:rsidRPr="00351EC4">
        <w:t>E-mail</w:t>
      </w:r>
      <w:r w:rsidRPr="00351EC4">
        <w:t>：</w:t>
      </w:r>
      <w:r w:rsidRPr="00351EC4">
        <w:t>gqt2500103011@student.cumtb.edu.cn</w:t>
      </w:r>
    </w:p>
    <w:p w14:paraId="528B4911" w14:textId="77777777" w:rsidR="00351EC4" w:rsidRPr="00DF00E8" w:rsidRDefault="00351EC4" w:rsidP="00DF00E8">
      <w:pPr>
        <w:pStyle w:val="11"/>
      </w:pPr>
      <w:r w:rsidRPr="00DF00E8">
        <w:lastRenderedPageBreak/>
        <w:t xml:space="preserve">0 </w:t>
      </w:r>
      <w:r w:rsidRPr="00DF00E8">
        <w:t>引言</w:t>
      </w:r>
    </w:p>
    <w:p w14:paraId="1AE427F7" w14:textId="77777777" w:rsidR="00A86782" w:rsidRDefault="00A86782" w:rsidP="00A86782">
      <w:pPr>
        <w:pStyle w:val="100"/>
        <w:ind w:firstLine="420"/>
      </w:pPr>
      <w:r>
        <w:rPr>
          <w:rFonts w:hint="eastAsia"/>
        </w:rPr>
        <w:t>采区规划是煤矿生产设计和采掘接续组织的重要基础，直接影响工作面布置、巷道工程量、资源回收率、生产组织效率及后续安全控制。传统采区规划通常以采区边界、煤层赋存条件、煤柱留设经验和工作面设计参数为依据，先确定工作面数量、工作面宽度、推进方向和巷道服务关系，再对地表沉陷、导水裂隙带发育、含水层受扰及上行开采安全性等问题进行校核。该类流程在工程实践中具有较强可操作性，但覆岩扰动风险多位于方案形成之后参与评价。当后续校核发现工作面布置与高扰动敏感区、含水层保护区或上行开采安全边界存在冲突时，往往需要重新调整工作面边界、煤柱宽度或推进方向，导致方案反复修改，增加规划设计工作量。</w:t>
      </w:r>
    </w:p>
    <w:p w14:paraId="03E2C0F0" w14:textId="77777777" w:rsidR="00A86782" w:rsidRDefault="00A86782" w:rsidP="00A86782">
      <w:pPr>
        <w:pStyle w:val="100"/>
        <w:ind w:firstLine="420"/>
      </w:pPr>
      <w:r>
        <w:rPr>
          <w:rFonts w:hint="eastAsia"/>
        </w:rPr>
        <w:t>随着煤矿智能化建设推进，采区规划对象已由传统的平面几何布置，逐渐转变为综合地质信息、开采参数、风险约束和多目标决策的空间规划问题</w:t>
      </w:r>
      <w:r w:rsidRPr="00A86782">
        <w:rPr>
          <w:rFonts w:hint="eastAsia"/>
          <w:vertAlign w:val="superscript"/>
        </w:rPr>
        <w:t>[1-10]</w:t>
      </w:r>
      <w:r>
        <w:rPr>
          <w:rFonts w:hint="eastAsia"/>
        </w:rPr>
        <w:t>。透明地质、三维建模和智能化开采技术的发展，使钻孔、煤层厚度、岩性结构和构造边界等地质资料具备了进入采区规划计算过程的条件；覆岩移动、地表沉陷、导水裂隙带发育、含水层扰动和上行开采安全性等研究，则为采动扰动风险识别和安全边界确定提供了理论基础</w:t>
      </w:r>
      <w:r w:rsidRPr="00A86782">
        <w:rPr>
          <w:rFonts w:hint="eastAsia"/>
          <w:vertAlign w:val="superscript"/>
        </w:rPr>
        <w:t>[11-33]</w:t>
      </w:r>
      <w:r>
        <w:rPr>
          <w:rFonts w:hint="eastAsia"/>
        </w:rPr>
        <w:t>。与此同时，多目标优化和方案排序方法不断应用于采矿设计，为采区规划由单一经验布置向多方案比较转变提供了方法支撑</w:t>
      </w:r>
      <w:r w:rsidRPr="00A86782">
        <w:rPr>
          <w:rFonts w:hint="eastAsia"/>
          <w:vertAlign w:val="superscript"/>
        </w:rPr>
        <w:t>[34-39]</w:t>
      </w:r>
      <w:r>
        <w:rPr>
          <w:rFonts w:hint="eastAsia"/>
        </w:rPr>
        <w:t>。</w:t>
      </w:r>
    </w:p>
    <w:p w14:paraId="6BAD5859" w14:textId="77777777" w:rsidR="00A86782" w:rsidRDefault="00A86782" w:rsidP="00A86782">
      <w:pPr>
        <w:pStyle w:val="100"/>
        <w:ind w:firstLine="420"/>
      </w:pPr>
      <w:r>
        <w:rPr>
          <w:rFonts w:hint="eastAsia"/>
        </w:rPr>
        <w:t>但从采矿工程应用角度看，现有研究仍存在不足。首先，采区规划所依赖的钻孔、煤厚、岩性和边界等资料多以离散点、剖面或局部属性形式存在，难以直接转化为工作面布置可调用的空间底图。其次，地表沉陷、含水层扰动和上行开采等风险场景的控制对象和评价口径不同，若分别作为独立约束参与规划，容易造成方案评价尺度不统一。再次，已有采区布置优化研究多侧重几何可行性、资源覆盖或单目标排序，对风险图层如何转化为方案级统计指标，并进一步参与工作面数量、宽度、煤柱留设、推进方向和扰动避让之间的综合权衡，讨论仍不充分</w:t>
      </w:r>
      <w:r w:rsidRPr="00A86782">
        <w:rPr>
          <w:rFonts w:hint="eastAsia"/>
          <w:vertAlign w:val="superscript"/>
        </w:rPr>
        <w:t>[6,46-47]</w:t>
      </w:r>
      <w:r>
        <w:rPr>
          <w:rFonts w:hint="eastAsia"/>
        </w:rPr>
        <w:t>。</w:t>
      </w:r>
    </w:p>
    <w:p w14:paraId="068931FA" w14:textId="77777777" w:rsidR="00A86782" w:rsidRDefault="00A86782" w:rsidP="00A86782">
      <w:pPr>
        <w:pStyle w:val="100"/>
        <w:ind w:firstLine="420"/>
      </w:pPr>
      <w:r>
        <w:rPr>
          <w:rFonts w:hint="eastAsia"/>
        </w:rPr>
        <w:t>因此，采区规划需要从“先布置、后校核”的串行流程，转向“地质建模、扰动评价和方案筛选同步参与”的多场景约束模式。实现这一模式需要解决</w:t>
      </w:r>
      <w:r>
        <w:rPr>
          <w:rFonts w:hint="eastAsia"/>
        </w:rPr>
        <w:t>3</w:t>
      </w:r>
      <w:r>
        <w:rPr>
          <w:rFonts w:hint="eastAsia"/>
        </w:rPr>
        <w:t>个问题：一是采区地质信息的空间化表达，即如何将边界、钻孔和煤层属性转化为工作</w:t>
      </w:r>
      <w:r>
        <w:rPr>
          <w:rFonts w:hint="eastAsia"/>
        </w:rPr>
        <w:t>面布置可调用的有效布置域和连续参数场；二是多场景覆岩扰动的统一评价，即如何将地表沉陷、含水层扰动和上行开采等不同风险转化为规划阶段可使用的扰动约束；三是工作面布置方案的生成与筛选，即如何在满足煤柱、工作面宽度、推进方向和几何可实施性等采矿约束的基础上，形成可比较的候选方案，并从工程效率、资源回收和扰动控制等方面进行优选。</w:t>
      </w:r>
    </w:p>
    <w:p w14:paraId="5F69875A" w14:textId="41B679AC" w:rsidR="00EC4EA7" w:rsidRPr="00F10457" w:rsidRDefault="003307AD" w:rsidP="00A86782">
      <w:pPr>
        <w:pStyle w:val="100"/>
        <w:ind w:firstLine="420"/>
      </w:pPr>
      <w:r w:rsidRPr="003307AD">
        <w:t>基于上述问题，本文提出多场景覆岩扰动约束下采区规划方法。该方法以传统采区规划中覆岩扰动风险后置校核和方案反复调整问题为切入点，将采区地质建模、多场景覆岩扰动评价和工作面布置方案筛选纳入统一规划过程；在此基础上，构建有效布置域、煤层厚度连续参数场、综合</w:t>
      </w:r>
      <w:r w:rsidRPr="003307AD">
        <w:t>ODI</w:t>
      </w:r>
      <w:r w:rsidRPr="003307AD">
        <w:t>场和多目标方案评价方法。以敏东研究区为例，开展工作面布置方案生成、风险统计和多目标比选，分析多场景覆岩扰动前置约束对采区规划结果的影响</w:t>
      </w:r>
      <w:r w:rsidR="00EC4EA7" w:rsidRPr="00F10457">
        <w:t>。</w:t>
      </w:r>
    </w:p>
    <w:p w14:paraId="164321F8" w14:textId="03868A5A" w:rsidR="00351EC4" w:rsidRPr="00624086" w:rsidRDefault="00351EC4" w:rsidP="00624086">
      <w:pPr>
        <w:pStyle w:val="11"/>
      </w:pPr>
      <w:r w:rsidRPr="00624086">
        <w:t xml:space="preserve">1 </w:t>
      </w:r>
      <w:r w:rsidR="00F10457" w:rsidRPr="00F10457">
        <w:t>多场景覆岩扰动约束下采区规划模式与关键问题</w:t>
      </w:r>
    </w:p>
    <w:p w14:paraId="69F5FAB9" w14:textId="77777777" w:rsidR="00A86782" w:rsidRDefault="00A86782" w:rsidP="00A86782">
      <w:pPr>
        <w:pStyle w:val="100"/>
        <w:ind w:firstLine="420"/>
      </w:pPr>
      <w:r>
        <w:rPr>
          <w:rFonts w:hint="eastAsia"/>
        </w:rPr>
        <w:t>采区规划的核心任务是在给定资源赋存条件、边界条件和生产组织要求下，确定工作面数量、工作面宽度、推进方向、煤柱留设和巷道服务关系等关键内容。工作面布置结果不仅决定资源回收率和巷道工程量，也会影响地表沉陷、导水裂隙带发育、含水层保护和上行开采安全。因此，采区规划并不是单纯的几何划分问题，而是地质条件、开采参数、资源利用和覆岩扰动共同约束下的采矿工程决策问题。</w:t>
      </w:r>
    </w:p>
    <w:p w14:paraId="287AF027" w14:textId="677F55A4" w:rsidR="00351EC4" w:rsidRPr="00351EC4" w:rsidRDefault="00351EC4" w:rsidP="00DF00E8">
      <w:pPr>
        <w:pStyle w:val="12"/>
      </w:pPr>
      <w:r w:rsidRPr="00351EC4">
        <w:t xml:space="preserve">1.1 </w:t>
      </w:r>
      <w:r w:rsidR="00F10457" w:rsidRPr="00F10457">
        <w:t>传统采区规划流程及不足</w:t>
      </w:r>
    </w:p>
    <w:p w14:paraId="79490A6B" w14:textId="032029DD" w:rsidR="00210CE2" w:rsidRDefault="00A86782" w:rsidP="00A86782">
      <w:pPr>
        <w:pStyle w:val="100"/>
        <w:ind w:firstLine="420"/>
      </w:pPr>
      <w:r>
        <w:rPr>
          <w:rFonts w:hint="eastAsia"/>
        </w:rPr>
        <w:t>传统采区规划通常先依据采区边界、煤层赋存条件、工作面宽度、煤柱留设和推进方向形成初步布置方案，再对沉陷、水害、覆岩破坏或上行开采等风险进行校核。这种模式符合常规矿井设计习惯，但在地质条件复杂、保护对象较多或覆岩扰动约束突出的采区中，容易出现布置方案与风险控制要求不协调的问题。为降低方案反复调整的可能性，有必要将覆岩扰动风险由后置校核转为前置约束，使其在工作面布置方案形成阶段即参与规划</w:t>
      </w:r>
      <w:r w:rsidR="00F10457">
        <w:rPr>
          <w:rFonts w:hint="eastAsia"/>
        </w:rPr>
        <w:t>。</w:t>
      </w:r>
      <w:bookmarkStart w:id="0" w:name="_Ref227766961"/>
    </w:p>
    <w:bookmarkEnd w:id="0"/>
    <w:p w14:paraId="5A3784F2" w14:textId="7FB2D501" w:rsidR="00A8389E" w:rsidRPr="00A8389E" w:rsidRDefault="00A8389E" w:rsidP="00624086">
      <w:pPr>
        <w:pStyle w:val="12"/>
      </w:pPr>
      <w:r w:rsidRPr="00A8389E">
        <w:t xml:space="preserve">1.2 </w:t>
      </w:r>
      <w:r w:rsidR="00F10457" w:rsidRPr="00F10457">
        <w:t>多场景覆岩扰动约束下采区规划模式</w:t>
      </w:r>
    </w:p>
    <w:p w14:paraId="7049D8BB" w14:textId="77777777" w:rsidR="00A86782" w:rsidRDefault="00A86782" w:rsidP="00A86782">
      <w:pPr>
        <w:pStyle w:val="100"/>
        <w:ind w:firstLine="420"/>
      </w:pPr>
      <w:r>
        <w:rPr>
          <w:rFonts w:hint="eastAsia"/>
        </w:rPr>
        <w:t>针对上述问题，本文将地表沉陷、含水层扰动和上行开采等覆岩扰动风险前置到采区规划阶段，</w:t>
      </w:r>
      <w:r>
        <w:rPr>
          <w:rFonts w:hint="eastAsia"/>
        </w:rPr>
        <w:lastRenderedPageBreak/>
        <w:t>构建多场景覆岩扰动约束下的采区规划模式。该模式的基本思路是：在工作面布置方案生成之前，先将采区边界、钻孔样点和设计参数转化为有效布置域与连续参数场，再将多场景覆岩扰动评价结果统一组织为综合扰动约束，最后在该约束下生成和筛选工作面布置方案。</w:t>
      </w:r>
    </w:p>
    <w:p w14:paraId="660AD990" w14:textId="298D23CA" w:rsidR="00A86782" w:rsidRDefault="003307AD" w:rsidP="00A86782">
      <w:pPr>
        <w:pStyle w:val="100"/>
        <w:ind w:firstLine="420"/>
      </w:pPr>
      <w:r w:rsidRPr="003307AD">
        <w:t>与传统流程相比，多场景约束采区规划的变化主要体现在</w:t>
      </w:r>
      <w:r w:rsidRPr="003307AD">
        <w:t>3</w:t>
      </w:r>
      <w:r w:rsidRPr="003307AD">
        <w:t>个方面：一是覆岩扰动由后置校</w:t>
      </w:r>
      <w:r w:rsidRPr="003307AD">
        <w:t>核转为前置约束，使高扰动敏感区在方案生成阶段即可被识别；二是钻孔、煤厚、边界和煤柱等信息被组织到同一空间基础上，为工作面布置提供连续参数支撑；三是不同方案通过工程效率、资源回收和扰动控制指标进行比较，使规划偏好能够转化为可量化的方案差异</w:t>
      </w:r>
      <w:r w:rsidR="00A86782">
        <w:rPr>
          <w:rFonts w:hint="eastAsia"/>
        </w:rPr>
        <w:t>。</w:t>
      </w:r>
    </w:p>
    <w:p w14:paraId="1EF4174D" w14:textId="36D8851C" w:rsidR="00A8389E" w:rsidRDefault="00A86782" w:rsidP="00A86782">
      <w:pPr>
        <w:pStyle w:val="100"/>
        <w:ind w:firstLine="420"/>
      </w:pPr>
      <w:r>
        <w:rPr>
          <w:rFonts w:hint="eastAsia"/>
        </w:rPr>
        <w:t>按照上述思路，传统采区规划与多场景约束采区规划流程对比如</w:t>
      </w:r>
      <w:r w:rsidRPr="008419FD">
        <w:t>图</w:t>
      </w:r>
      <w:r w:rsidRPr="008419FD">
        <w:t>1</w:t>
      </w:r>
      <w:r>
        <w:rPr>
          <w:rFonts w:hint="eastAsia"/>
        </w:rPr>
        <w:t>所示。</w:t>
      </w:r>
    </w:p>
    <w:p w14:paraId="3D4BC1CA" w14:textId="09349E54" w:rsidR="00F10457" w:rsidRDefault="00F10457" w:rsidP="00F10457">
      <w:pPr>
        <w:pStyle w:val="100"/>
        <w:ind w:firstLineChars="0" w:firstLine="0"/>
        <w:sectPr w:rsidR="00F10457" w:rsidSect="003F477A">
          <w:footerReference w:type="even" r:id="rId9"/>
          <w:footerReference w:type="default" r:id="rId10"/>
          <w:type w:val="continuous"/>
          <w:pgSz w:w="11906" w:h="16838"/>
          <w:pgMar w:top="1418" w:right="1134" w:bottom="1134" w:left="1134" w:header="720" w:footer="720" w:gutter="0"/>
          <w:cols w:num="2" w:space="720"/>
          <w:docGrid w:linePitch="598"/>
        </w:sectPr>
      </w:pPr>
    </w:p>
    <w:p w14:paraId="4A0AB74C" w14:textId="3ECBA159" w:rsidR="00F10457" w:rsidRDefault="00F10457" w:rsidP="00F10457">
      <w:pPr>
        <w:pStyle w:val="100"/>
        <w:ind w:firstLineChars="0" w:firstLine="0"/>
        <w:jc w:val="center"/>
      </w:pPr>
      <w:r w:rsidRPr="00F467F9">
        <w:rPr>
          <w:noProof/>
        </w:rPr>
        <w:drawing>
          <wp:inline distT="0" distB="0" distL="0" distR="0" wp14:anchorId="24F9AE72" wp14:editId="754F2BA8">
            <wp:extent cx="5778000" cy="3181833"/>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81833"/>
                    </a:xfrm>
                    <a:prstGeom prst="rect">
                      <a:avLst/>
                    </a:prstGeom>
                    <a:noFill/>
                    <a:ln>
                      <a:noFill/>
                    </a:ln>
                  </pic:spPr>
                </pic:pic>
              </a:graphicData>
            </a:graphic>
          </wp:inline>
        </w:drawing>
      </w:r>
    </w:p>
    <w:p w14:paraId="17D61962" w14:textId="5E9684A5" w:rsidR="00F10457" w:rsidRDefault="00F10457" w:rsidP="00F10457">
      <w:pPr>
        <w:pStyle w:val="14"/>
      </w:pPr>
      <w:bookmarkStart w:id="1" w:name="_Ref22792573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1</w:t>
      </w:r>
      <w:r>
        <w:fldChar w:fldCharType="end"/>
      </w:r>
      <w:bookmarkEnd w:id="1"/>
      <w:r>
        <w:rPr>
          <w:rFonts w:hint="eastAsia"/>
        </w:rPr>
        <w:t xml:space="preserve"> </w:t>
      </w:r>
      <w:r w:rsidRPr="00F10457">
        <w:t>传统采区规划与多场景约束采区规划流程对比</w:t>
      </w:r>
    </w:p>
    <w:p w14:paraId="04FB48C5" w14:textId="5B8DC87B" w:rsidR="00F10457" w:rsidRPr="00A8389E" w:rsidRDefault="00F10457" w:rsidP="00F10457">
      <w:pPr>
        <w:pStyle w:val="14"/>
      </w:pPr>
      <w:r w:rsidRPr="00F10457">
        <w:t xml:space="preserve">Fig.1 </w:t>
      </w:r>
      <w:r w:rsidR="008419FD" w:rsidRPr="008419FD">
        <w:t>Comparison between traditional mining district planning and multi-scenario constrained planning</w:t>
      </w:r>
    </w:p>
    <w:p w14:paraId="1E563B40" w14:textId="77777777" w:rsidR="00F10457" w:rsidRDefault="00F10457" w:rsidP="00624086">
      <w:pPr>
        <w:pStyle w:val="12"/>
        <w:sectPr w:rsidR="00F10457" w:rsidSect="00F10457">
          <w:type w:val="continuous"/>
          <w:pgSz w:w="11906" w:h="16838"/>
          <w:pgMar w:top="1418" w:right="1134" w:bottom="1134" w:left="1134" w:header="720" w:footer="720" w:gutter="0"/>
          <w:cols w:space="720"/>
          <w:docGrid w:linePitch="598"/>
        </w:sectPr>
      </w:pPr>
    </w:p>
    <w:p w14:paraId="42BF0730" w14:textId="77777777" w:rsidR="00A86782" w:rsidRDefault="00A86782" w:rsidP="00A86782">
      <w:pPr>
        <w:pStyle w:val="100"/>
        <w:ind w:firstLine="420"/>
      </w:pPr>
      <w:r>
        <w:rPr>
          <w:rFonts w:hint="eastAsia"/>
        </w:rPr>
        <w:t>由图</w:t>
      </w:r>
      <w:r>
        <w:rPr>
          <w:rFonts w:hint="eastAsia"/>
        </w:rPr>
        <w:t>1</w:t>
      </w:r>
      <w:r>
        <w:rPr>
          <w:rFonts w:hint="eastAsia"/>
        </w:rPr>
        <w:t>可见，传统规划流程中覆岩扰动风险多位于方案形成之后，而多场景约束规划模式将扰动风险提前转化为空间约束，使其在工作面布置和方案筛选阶段即发挥作用。该模式的重点不是增加一个单独校核环节，而是将地质建模、扰动评价和方案优选纳入同一采区规划流程。</w:t>
      </w:r>
    </w:p>
    <w:p w14:paraId="5F195111" w14:textId="0BB2870D" w:rsidR="00F10457" w:rsidRPr="00DF00E8" w:rsidRDefault="00A86782" w:rsidP="00A86782">
      <w:pPr>
        <w:pStyle w:val="100"/>
        <w:ind w:firstLine="420"/>
      </w:pPr>
      <w:r>
        <w:rPr>
          <w:rFonts w:hint="eastAsia"/>
        </w:rPr>
        <w:t>多场景约束下采区规划具有</w:t>
      </w:r>
      <w:r>
        <w:rPr>
          <w:rFonts w:hint="eastAsia"/>
        </w:rPr>
        <w:t>3</w:t>
      </w:r>
      <w:r>
        <w:rPr>
          <w:rFonts w:hint="eastAsia"/>
        </w:rPr>
        <w:t>个特点。第一，风险控制前置。覆岩扰动不再只是工作面布置完成后的校核指标，而是在方案生成阶段参与布置约束。第二，规划对象空间化。钻孔、煤厚、边界和煤柱等信息被组织到同一空间框架中，为工作面布置提供连续参数基础。第三，方案比较指标化。不同布置方案不再仅依据覆盖面积或经验判断优劣，而是通过工程效率、资源回收和扰动控制等指标进行综合比较。</w:t>
      </w:r>
    </w:p>
    <w:p w14:paraId="1AC9B94F" w14:textId="43361372" w:rsidR="00A8389E" w:rsidRPr="00DF00E8" w:rsidRDefault="00A8389E" w:rsidP="00DF00E8">
      <w:pPr>
        <w:pStyle w:val="12"/>
      </w:pPr>
      <w:r w:rsidRPr="00DF00E8">
        <w:t xml:space="preserve">1.3 </w:t>
      </w:r>
      <w:r w:rsidR="00F10457" w:rsidRPr="00DF00E8">
        <w:t>多场景约束采区规划需解决的关键问题</w:t>
      </w:r>
    </w:p>
    <w:p w14:paraId="4276C99C" w14:textId="395B0EAF" w:rsidR="00F10457" w:rsidRPr="00DF00E8" w:rsidRDefault="00AB2E6E" w:rsidP="00DF00E8">
      <w:pPr>
        <w:pStyle w:val="100"/>
        <w:ind w:firstLine="420"/>
      </w:pPr>
      <w:r w:rsidRPr="00AB2E6E">
        <w:t>多场景覆岩扰动约束下的采区规划，不是简单地在传统布置方案后增加一个风险校核环节，</w:t>
      </w:r>
      <w:r w:rsidRPr="00AB2E6E">
        <w:t>而是需要将地质信息、扰动风险和工作面布置过程前置耦合。对采区规划而言，首先要明确工作面能够布置在哪里，其次要判断不同区域的覆岩扰动风险强弱，最后还要在资源回收、工程效率和扰动控制之间进行方案取舍。因此，该类规划需要围绕采区地质信息空间化、多场景覆岩扰动统一评价和工作面布置方案筛选</w:t>
      </w:r>
      <w:r w:rsidRPr="00AB2E6E">
        <w:t>3</w:t>
      </w:r>
      <w:r w:rsidRPr="00AB2E6E">
        <w:t>个问题展开</w:t>
      </w:r>
      <w:r w:rsidR="00F10457" w:rsidRPr="00DF00E8">
        <w:t>。</w:t>
      </w:r>
    </w:p>
    <w:p w14:paraId="68C1F2A7" w14:textId="77777777" w:rsidR="00F10457" w:rsidRPr="00DF00E8" w:rsidRDefault="00F10457" w:rsidP="00DF00E8">
      <w:pPr>
        <w:pStyle w:val="130"/>
      </w:pPr>
      <w:r w:rsidRPr="00DF00E8">
        <w:t xml:space="preserve">1.3.1 </w:t>
      </w:r>
      <w:r w:rsidRPr="00DF00E8">
        <w:t>采区地质信息空间化表达</w:t>
      </w:r>
    </w:p>
    <w:p w14:paraId="0041FFFE" w14:textId="376863A5" w:rsidR="00A86782" w:rsidRPr="00A86782" w:rsidRDefault="00927E53" w:rsidP="00A86782">
      <w:pPr>
        <w:pStyle w:val="100"/>
        <w:ind w:firstLine="420"/>
      </w:pPr>
      <w:r w:rsidRPr="00927E53">
        <w:t>采区规划首先依赖可靠的地质基础。钻孔样点、煤层厚度、岩性分布、采区边界和煤柱参数等资料虽然能够反映采区地质与工程约束条件，但其数据形式并不统一。其中，钻孔和煤层属性多表现为离散点，边界和煤柱约束则表现为空间几何条件。若这些信息仅作为设计背景或局部参数使用，难以直接支撑工作面布置和方案统计</w:t>
      </w:r>
      <w:r w:rsidR="00A86782" w:rsidRPr="00A86782">
        <w:t>。</w:t>
      </w:r>
    </w:p>
    <w:p w14:paraId="1A801070" w14:textId="7CF64197" w:rsidR="00F10457" w:rsidRPr="00A86782" w:rsidRDefault="00927E53" w:rsidP="00A86782">
      <w:pPr>
        <w:pStyle w:val="100"/>
        <w:ind w:firstLine="420"/>
      </w:pPr>
      <w:r w:rsidRPr="00927E53">
        <w:t>因此，需要将离散地质资料和边界约束转化为采区规划可调用的空间对象。有效布置域用于明确工作面可布置范围，连续参数场用于表达煤层厚度等资源属性的空间变化。通过这一处理，</w:t>
      </w:r>
      <w:r w:rsidRPr="00927E53">
        <w:lastRenderedPageBreak/>
        <w:t>采区规划可以由依赖经验判断的平面布置，转向基于空间数据的工作面方案生成</w:t>
      </w:r>
      <w:r w:rsidR="00F10457" w:rsidRPr="00A86782">
        <w:t>。</w:t>
      </w:r>
    </w:p>
    <w:p w14:paraId="3E035036" w14:textId="77777777" w:rsidR="00F10457" w:rsidRPr="00DF00E8" w:rsidRDefault="00F10457" w:rsidP="00DF00E8">
      <w:pPr>
        <w:pStyle w:val="130"/>
      </w:pPr>
      <w:r w:rsidRPr="00DF00E8">
        <w:t xml:space="preserve">1.3.2 </w:t>
      </w:r>
      <w:r w:rsidRPr="00DF00E8">
        <w:t>多场景覆岩扰动统一评价</w:t>
      </w:r>
    </w:p>
    <w:p w14:paraId="109C0B44" w14:textId="74E3A764" w:rsidR="00A86782" w:rsidRDefault="00927E53" w:rsidP="00A86782">
      <w:pPr>
        <w:pStyle w:val="100"/>
        <w:ind w:firstLine="420"/>
      </w:pPr>
      <w:r w:rsidRPr="00927E53">
        <w:t>覆岩扰动风险在采区规划中具有明显的多场景特征。地表沉陷反映覆岩整体移动及地表变形影响，含水层扰动与导水裂隙带发育高度、隔水层厚度和含水层敏感性有关，上行开采则更关注上覆岩层再扰动条件下的结构稳定性和安全边界。由于不同风险场景的控制对象和评价指标不同，若分别作为独立约束进入规划，容易造成同一工作面方案在不同场景下评价结果难以统一</w:t>
      </w:r>
      <w:r w:rsidR="00A86782">
        <w:rPr>
          <w:rFonts w:hint="eastAsia"/>
        </w:rPr>
        <w:t>。</w:t>
      </w:r>
    </w:p>
    <w:p w14:paraId="5DD6B1F2" w14:textId="6D3A1ED2" w:rsidR="00F10457" w:rsidRPr="00DF00E8" w:rsidRDefault="00927E53" w:rsidP="00A86782">
      <w:pPr>
        <w:pStyle w:val="100"/>
        <w:ind w:firstLine="420"/>
      </w:pPr>
      <w:r w:rsidRPr="00927E53">
        <w:t>因此，需要建立面向采区规划的综合扰动表达方式，将不同风险场景转换为同一空间尺度下的扰动约束。综合</w:t>
      </w:r>
      <w:r w:rsidRPr="00927E53">
        <w:t>ODI</w:t>
      </w:r>
      <w:r w:rsidRPr="00927E53">
        <w:t>场的作用在于为工作面布置提供风险底图，使高扰动敏感区能够在方案生成阶段被识别和避让</w:t>
      </w:r>
      <w:r w:rsidR="00F10457" w:rsidRPr="00DF00E8">
        <w:t>。</w:t>
      </w:r>
    </w:p>
    <w:p w14:paraId="10757360" w14:textId="77777777" w:rsidR="00F10457" w:rsidRPr="00DF00E8" w:rsidRDefault="00F10457" w:rsidP="00DF00E8">
      <w:pPr>
        <w:pStyle w:val="130"/>
      </w:pPr>
      <w:r w:rsidRPr="00DF00E8">
        <w:t xml:space="preserve">1.3.3 </w:t>
      </w:r>
      <w:r w:rsidRPr="00DF00E8">
        <w:t>工作面布置方案生成与多目标筛选</w:t>
      </w:r>
    </w:p>
    <w:p w14:paraId="1D65532C" w14:textId="1E3698F2" w:rsidR="00A86782" w:rsidRDefault="00927E53" w:rsidP="00A86782">
      <w:pPr>
        <w:pStyle w:val="100"/>
        <w:ind w:firstLine="420"/>
      </w:pPr>
      <w:r w:rsidRPr="00927E53">
        <w:t>在地质模型和扰动约束确定后，采区规划仍需解决工作面如何布置、方案如何筛选的问题。工作面数量、宽度、推进方向、煤柱留设和推进长度共同决定采区布置形态，也影响资源回收、巷道组织和覆岩扰动暴露程度。若单纯追求覆盖率，可能增加工作面与高扰动区的接触；若过度避让风险，又可能降低资源回收水平和生产组织效率</w:t>
      </w:r>
      <w:r w:rsidR="00A86782">
        <w:rPr>
          <w:rFonts w:hint="eastAsia"/>
        </w:rPr>
        <w:t>。</w:t>
      </w:r>
    </w:p>
    <w:p w14:paraId="1F3FFD39" w14:textId="32716331" w:rsidR="00A86782" w:rsidRDefault="00927E53" w:rsidP="00A86782">
      <w:pPr>
        <w:pStyle w:val="100"/>
        <w:ind w:firstLine="420"/>
      </w:pPr>
      <w:r w:rsidRPr="00927E53">
        <w:t>因此，多场景约束下的采区规划应在满足基本采矿约束的前提下，生成具有工程可实施性的候选方案，并从工程效率、资源回收和扰动控制</w:t>
      </w:r>
      <w:r w:rsidRPr="00927E53">
        <w:t>3</w:t>
      </w:r>
      <w:r w:rsidRPr="00927E53">
        <w:t>个方面进行筛选。这样可以把不同规划偏好下的方案差异转化为可比较的指标结果</w:t>
      </w:r>
      <w:r w:rsidR="00A86782">
        <w:rPr>
          <w:rFonts w:hint="eastAsia"/>
        </w:rPr>
        <w:t>。</w:t>
      </w:r>
    </w:p>
    <w:p w14:paraId="7567059D" w14:textId="1E09D951" w:rsidR="00351EC4" w:rsidRPr="00DF00E8" w:rsidRDefault="00351EC4" w:rsidP="00DF00E8">
      <w:pPr>
        <w:pStyle w:val="11"/>
      </w:pPr>
      <w:r w:rsidRPr="00DF00E8">
        <w:t xml:space="preserve">2 </w:t>
      </w:r>
      <w:r w:rsidR="00F10457" w:rsidRPr="00DF00E8">
        <w:t>多场景约束采区规划关键方法</w:t>
      </w:r>
    </w:p>
    <w:p w14:paraId="68A9A365" w14:textId="48C3E5A8" w:rsidR="00F10457" w:rsidRPr="00DF00E8" w:rsidRDefault="003307AD" w:rsidP="00A86782">
      <w:pPr>
        <w:pStyle w:val="100"/>
        <w:ind w:firstLine="420"/>
      </w:pPr>
      <w:r w:rsidRPr="003307AD">
        <w:t>在多场景约束采区规划中，地质信息、覆岩扰动风险和工作面布置方案需要在同一空间基础上进行组织。本文首先构建有效布置域和煤层厚度连续参数场，形成工作面布置的基础底图；然后建立综合</w:t>
      </w:r>
      <w:r w:rsidRPr="003307AD">
        <w:t>ODI</w:t>
      </w:r>
      <w:r w:rsidRPr="003307AD">
        <w:t>场，将不同覆岩扰动风险转化为规划约束；最后在有效布置域和</w:t>
      </w:r>
      <w:r w:rsidRPr="003307AD">
        <w:t>ODI</w:t>
      </w:r>
      <w:r w:rsidRPr="003307AD">
        <w:t>场共同约束下生成工作面方案，并从工程效率、资源回收和扰动控制方面进行筛选</w:t>
      </w:r>
      <w:r w:rsidR="00A86782">
        <w:rPr>
          <w:rFonts w:hint="eastAsia"/>
        </w:rPr>
        <w:t>。</w:t>
      </w:r>
    </w:p>
    <w:p w14:paraId="0C4F4B47" w14:textId="5D24A174" w:rsidR="00351EC4" w:rsidRPr="00DF00E8" w:rsidRDefault="00351EC4" w:rsidP="00DF00E8">
      <w:pPr>
        <w:pStyle w:val="12"/>
      </w:pPr>
      <w:r w:rsidRPr="00DF00E8">
        <w:t xml:space="preserve">2.1 </w:t>
      </w:r>
      <w:r w:rsidR="00F10457" w:rsidRPr="00DF00E8">
        <w:t>采区地质建模与有效布置域构建</w:t>
      </w:r>
    </w:p>
    <w:p w14:paraId="2A3316F6" w14:textId="77777777" w:rsidR="00A86782" w:rsidRDefault="00A86782" w:rsidP="00A86782">
      <w:pPr>
        <w:pStyle w:val="100"/>
        <w:ind w:firstLine="420"/>
      </w:pPr>
      <w:r>
        <w:rPr>
          <w:rFonts w:hint="eastAsia"/>
        </w:rPr>
        <w:t>采区地质建模是工作面布置方案生成的基础。传统采区规划中，采区边界、钻孔、煤层厚度、煤柱参数和局部保护对象往往分别作为图纸、表格或设计经验参与规划，缺少统一的空间表达方式。为使这些信息能够直接进入工作面布置过程，需</w:t>
      </w:r>
      <w:r>
        <w:rPr>
          <w:rFonts w:hint="eastAsia"/>
        </w:rPr>
        <w:t>要将原始边界和离散钻孔资料转化为有效布置域和连续参数场。</w:t>
      </w:r>
    </w:p>
    <w:p w14:paraId="4DB384BA" w14:textId="7CC35E28" w:rsidR="003F477A" w:rsidRPr="00DF00E8" w:rsidRDefault="003307AD" w:rsidP="00A86782">
      <w:pPr>
        <w:pStyle w:val="100"/>
        <w:ind w:firstLine="420"/>
      </w:pPr>
      <w:r w:rsidRPr="003307AD">
        <w:t>有效布置域用于限定工作面可布置范围，连续参数场用于表达煤层厚度等资源属性的空间变化，二者共同构成采区规划的基础空间底图</w:t>
      </w:r>
      <w:r w:rsidR="00A86782">
        <w:rPr>
          <w:rFonts w:hint="eastAsia"/>
        </w:rPr>
        <w:t>。</w:t>
      </w:r>
    </w:p>
    <w:p w14:paraId="4B09AC28" w14:textId="77777777" w:rsidR="00F10457" w:rsidRPr="00DF00E8" w:rsidRDefault="00F10457" w:rsidP="00DF00E8">
      <w:pPr>
        <w:pStyle w:val="130"/>
      </w:pPr>
      <w:r w:rsidRPr="00DF00E8">
        <w:t xml:space="preserve">2.1.1 </w:t>
      </w:r>
      <w:r w:rsidRPr="00DF00E8">
        <w:t>有效布置域构建</w:t>
      </w:r>
    </w:p>
    <w:p w14:paraId="3B75FB4A" w14:textId="77777777" w:rsidR="00A86782" w:rsidRPr="00A86782" w:rsidRDefault="00A86782" w:rsidP="00A86782">
      <w:pPr>
        <w:pStyle w:val="100"/>
        <w:ind w:firstLine="420"/>
      </w:pPr>
      <w:r w:rsidRPr="00A86782">
        <w:t>原始采区边界通常不能直接作为工作面布置边界。实际设计中，边界煤柱、区段煤柱、保护对象、构造影响区和局部不可采区域均会压缩可布置空间。若直接依据原始边界进行工作面划分，容易出现越界布置、煤柱不足或局部几何形态不满足工程实施要求等问题。</w:t>
      </w:r>
    </w:p>
    <w:p w14:paraId="383617C8" w14:textId="74C001FF" w:rsidR="00A86782" w:rsidRPr="00A86782" w:rsidRDefault="00A86782" w:rsidP="00A86782">
      <w:pPr>
        <w:pStyle w:val="100"/>
        <w:ind w:firstLine="420"/>
      </w:pPr>
      <w:r w:rsidRPr="00A86782">
        <w:t>因此，本文在原始采区边界基础上叠加边界煤柱、区段煤柱和局部保护约束，通过边界内缩、局部裁剪和几何合法性检查，构建有效布置域。设原始采区边界为</w:t>
      </w:r>
      <w:r w:rsidRPr="00A86782">
        <w:t xml:space="preserve">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A86782">
        <w:t>，边界煤柱宽度为</w:t>
      </w:r>
      <w:r w:rsidRPr="00A86782">
        <w:t xml:space="preserve"> </w:t>
      </w:r>
      <m:oMath>
        <m:sSub>
          <m:sSubPr>
            <m:ctrlPr>
              <w:rPr>
                <w:rFonts w:ascii="Cambria Math" w:hAnsi="Cambria Math"/>
              </w:rPr>
            </m:ctrlPr>
          </m:sSubPr>
          <m:e>
            <m:r>
              <w:rPr>
                <w:rFonts w:ascii="Cambria Math" w:hAnsi="Cambria Math"/>
              </w:rPr>
              <m:t>d</m:t>
            </m:r>
          </m:e>
          <m:sub>
            <m:r>
              <w:rPr>
                <w:rFonts w:ascii="Cambria Math" w:hAnsi="Cambria Math"/>
              </w:rPr>
              <m:t>b</m:t>
            </m:r>
          </m:sub>
        </m:sSub>
      </m:oMath>
      <w:r w:rsidRPr="00A86782">
        <w:t>，区段煤柱宽度为</w:t>
      </w:r>
      <w:r w:rsidRPr="00A86782">
        <w:t xml:space="preserve"> </w:t>
      </w:r>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A86782">
        <w:t>，局部保护距离为</w:t>
      </w:r>
      <w:r w:rsidRPr="00A86782">
        <w:t xml:space="preserve">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A86782">
        <w:t>，则有效布置域可表示为：</w:t>
      </w:r>
    </w:p>
    <w:p w14:paraId="3FFDC80C" w14:textId="4D8A08AB" w:rsidR="00F10457" w:rsidRPr="00F10457" w:rsidRDefault="00000000" w:rsidP="00F10457">
      <w:pPr>
        <w:pStyle w:val="100"/>
        <w:ind w:firstLine="420"/>
      </w:pPr>
      <m:oMathPara>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m:t>
          </m:r>
        </m:oMath>
      </m:oMathPara>
    </w:p>
    <w:p w14:paraId="61BAD737" w14:textId="202176F9" w:rsidR="00EF255B" w:rsidRPr="00EF255B" w:rsidRDefault="00EF255B" w:rsidP="00EF255B">
      <w:pPr>
        <w:pStyle w:val="100"/>
        <w:ind w:firstLine="420"/>
      </w:pPr>
      <w:r w:rsidRPr="00EF255B">
        <w:t>式中：</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EF255B">
        <w:t xml:space="preserve"> </w:t>
      </w:r>
      <w:r w:rsidRPr="00EF255B">
        <w:t>为有效布置域；</w:t>
      </w:r>
      <m:oMath>
        <m:r>
          <w:rPr>
            <w:rFonts w:ascii="Cambria Math" w:hAnsi="Cambria Math"/>
          </w:rPr>
          <m:t>⊖</m:t>
        </m:r>
      </m:oMath>
      <w:r w:rsidRPr="00EF255B">
        <w:t xml:space="preserve"> </w:t>
      </w:r>
      <w:r w:rsidRPr="00EF255B">
        <w:t>表示在边界煤柱、区段煤柱和局部保护约束共同作用下的空间内缩与裁剪过程。</w:t>
      </w:r>
    </w:p>
    <w:p w14:paraId="57DF4DCB" w14:textId="77777777" w:rsidR="00EF255B" w:rsidRPr="00EF255B" w:rsidRDefault="00EF255B" w:rsidP="00EF255B">
      <w:pPr>
        <w:pStyle w:val="100"/>
        <w:ind w:firstLine="420"/>
      </w:pPr>
      <w:r w:rsidRPr="00EF255B">
        <w:t>有效布置域确定后，后续工作面方案均应在该范围内生成，并满足不越界、煤柱宽度满足要求、工作面不重叠和几何形态可实施等基本条件。该处理可在方案生成阶段剔除明显不符合采矿约束的几何组合，避免无效方案进入后续评价。</w:t>
      </w:r>
    </w:p>
    <w:p w14:paraId="46B9F4C0" w14:textId="77777777" w:rsidR="00F10457" w:rsidRPr="00F10457" w:rsidRDefault="00F10457" w:rsidP="00DF00E8">
      <w:pPr>
        <w:pStyle w:val="130"/>
      </w:pPr>
      <w:r w:rsidRPr="00F10457">
        <w:t xml:space="preserve">2.1.2 </w:t>
      </w:r>
      <w:r w:rsidRPr="00F10457">
        <w:t>连续参数场构建</w:t>
      </w:r>
    </w:p>
    <w:p w14:paraId="03B04D27" w14:textId="595BA4FE" w:rsidR="00F10457" w:rsidRDefault="00EF255B" w:rsidP="00F10457">
      <w:pPr>
        <w:pStyle w:val="100"/>
        <w:ind w:firstLine="420"/>
      </w:pPr>
      <w:r w:rsidRPr="00EF255B">
        <w:t>钻孔资料是采区规划中反映煤层赋存条件的重要基础，但钻孔样点具有离散性，难以直接用于工作面覆盖范围统计和资源条件评价。若仅依据少量钻孔点或剖面判断煤厚变化，容易忽略采区内部资源属性的空间差异。因此，需要将钻孔样点转化为连续参数场，使煤层厚度等属性能够以空间变量形式参与方案评价。</w:t>
      </w:r>
    </w:p>
    <w:p w14:paraId="3B05D12B" w14:textId="003FCF71" w:rsidR="00EF255B" w:rsidRPr="00F10457" w:rsidRDefault="00EF255B" w:rsidP="00F10457">
      <w:pPr>
        <w:pStyle w:val="100"/>
        <w:ind w:firstLine="420"/>
      </w:pPr>
      <w:r w:rsidRPr="00EF255B">
        <w:t>设钻孔样点集合为：</w:t>
      </w:r>
    </w:p>
    <w:p w14:paraId="1D8C847F" w14:textId="437B66D5" w:rsidR="00F10457" w:rsidRPr="00F10457" w:rsidRDefault="00F10457" w:rsidP="00F10457">
      <w:pPr>
        <w:pStyle w:val="100"/>
        <w:ind w:firstLine="420"/>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)∣i=1,2,⋯</m:t>
          </m:r>
          <m:r>
            <m:rPr>
              <m:nor/>
            </m:rPr>
            <m:t> </m:t>
          </m:r>
          <m:r>
            <w:rPr>
              <w:rFonts w:ascii="Cambria Math" w:hAnsi="Cambria Math"/>
            </w:rPr>
            <m:t>,n}</m:t>
          </m:r>
        </m:oMath>
      </m:oMathPara>
    </w:p>
    <w:p w14:paraId="32C3BFDF" w14:textId="39F1984B" w:rsidR="00F10457" w:rsidRPr="00F10457" w:rsidRDefault="00EF255B" w:rsidP="00F10457">
      <w:pPr>
        <w:pStyle w:val="100"/>
        <w:ind w:firstLine="420"/>
      </w:pPr>
      <w:r w:rsidRPr="00EF255B">
        <w:t>式中：</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EF255B">
        <w:t xml:space="preserve"> </w:t>
      </w:r>
      <w:r w:rsidRPr="00EF255B">
        <w:t>为第</w:t>
      </w:r>
      <w:r w:rsidRPr="00EF255B">
        <w:t xml:space="preserve"> </w:t>
      </w:r>
      <m:oMath>
        <m:r>
          <w:rPr>
            <w:rFonts w:ascii="Cambria Math" w:hAnsi="Cambria Math"/>
          </w:rPr>
          <m:t>i</m:t>
        </m:r>
      </m:oMath>
      <w:r w:rsidRPr="00EF255B">
        <w:t>个钻孔的位置坐标；</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EF255B">
        <w:t xml:space="preserve"> </w:t>
      </w:r>
      <w:r w:rsidRPr="00EF255B">
        <w:t>为对应煤层厚度或其他地质属性值。规划域内任意位置</w:t>
      </w:r>
      <w:r w:rsidRPr="00EF255B">
        <w:t xml:space="preserve"> </w:t>
      </w:r>
      <m:oMath>
        <m:r>
          <w:rPr>
            <w:rFonts w:ascii="Cambria Math" w:hAnsi="Cambria Math"/>
          </w:rPr>
          <m:t>x</m:t>
        </m:r>
      </m:oMath>
      <w:r w:rsidRPr="00EF255B">
        <w:t>处的属性估计值可表示为</w:t>
      </w:r>
      <w:r w:rsidR="00F10457" w:rsidRPr="00F10457">
        <w:t>：</w:t>
      </w:r>
    </w:p>
    <w:p w14:paraId="1AA4AFA5" w14:textId="703ED38B" w:rsidR="00F10457" w:rsidRPr="00F10457" w:rsidRDefault="00F10457" w:rsidP="00F10457">
      <w:pPr>
        <w:pStyle w:val="100"/>
        <w:ind w:firstLine="420"/>
      </w:pPr>
      <m:oMathPara>
        <m:oMath>
          <m:r>
            <w:rPr>
              <w:rFonts w:ascii="Cambria Math" w:hAnsi="Cambria Math"/>
            </w:rPr>
            <m:t>Z(x)=</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r>
                <w:rPr>
                  <w:rFonts w:ascii="Cambria Math" w:hAnsi="Cambria Math"/>
                </w:rPr>
                <m:t>(x)</m:t>
              </m:r>
            </m:den>
          </m:f>
        </m:oMath>
      </m:oMathPara>
    </w:p>
    <w:p w14:paraId="3AF31A6B" w14:textId="3A8C8D05" w:rsidR="00F10457" w:rsidRPr="00F10457" w:rsidRDefault="00EF255B" w:rsidP="00F10457">
      <w:pPr>
        <w:pStyle w:val="100"/>
        <w:ind w:firstLine="420"/>
      </w:pPr>
      <w:r w:rsidRPr="00EF255B">
        <w:t>其中，</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(x)</m:t>
        </m:r>
      </m:oMath>
      <w:r w:rsidRPr="00EF255B">
        <w:t xml:space="preserve"> </w:t>
      </w:r>
      <w:r w:rsidRPr="00EF255B">
        <w:t>为第</w:t>
      </w:r>
      <w:r w:rsidRPr="00EF255B">
        <w:t xml:space="preserve"> </w:t>
      </w:r>
      <m:oMath>
        <m:r>
          <w:rPr>
            <w:rFonts w:ascii="Cambria Math" w:hAnsi="Cambria Math"/>
          </w:rPr>
          <m:t>i</m:t>
        </m:r>
      </m:oMath>
      <w:r w:rsidRPr="00EF255B">
        <w:t>个钻孔样点对位置</w:t>
      </w:r>
      <w:r w:rsidRPr="00EF255B">
        <w:t xml:space="preserve"> </w:t>
      </w:r>
      <m:oMath>
        <m:r>
          <w:rPr>
            <w:rFonts w:ascii="Cambria Math" w:hAnsi="Cambria Math"/>
          </w:rPr>
          <m:t>x</m:t>
        </m:r>
      </m:oMath>
      <w:r w:rsidRPr="00EF255B">
        <w:t>的空间权重。本文采用反距离加权法构建煤层厚度连续参数场，其权重为</w:t>
      </w:r>
      <w:r w:rsidR="00F10457" w:rsidRPr="00F10457">
        <w:t>：</w:t>
      </w:r>
    </w:p>
    <w:p w14:paraId="1B494DAB" w14:textId="35465BEE" w:rsidR="00F10457" w:rsidRPr="00F10457" w:rsidRDefault="00000000" w:rsidP="00F10457">
      <w:pPr>
        <w:pStyle w:val="100"/>
        <w:ind w:firstLine="420"/>
      </w:pPr>
      <m:oMathPara>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(x)=</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m:t>
                  </m:r>
                </m:sup>
              </m:sSubSup>
            </m:den>
          </m:f>
        </m:oMath>
      </m:oMathPara>
    </w:p>
    <w:p w14:paraId="29E18C0D" w14:textId="20CC9A03" w:rsidR="00F10457" w:rsidRPr="00F10457" w:rsidRDefault="00EF255B" w:rsidP="00F10457">
      <w:pPr>
        <w:pStyle w:val="100"/>
        <w:ind w:firstLine="420"/>
      </w:pPr>
      <w:r w:rsidRPr="00EF255B">
        <w:t>其中，</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(x)</m:t>
        </m:r>
      </m:oMath>
      <w:r w:rsidRPr="00EF255B">
        <w:t xml:space="preserve"> </w:t>
      </w:r>
      <w:r w:rsidRPr="00EF255B">
        <w:t>为第</w:t>
      </w:r>
      <w:r w:rsidRPr="00EF255B">
        <w:t xml:space="preserve"> </w:t>
      </w:r>
      <m:oMath>
        <m:r>
          <w:rPr>
            <w:rFonts w:ascii="Cambria Math" w:hAnsi="Cambria Math"/>
          </w:rPr>
          <m:t>i</m:t>
        </m:r>
      </m:oMath>
      <w:r w:rsidRPr="00EF255B">
        <w:t>个钻孔样点对位置</w:t>
      </w:r>
      <w:r w:rsidRPr="00EF255B">
        <w:t xml:space="preserve"> </w:t>
      </w:r>
      <m:oMath>
        <m:r>
          <w:rPr>
            <w:rFonts w:ascii="Cambria Math" w:hAnsi="Cambria Math"/>
          </w:rPr>
          <m:t>x</m:t>
        </m:r>
      </m:oMath>
      <w:r w:rsidRPr="00EF255B">
        <w:t>的空间权重。本文采用反距离加权法构建煤层厚度连续参数场，其权重为</w:t>
      </w:r>
      <w:r w:rsidR="00F10457" w:rsidRPr="00F10457">
        <w:t>。</w:t>
      </w:r>
    </w:p>
    <w:p w14:paraId="7AF89C98" w14:textId="77777777" w:rsidR="00F10457" w:rsidRPr="00F10457" w:rsidRDefault="00F10457" w:rsidP="00DF00E8">
      <w:pPr>
        <w:pStyle w:val="12"/>
      </w:pPr>
      <w:r w:rsidRPr="00F10457">
        <w:t xml:space="preserve">2.2 </w:t>
      </w:r>
      <w:r w:rsidRPr="00F10457">
        <w:t>多场景覆岩扰动评价与</w:t>
      </w:r>
      <w:r w:rsidRPr="00F10457">
        <w:t>ODI</w:t>
      </w:r>
      <w:r w:rsidRPr="00F10457">
        <w:t>约束</w:t>
      </w:r>
    </w:p>
    <w:p w14:paraId="7AA4E12E" w14:textId="77777777" w:rsidR="00EF255B" w:rsidRPr="00EF255B" w:rsidRDefault="00EF255B" w:rsidP="00EF255B">
      <w:pPr>
        <w:pStyle w:val="100"/>
        <w:ind w:firstLine="420"/>
      </w:pPr>
      <w:r w:rsidRPr="00EF255B">
        <w:t>采区规划中的覆岩扰动风险并非单一来源。地表沉陷主要反映覆岩整体移动及地表变形影响，含水层扰动主要受导水裂隙带发育高度、隔水层厚度和含水层敏感性控制，上行开采则更关注上覆岩层再扰动条件下的结构稳定性和安全边界。上述风险均与采动覆岩响应有关，但控制对象、</w:t>
      </w:r>
      <w:r w:rsidRPr="00EF255B">
        <w:t>评价指标和判据口径并不相同。</w:t>
      </w:r>
    </w:p>
    <w:p w14:paraId="225FA330" w14:textId="77777777" w:rsidR="00EF255B" w:rsidRPr="00EF255B" w:rsidRDefault="00EF255B" w:rsidP="00EF255B">
      <w:pPr>
        <w:pStyle w:val="100"/>
        <w:ind w:firstLine="420"/>
      </w:pPr>
      <w:r w:rsidRPr="00EF255B">
        <w:t>若将地表沉陷、含水层扰动和上行开采风险分别作为独立约束进入采区规划，同一工作面布置方案可能在不同风险场景下得到不同评价结果，难以形成统一的方案筛选依据。为使多场景风险能够在同一空间尺度下参与工作面布置方案比较，本文采用覆岩扰动指数（</w:t>
      </w:r>
      <w:r w:rsidRPr="00EF255B">
        <w:t>Overburden Disturbance Index</w:t>
      </w:r>
      <w:r w:rsidRPr="00EF255B">
        <w:t>，</w:t>
      </w:r>
      <w:r w:rsidRPr="00EF255B">
        <w:t>ODI</w:t>
      </w:r>
      <w:r w:rsidRPr="00EF255B">
        <w:t>）表征规划域内的综合扰动水平，并将其作为工作面布置的风险约束底图。</w:t>
      </w:r>
    </w:p>
    <w:p w14:paraId="2956CB91" w14:textId="25A492CB" w:rsidR="00F10457" w:rsidRPr="00F10457" w:rsidRDefault="00F10457" w:rsidP="00F10457">
      <w:pPr>
        <w:pStyle w:val="100"/>
        <w:ind w:firstLine="420"/>
      </w:pPr>
      <w:r w:rsidRPr="00F10457">
        <w:t>多场景覆岩扰动指数构建与权重组织关系如</w:t>
      </w:r>
      <w:r w:rsidR="008419FD">
        <w:fldChar w:fldCharType="begin"/>
      </w:r>
      <w:r w:rsidR="008419FD">
        <w:instrText xml:space="preserve"> REF _Ref227925743 \h </w:instrText>
      </w:r>
      <w:r w:rsidR="008419FD">
        <w:fldChar w:fldCharType="separate"/>
      </w:r>
      <w:r w:rsidR="008419FD">
        <w:rPr>
          <w:rFonts w:hint="eastAsia"/>
        </w:rPr>
        <w:t>图</w:t>
      </w:r>
      <w:r w:rsidR="008419FD">
        <w:rPr>
          <w:noProof/>
        </w:rPr>
        <w:t>2</w:t>
      </w:r>
      <w:r w:rsidR="008419FD">
        <w:fldChar w:fldCharType="end"/>
      </w:r>
      <w:r w:rsidRPr="00F10457">
        <w:t>所示。</w:t>
      </w:r>
    </w:p>
    <w:p w14:paraId="77B74E89" w14:textId="77777777" w:rsidR="00210CE2" w:rsidRDefault="00210CE2" w:rsidP="00210CE2">
      <w:pPr>
        <w:pStyle w:val="aff"/>
        <w:sectPr w:rsidR="00210CE2" w:rsidSect="003F477A">
          <w:type w:val="continuous"/>
          <w:pgSz w:w="11906" w:h="16838"/>
          <w:pgMar w:top="1418" w:right="1134" w:bottom="1134" w:left="1134" w:header="720" w:footer="720" w:gutter="0"/>
          <w:cols w:num="2" w:space="720"/>
          <w:docGrid w:linePitch="598"/>
        </w:sectPr>
      </w:pPr>
    </w:p>
    <w:p w14:paraId="6103D739" w14:textId="77777777" w:rsidR="00210CE2" w:rsidRDefault="00210CE2" w:rsidP="00210CE2">
      <w:pPr>
        <w:pStyle w:val="aff"/>
      </w:pPr>
      <w:r w:rsidRPr="006603B8">
        <w:rPr>
          <w:noProof/>
        </w:rPr>
        <w:drawing>
          <wp:inline distT="0" distB="0" distL="0" distR="0" wp14:anchorId="2F885BD4" wp14:editId="1D3790B6">
            <wp:extent cx="5778000" cy="2597992"/>
            <wp:effectExtent l="0" t="0" r="0" b="0"/>
            <wp:docPr id="1727431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8000" cy="2597992"/>
                    </a:xfrm>
                    <a:prstGeom prst="rect">
                      <a:avLst/>
                    </a:prstGeom>
                    <a:noFill/>
                    <a:ln>
                      <a:noFill/>
                    </a:ln>
                  </pic:spPr>
                </pic:pic>
              </a:graphicData>
            </a:graphic>
          </wp:inline>
        </w:drawing>
      </w:r>
    </w:p>
    <w:p w14:paraId="6B648251" w14:textId="77777777" w:rsidR="00210CE2" w:rsidRDefault="00210CE2" w:rsidP="00210CE2">
      <w:pPr>
        <w:pStyle w:val="14"/>
      </w:pPr>
      <w:bookmarkStart w:id="2" w:name="_Ref22792574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2"/>
      <w:r>
        <w:rPr>
          <w:rFonts w:hint="eastAsia"/>
        </w:rPr>
        <w:t xml:space="preserve"> </w:t>
      </w:r>
      <w:r w:rsidRPr="000E1681">
        <w:rPr>
          <w:rFonts w:hint="eastAsia"/>
        </w:rPr>
        <w:t>多场景覆岩扰动指数构建与权重组织关系</w:t>
      </w:r>
    </w:p>
    <w:p w14:paraId="2AB00505" w14:textId="09E84AC0" w:rsidR="00F10457" w:rsidRPr="00210CE2" w:rsidRDefault="00210CE2" w:rsidP="00210CE2">
      <w:pPr>
        <w:pStyle w:val="100"/>
        <w:ind w:firstLine="420"/>
      </w:pPr>
      <w:r w:rsidRPr="00ED29A2">
        <w:t>Fig.</w:t>
      </w:r>
      <w:r>
        <w:fldChar w:fldCharType="begin"/>
      </w:r>
      <w:r>
        <w:instrText xml:space="preserve"> REF _Ref227762319 \h  \* MERGEFORMAT </w:instrText>
      </w:r>
      <w:r>
        <w:fldChar w:fldCharType="separate"/>
      </w:r>
      <w:r>
        <w:rPr>
          <w:noProof/>
        </w:rPr>
        <w:t>2</w:t>
      </w:r>
      <w:r>
        <w:fldChar w:fldCharType="end"/>
      </w:r>
      <w:r w:rsidRPr="00ED29A2">
        <w:t xml:space="preserve"> </w:t>
      </w:r>
      <w:r w:rsidRPr="002D513A">
        <w:t>Construction and weight organization of the multi-scenario overburden disturbance index</w:t>
      </w:r>
    </w:p>
    <w:p w14:paraId="4E4CD55B" w14:textId="77777777" w:rsidR="00210CE2" w:rsidRDefault="00210CE2" w:rsidP="003F477A">
      <w:pPr>
        <w:pStyle w:val="14"/>
        <w:sectPr w:rsidR="00210CE2" w:rsidSect="00210CE2">
          <w:type w:val="continuous"/>
          <w:pgSz w:w="11906" w:h="16838"/>
          <w:pgMar w:top="1418" w:right="1134" w:bottom="1134" w:left="1134" w:header="720" w:footer="720" w:gutter="0"/>
          <w:cols w:space="720"/>
          <w:docGrid w:linePitch="598"/>
        </w:sectPr>
      </w:pPr>
    </w:p>
    <w:p w14:paraId="6522A6F1" w14:textId="53450007" w:rsidR="00210CE2" w:rsidRPr="00210CE2" w:rsidRDefault="00210CE2" w:rsidP="00210CE2">
      <w:pPr>
        <w:pStyle w:val="100"/>
        <w:ind w:firstLine="420"/>
      </w:pPr>
      <w:r w:rsidRPr="00210CE2">
        <w:t>在</w:t>
      </w:r>
      <w:r w:rsidR="008419FD">
        <w:fldChar w:fldCharType="begin"/>
      </w:r>
      <w:r w:rsidR="008419FD">
        <w:instrText xml:space="preserve"> REF _Ref227925743 \h </w:instrText>
      </w:r>
      <w:r w:rsidR="008419FD">
        <w:fldChar w:fldCharType="separate"/>
      </w:r>
      <w:r w:rsidR="008419FD">
        <w:rPr>
          <w:rFonts w:hint="eastAsia"/>
        </w:rPr>
        <w:t>图</w:t>
      </w:r>
      <w:r w:rsidR="008419FD">
        <w:rPr>
          <w:noProof/>
        </w:rPr>
        <w:t>2</w:t>
      </w:r>
      <w:r w:rsidR="008419FD">
        <w:fldChar w:fldCharType="end"/>
      </w:r>
      <w:r w:rsidRPr="00210CE2">
        <w:t>所示关系中，不同扰动分量并非替代专项安全评价，而是作为采区规划阶段的统一风险输入。设规划域为</w:t>
      </w:r>
      <w:r w:rsidRPr="00210CE2">
        <w:t xml:space="preserve"> </w:t>
      </w:r>
      <m:oMath>
        <m:r>
          <m:rPr>
            <m:sty m:val="p"/>
          </m:rPr>
          <w:rPr>
            <w:rFonts w:ascii="Cambria Math" w:hAnsi="Cambria Math"/>
          </w:rPr>
          <m:t>Ω</m:t>
        </m:r>
      </m:oMath>
      <w:r w:rsidRPr="00210CE2">
        <w:t>，任意位置</w:t>
      </w:r>
      <w:r w:rsidRPr="00210CE2">
        <w:t xml:space="preserve"> </w:t>
      </w:r>
      <m:oMath>
        <m:r>
          <w:rPr>
            <w:rFonts w:ascii="Cambria Math" w:hAnsi="Cambria Math"/>
          </w:rPr>
          <m:t>x</m:t>
        </m:r>
      </m:oMath>
      <w:r w:rsidRPr="00210CE2">
        <w:t>处的地表沉陷扰动、含水层扰动和上行开采扰动分别为</w:t>
      </w:r>
      <w:r w:rsidRPr="00210CE2">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(x)</m:t>
        </m:r>
      </m:oMath>
      <w:r w:rsidRPr="00210CE2">
        <w:t>、</w:t>
      </w:r>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(x)</m:t>
        </m:r>
      </m:oMath>
      <w:r w:rsidRPr="00210CE2">
        <w:t xml:space="preserve"> </w:t>
      </w:r>
      <w:r w:rsidRPr="00210CE2">
        <w:t>和</w:t>
      </w:r>
      <w:r w:rsidRPr="00210CE2">
        <w:t xml:space="preserve">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(x)</m:t>
        </m:r>
      </m:oMath>
      <w:r w:rsidRPr="00210CE2">
        <w:t>，各分量经归一化处理后，综合覆岩扰动指数表示为：</w:t>
      </w:r>
    </w:p>
    <w:p w14:paraId="7D6B4D07" w14:textId="4A2BAF28" w:rsidR="00210CE2" w:rsidRPr="00210CE2" w:rsidRDefault="00210CE2" w:rsidP="00210CE2">
      <w:pPr>
        <w:pStyle w:val="100"/>
        <w:ind w:firstLine="420"/>
      </w:pPr>
      <m:oMathPara>
        <m:oMath>
          <m:r>
            <w:rPr>
              <w:rFonts w:ascii="Cambria Math" w:hAnsi="Cambria Math"/>
            </w:rPr>
            <m:t>ODI(x)=</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(x)</m:t>
          </m:r>
        </m:oMath>
      </m:oMathPara>
    </w:p>
    <w:p w14:paraId="187711D0" w14:textId="6CC4165C" w:rsidR="00210CE2" w:rsidRPr="00210CE2" w:rsidRDefault="00210CE2" w:rsidP="00210CE2">
      <w:pPr>
        <w:pStyle w:val="100"/>
        <w:ind w:firstLine="420"/>
      </w:pPr>
      <w:r w:rsidRPr="00210CE2">
        <w:t>式中：</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Pr="00210CE2">
        <w:t>、</w:t>
      </w:r>
      <m:oMath>
        <m:sSub>
          <m:sSubPr>
            <m:ctrlPr>
              <w:rPr>
                <w:rFonts w:ascii="Cambria Math" w:hAnsi="Cambria Math"/>
              </w:rPr>
            </m:ctrlPr>
          </m:sSubPr>
          <m:e>
            <m:r>
              <w:rPr>
                <w:rFonts w:ascii="Cambria Math" w:hAnsi="Cambria Math"/>
              </w:rPr>
              <m:t>w</m:t>
            </m:r>
          </m:e>
          <m:sub>
            <m:r>
              <w:rPr>
                <w:rFonts w:ascii="Cambria Math" w:hAnsi="Cambria Math"/>
              </w:rPr>
              <m:t>a</m:t>
            </m:r>
          </m:sub>
        </m:sSub>
      </m:oMath>
      <w:r w:rsidRPr="00210CE2">
        <w:t>、</w:t>
      </w:r>
      <m:oMath>
        <m:sSub>
          <m:sSubPr>
            <m:ctrlPr>
              <w:rPr>
                <w:rFonts w:ascii="Cambria Math" w:hAnsi="Cambria Math"/>
              </w:rPr>
            </m:ctrlPr>
          </m:sSubPr>
          <m:e>
            <m:r>
              <w:rPr>
                <w:rFonts w:ascii="Cambria Math" w:hAnsi="Cambria Math"/>
              </w:rPr>
              <m:t>w</m:t>
            </m:r>
          </m:e>
          <m:sub>
            <m:r>
              <w:rPr>
                <w:rFonts w:ascii="Cambria Math" w:hAnsi="Cambria Math"/>
              </w:rPr>
              <m:t>u</m:t>
            </m:r>
          </m:sub>
        </m:sSub>
      </m:oMath>
      <w:r w:rsidRPr="00210CE2">
        <w:t xml:space="preserve"> </w:t>
      </w:r>
      <w:r w:rsidRPr="00210CE2">
        <w:t>分别为地表沉陷扰动、含水层扰动和上行开采扰动权重，且满足：</w:t>
      </w:r>
    </w:p>
    <w:p w14:paraId="2AF30D3D" w14:textId="08EB7244" w:rsidR="00210CE2" w:rsidRPr="00210CE2" w:rsidRDefault="00000000" w:rsidP="00210CE2">
      <w:pPr>
        <w:pStyle w:val="100"/>
        <w:ind w:firstLine="420"/>
      </w:pPr>
      <m:oMathPara>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m:t>
              </m:r>
            </m:sub>
          </m:sSub>
          <m:r>
            <w:rPr>
              <w:rFonts w:ascii="Cambria Math" w:hAnsi="Cambria Math"/>
            </w:rPr>
            <m:t>≥0</m:t>
          </m:r>
        </m:oMath>
      </m:oMathPara>
    </w:p>
    <w:p w14:paraId="59C303B4" w14:textId="39E56A2A" w:rsidR="00EF255B" w:rsidRPr="00EF255B" w:rsidRDefault="00EF255B" w:rsidP="00EF255B">
      <w:pPr>
        <w:pStyle w:val="100"/>
        <w:ind w:firstLine="420"/>
      </w:pPr>
      <w:r w:rsidRPr="00EF255B">
        <w:t>ODI</w:t>
      </w:r>
      <w:r w:rsidRPr="00EF255B">
        <w:t>取值范围为</w:t>
      </w:r>
      <w:r w:rsidRPr="00EF255B">
        <w:t xml:space="preserv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EF255B">
        <w:t>，数值越大表示综合覆岩扰动越强。需要说明的是，</w:t>
      </w:r>
      <w:r w:rsidRPr="00EF255B">
        <w:t>ODI</w:t>
      </w:r>
      <w:r w:rsidRPr="00EF255B">
        <w:t>主要用于采区规划阶段的风险分区和方案比较，并不替代地表沉陷预计、导水裂隙带高度判定、含水层保护或上行开采安全性等专项评价。对于最终推荐方案，仍需结合各扰动分量及现场安全规程开展专项复核。</w:t>
      </w:r>
    </w:p>
    <w:p w14:paraId="2972068E" w14:textId="77777777" w:rsidR="00EF255B" w:rsidRPr="00EF255B" w:rsidRDefault="00EF255B" w:rsidP="00EF255B">
      <w:pPr>
        <w:pStyle w:val="100"/>
        <w:ind w:firstLine="420"/>
      </w:pPr>
      <w:r w:rsidRPr="00EF255B">
        <w:t>本文所用</w:t>
      </w:r>
      <w:r w:rsidRPr="00EF255B">
        <w:t>ODI</w:t>
      </w:r>
      <w:r w:rsidRPr="00EF255B">
        <w:t>来源于覆岩扰动量化指标体系，</w:t>
      </w:r>
      <w:r w:rsidRPr="00EF255B">
        <w:t>其底层指标包括地质因素、开采因素以及位移、应力和裂隙发育等响应指标。考虑到本文重点为采区规划应用，不再展开底层指标敏感性和权重计算过程，仅保留面向地表沉陷、含水层扰动和上行开采场景的归一化分量及其权重组织形式。</w:t>
      </w:r>
    </w:p>
    <w:p w14:paraId="16723A39" w14:textId="762610B7" w:rsidR="00EF255B" w:rsidRPr="00EF255B" w:rsidRDefault="003307AD" w:rsidP="00EF255B">
      <w:pPr>
        <w:pStyle w:val="100"/>
        <w:ind w:firstLine="420"/>
      </w:pPr>
      <w:r w:rsidRPr="003307AD">
        <w:t>在采区规划中，</w:t>
      </w:r>
      <w:r w:rsidRPr="003307AD">
        <w:t>ODI</w:t>
      </w:r>
      <w:r w:rsidRPr="003307AD">
        <w:t>主要用于高扰动敏感区识别和方案级风险统计。一方面，综合</w:t>
      </w:r>
      <w:r w:rsidRPr="003307AD">
        <w:t>ODI</w:t>
      </w:r>
      <w:r w:rsidRPr="003307AD">
        <w:t>场可作为工作面布置的风险约束底图，为高扰动区避让提供依据；另一方面，通过统计候选方案范围内的</w:t>
      </w:r>
      <w:r w:rsidRPr="003307AD">
        <w:t>ODI</w:t>
      </w:r>
      <w:r w:rsidRPr="003307AD">
        <w:t>均值、</w:t>
      </w:r>
      <w:r w:rsidRPr="003307AD">
        <w:t>90%</w:t>
      </w:r>
      <w:r w:rsidRPr="003307AD">
        <w:t>分位数和超阈值暴露比例，可将图层级扰动结果转化为方案级风险指标，并与工程效率、资源回收目标共同参与方案筛选</w:t>
      </w:r>
      <w:r w:rsidR="00EF255B">
        <w:rPr>
          <w:rFonts w:hint="eastAsia"/>
        </w:rPr>
        <w:t>。</w:t>
      </w:r>
    </w:p>
    <w:p w14:paraId="480A73CE" w14:textId="2E03767F" w:rsidR="00EF255B" w:rsidRDefault="00EF255B" w:rsidP="00EF255B">
      <w:pPr>
        <w:pStyle w:val="15"/>
      </w:pPr>
      <w:bookmarkStart w:id="3" w:name="_Ref228223867"/>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bookmarkEnd w:id="3"/>
      <w:r>
        <w:rPr>
          <w:rFonts w:hint="eastAsia"/>
        </w:rPr>
        <w:t xml:space="preserve"> </w:t>
      </w:r>
      <w:r w:rsidRPr="00EF255B">
        <w:t>多场景覆岩扰动评价对象及规划作用</w:t>
      </w:r>
    </w:p>
    <w:p w14:paraId="2D81869D" w14:textId="78818606" w:rsidR="00EF255B" w:rsidRDefault="00EF255B" w:rsidP="00EF255B">
      <w:pPr>
        <w:pStyle w:val="15"/>
      </w:pPr>
      <w:r w:rsidRPr="00EF255B">
        <w:t>Table 1 Evaluation objects and planning functions of multi-scenario overburden disturbance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1024"/>
        <w:gridCol w:w="1595"/>
        <w:gridCol w:w="1235"/>
      </w:tblGrid>
      <w:tr w:rsidR="00210CE2" w:rsidRPr="00210CE2" w14:paraId="29CC50F3" w14:textId="77777777" w:rsidTr="00210CE2">
        <w:trPr>
          <w:tblHeader/>
          <w:tblCellSpacing w:w="15" w:type="dxa"/>
        </w:trPr>
        <w:tc>
          <w:tcPr>
            <w:tcW w:w="0" w:type="auto"/>
            <w:tcBorders>
              <w:top w:val="nil"/>
              <w:bottom w:val="single" w:sz="4" w:space="0" w:color="auto"/>
            </w:tcBorders>
            <w:vAlign w:val="center"/>
            <w:hideMark/>
          </w:tcPr>
          <w:p w14:paraId="698BEAD3" w14:textId="77777777" w:rsidR="00210CE2" w:rsidRPr="00210CE2" w:rsidRDefault="00210CE2" w:rsidP="00210CE2">
            <w:pPr>
              <w:spacing w:beforeLines="0" w:before="0" w:afterLines="0" w:after="0"/>
              <w:jc w:val="center"/>
              <w:rPr>
                <w:rFonts w:eastAsia="宋体"/>
                <w:sz w:val="18"/>
              </w:rPr>
            </w:pPr>
            <w:r w:rsidRPr="00210CE2">
              <w:rPr>
                <w:rFonts w:eastAsia="宋体"/>
                <w:sz w:val="18"/>
              </w:rPr>
              <w:t>场景</w:t>
            </w:r>
          </w:p>
        </w:tc>
        <w:tc>
          <w:tcPr>
            <w:tcW w:w="0" w:type="auto"/>
            <w:tcBorders>
              <w:top w:val="nil"/>
              <w:bottom w:val="single" w:sz="4" w:space="0" w:color="auto"/>
            </w:tcBorders>
            <w:vAlign w:val="center"/>
            <w:hideMark/>
          </w:tcPr>
          <w:p w14:paraId="37BC9278" w14:textId="77777777" w:rsidR="00210CE2" w:rsidRPr="00210CE2" w:rsidRDefault="00210CE2" w:rsidP="00210CE2">
            <w:pPr>
              <w:spacing w:beforeLines="0" w:before="0" w:afterLines="0" w:after="0"/>
              <w:jc w:val="center"/>
              <w:rPr>
                <w:rFonts w:eastAsia="宋体"/>
                <w:sz w:val="18"/>
              </w:rPr>
            </w:pPr>
            <w:r w:rsidRPr="00210CE2">
              <w:rPr>
                <w:rFonts w:eastAsia="宋体"/>
                <w:sz w:val="18"/>
              </w:rPr>
              <w:t>关注对象</w:t>
            </w:r>
          </w:p>
        </w:tc>
        <w:tc>
          <w:tcPr>
            <w:tcW w:w="0" w:type="auto"/>
            <w:tcBorders>
              <w:top w:val="nil"/>
              <w:bottom w:val="single" w:sz="4" w:space="0" w:color="auto"/>
            </w:tcBorders>
            <w:vAlign w:val="center"/>
            <w:hideMark/>
          </w:tcPr>
          <w:p w14:paraId="584BDC0F" w14:textId="77777777" w:rsidR="00210CE2" w:rsidRPr="00210CE2" w:rsidRDefault="00210CE2" w:rsidP="00210CE2">
            <w:pPr>
              <w:spacing w:beforeLines="0" w:before="0" w:afterLines="0" w:after="0"/>
              <w:jc w:val="center"/>
              <w:rPr>
                <w:rFonts w:eastAsia="宋体"/>
                <w:sz w:val="18"/>
              </w:rPr>
            </w:pPr>
            <w:r w:rsidRPr="00210CE2">
              <w:rPr>
                <w:rFonts w:eastAsia="宋体"/>
                <w:sz w:val="18"/>
              </w:rPr>
              <w:t>主要输入依据</w:t>
            </w:r>
          </w:p>
        </w:tc>
        <w:tc>
          <w:tcPr>
            <w:tcW w:w="0" w:type="auto"/>
            <w:tcBorders>
              <w:top w:val="nil"/>
              <w:bottom w:val="single" w:sz="4" w:space="0" w:color="auto"/>
            </w:tcBorders>
            <w:vAlign w:val="center"/>
            <w:hideMark/>
          </w:tcPr>
          <w:p w14:paraId="71461CD0" w14:textId="77777777" w:rsidR="00210CE2" w:rsidRPr="00210CE2" w:rsidRDefault="00210CE2" w:rsidP="00210CE2">
            <w:pPr>
              <w:spacing w:beforeLines="0" w:before="0" w:afterLines="0" w:after="0"/>
              <w:jc w:val="center"/>
              <w:rPr>
                <w:rFonts w:eastAsia="宋体"/>
                <w:sz w:val="18"/>
              </w:rPr>
            </w:pPr>
            <w:r w:rsidRPr="00210CE2">
              <w:rPr>
                <w:rFonts w:eastAsia="宋体"/>
                <w:sz w:val="18"/>
              </w:rPr>
              <w:t>规划作用</w:t>
            </w:r>
          </w:p>
        </w:tc>
      </w:tr>
      <w:tr w:rsidR="00210CE2" w:rsidRPr="00210CE2" w14:paraId="4EDB5CF9" w14:textId="77777777" w:rsidTr="00210CE2">
        <w:trPr>
          <w:tblCellSpacing w:w="15" w:type="dxa"/>
        </w:trPr>
        <w:tc>
          <w:tcPr>
            <w:tcW w:w="0" w:type="auto"/>
            <w:vAlign w:val="center"/>
            <w:hideMark/>
          </w:tcPr>
          <w:p w14:paraId="1E4A37A5" w14:textId="77777777" w:rsidR="00210CE2" w:rsidRPr="00210CE2" w:rsidRDefault="00210CE2" w:rsidP="00210CE2">
            <w:pPr>
              <w:spacing w:beforeLines="0" w:before="0" w:afterLines="0" w:after="0"/>
              <w:jc w:val="center"/>
              <w:rPr>
                <w:rFonts w:eastAsia="宋体"/>
                <w:sz w:val="18"/>
              </w:rPr>
            </w:pPr>
            <w:r w:rsidRPr="00210CE2">
              <w:rPr>
                <w:rFonts w:eastAsia="宋体"/>
                <w:sz w:val="18"/>
              </w:rPr>
              <w:t>地表沉陷</w:t>
            </w:r>
          </w:p>
        </w:tc>
        <w:tc>
          <w:tcPr>
            <w:tcW w:w="0" w:type="auto"/>
            <w:vAlign w:val="center"/>
            <w:hideMark/>
          </w:tcPr>
          <w:p w14:paraId="204585B7" w14:textId="77777777" w:rsidR="00210CE2" w:rsidRPr="00210CE2" w:rsidRDefault="00210CE2" w:rsidP="00210CE2">
            <w:pPr>
              <w:spacing w:beforeLines="0" w:before="0" w:afterLines="0" w:after="0"/>
              <w:jc w:val="center"/>
              <w:rPr>
                <w:rFonts w:eastAsia="宋体"/>
                <w:sz w:val="18"/>
              </w:rPr>
            </w:pPr>
            <w:r w:rsidRPr="00210CE2">
              <w:rPr>
                <w:rFonts w:eastAsia="宋体"/>
                <w:sz w:val="18"/>
              </w:rPr>
              <w:t>地表移动与沉陷风险</w:t>
            </w:r>
          </w:p>
        </w:tc>
        <w:tc>
          <w:tcPr>
            <w:tcW w:w="0" w:type="auto"/>
            <w:vAlign w:val="center"/>
            <w:hideMark/>
          </w:tcPr>
          <w:p w14:paraId="26278FFA" w14:textId="77777777" w:rsidR="00210CE2" w:rsidRPr="00210CE2" w:rsidRDefault="00210CE2" w:rsidP="00210CE2">
            <w:pPr>
              <w:spacing w:beforeLines="0" w:before="0" w:afterLines="0" w:after="0"/>
              <w:jc w:val="center"/>
              <w:rPr>
                <w:rFonts w:eastAsia="宋体"/>
                <w:sz w:val="18"/>
              </w:rPr>
            </w:pPr>
            <w:r w:rsidRPr="00210CE2">
              <w:rPr>
                <w:rFonts w:eastAsia="宋体"/>
                <w:sz w:val="18"/>
              </w:rPr>
              <w:t>沉陷预测结果、地表保护约束</w:t>
            </w:r>
          </w:p>
        </w:tc>
        <w:tc>
          <w:tcPr>
            <w:tcW w:w="0" w:type="auto"/>
            <w:vAlign w:val="center"/>
            <w:hideMark/>
          </w:tcPr>
          <w:p w14:paraId="56CB4322" w14:textId="77777777" w:rsidR="00210CE2" w:rsidRPr="00210CE2" w:rsidRDefault="00210CE2" w:rsidP="00210CE2">
            <w:pPr>
              <w:spacing w:beforeLines="0" w:before="0" w:afterLines="0" w:after="0"/>
              <w:jc w:val="center"/>
              <w:rPr>
                <w:rFonts w:eastAsia="宋体"/>
                <w:sz w:val="18"/>
              </w:rPr>
            </w:pPr>
            <w:r w:rsidRPr="00210CE2">
              <w:rPr>
                <w:rFonts w:eastAsia="宋体"/>
                <w:sz w:val="18"/>
              </w:rPr>
              <w:t>约束工作面布局范围与高敏感区避让</w:t>
            </w:r>
          </w:p>
        </w:tc>
      </w:tr>
      <w:tr w:rsidR="00210CE2" w:rsidRPr="00210CE2" w14:paraId="41E1B2AB" w14:textId="77777777" w:rsidTr="00210CE2">
        <w:trPr>
          <w:tblCellSpacing w:w="15" w:type="dxa"/>
        </w:trPr>
        <w:tc>
          <w:tcPr>
            <w:tcW w:w="0" w:type="auto"/>
            <w:vAlign w:val="center"/>
            <w:hideMark/>
          </w:tcPr>
          <w:p w14:paraId="508A8C54" w14:textId="77777777" w:rsidR="00210CE2" w:rsidRPr="00210CE2" w:rsidRDefault="00210CE2" w:rsidP="00210CE2">
            <w:pPr>
              <w:spacing w:beforeLines="0" w:before="0" w:afterLines="0" w:after="0"/>
              <w:jc w:val="center"/>
              <w:rPr>
                <w:rFonts w:eastAsia="宋体"/>
                <w:sz w:val="18"/>
              </w:rPr>
            </w:pPr>
            <w:r w:rsidRPr="00210CE2">
              <w:rPr>
                <w:rFonts w:eastAsia="宋体"/>
                <w:sz w:val="18"/>
              </w:rPr>
              <w:lastRenderedPageBreak/>
              <w:t>含水层扰动</w:t>
            </w:r>
          </w:p>
        </w:tc>
        <w:tc>
          <w:tcPr>
            <w:tcW w:w="0" w:type="auto"/>
            <w:vAlign w:val="center"/>
            <w:hideMark/>
          </w:tcPr>
          <w:p w14:paraId="6E36647B" w14:textId="77777777" w:rsidR="00210CE2" w:rsidRPr="00210CE2" w:rsidRDefault="00210CE2" w:rsidP="00210CE2">
            <w:pPr>
              <w:spacing w:beforeLines="0" w:before="0" w:afterLines="0" w:after="0"/>
              <w:jc w:val="center"/>
              <w:rPr>
                <w:rFonts w:eastAsia="宋体"/>
                <w:sz w:val="18"/>
              </w:rPr>
            </w:pPr>
            <w:r w:rsidRPr="00210CE2">
              <w:rPr>
                <w:rFonts w:eastAsia="宋体"/>
                <w:sz w:val="18"/>
              </w:rPr>
              <w:t>导水裂隙带与含水层受扰风险</w:t>
            </w:r>
          </w:p>
        </w:tc>
        <w:tc>
          <w:tcPr>
            <w:tcW w:w="0" w:type="auto"/>
            <w:vAlign w:val="center"/>
            <w:hideMark/>
          </w:tcPr>
          <w:p w14:paraId="37B9A717" w14:textId="77777777" w:rsidR="00210CE2" w:rsidRPr="00210CE2" w:rsidRDefault="00210CE2" w:rsidP="00210CE2">
            <w:pPr>
              <w:spacing w:beforeLines="0" w:before="0" w:afterLines="0" w:after="0"/>
              <w:jc w:val="center"/>
              <w:rPr>
                <w:rFonts w:eastAsia="宋体"/>
                <w:sz w:val="18"/>
              </w:rPr>
            </w:pPr>
            <w:r w:rsidRPr="00210CE2">
              <w:rPr>
                <w:rFonts w:eastAsia="宋体"/>
                <w:sz w:val="18"/>
              </w:rPr>
              <w:t>导水裂隙带高度、含水层敏感性、隔水层条件</w:t>
            </w:r>
          </w:p>
        </w:tc>
        <w:tc>
          <w:tcPr>
            <w:tcW w:w="0" w:type="auto"/>
            <w:vAlign w:val="center"/>
            <w:hideMark/>
          </w:tcPr>
          <w:p w14:paraId="684BE01D" w14:textId="77777777" w:rsidR="00210CE2" w:rsidRPr="00210CE2" w:rsidRDefault="00210CE2" w:rsidP="00210CE2">
            <w:pPr>
              <w:spacing w:beforeLines="0" w:before="0" w:afterLines="0" w:after="0"/>
              <w:jc w:val="center"/>
              <w:rPr>
                <w:rFonts w:eastAsia="宋体"/>
                <w:sz w:val="18"/>
              </w:rPr>
            </w:pPr>
            <w:r w:rsidRPr="00210CE2">
              <w:rPr>
                <w:rFonts w:eastAsia="宋体"/>
                <w:sz w:val="18"/>
              </w:rPr>
              <w:t>参与风险筛选与含水层敏感区避让</w:t>
            </w:r>
          </w:p>
        </w:tc>
      </w:tr>
      <w:tr w:rsidR="00210CE2" w:rsidRPr="00210CE2" w14:paraId="44199C8E" w14:textId="77777777" w:rsidTr="00210CE2">
        <w:trPr>
          <w:tblCellSpacing w:w="15" w:type="dxa"/>
        </w:trPr>
        <w:tc>
          <w:tcPr>
            <w:tcW w:w="0" w:type="auto"/>
            <w:vAlign w:val="center"/>
            <w:hideMark/>
          </w:tcPr>
          <w:p w14:paraId="0A9026D0" w14:textId="77777777" w:rsidR="00210CE2" w:rsidRPr="00210CE2" w:rsidRDefault="00210CE2" w:rsidP="00210CE2">
            <w:pPr>
              <w:spacing w:beforeLines="0" w:before="0" w:afterLines="0" w:after="0"/>
              <w:jc w:val="center"/>
              <w:rPr>
                <w:rFonts w:eastAsia="宋体"/>
                <w:sz w:val="18"/>
              </w:rPr>
            </w:pPr>
            <w:r w:rsidRPr="00210CE2">
              <w:rPr>
                <w:rFonts w:eastAsia="宋体"/>
                <w:sz w:val="18"/>
              </w:rPr>
              <w:t>上行开采</w:t>
            </w:r>
          </w:p>
        </w:tc>
        <w:tc>
          <w:tcPr>
            <w:tcW w:w="0" w:type="auto"/>
            <w:vAlign w:val="center"/>
            <w:hideMark/>
          </w:tcPr>
          <w:p w14:paraId="572DA120" w14:textId="77777777" w:rsidR="00210CE2" w:rsidRPr="00210CE2" w:rsidRDefault="00210CE2" w:rsidP="00210CE2">
            <w:pPr>
              <w:spacing w:beforeLines="0" w:before="0" w:afterLines="0" w:after="0"/>
              <w:jc w:val="center"/>
              <w:rPr>
                <w:rFonts w:eastAsia="宋体"/>
                <w:sz w:val="18"/>
              </w:rPr>
            </w:pPr>
            <w:r w:rsidRPr="00210CE2">
              <w:rPr>
                <w:rFonts w:eastAsia="宋体"/>
                <w:sz w:val="18"/>
              </w:rPr>
              <w:t>上覆岩层再扰动与安全边界</w:t>
            </w:r>
          </w:p>
        </w:tc>
        <w:tc>
          <w:tcPr>
            <w:tcW w:w="0" w:type="auto"/>
            <w:vAlign w:val="center"/>
            <w:hideMark/>
          </w:tcPr>
          <w:p w14:paraId="0C8B1EDF" w14:textId="77777777" w:rsidR="00210CE2" w:rsidRPr="00210CE2" w:rsidRDefault="00210CE2" w:rsidP="00210CE2">
            <w:pPr>
              <w:spacing w:beforeLines="0" w:before="0" w:afterLines="0" w:after="0"/>
              <w:jc w:val="center"/>
              <w:rPr>
                <w:rFonts w:eastAsia="宋体"/>
                <w:sz w:val="18"/>
              </w:rPr>
            </w:pPr>
            <w:r w:rsidRPr="00210CE2">
              <w:rPr>
                <w:rFonts w:eastAsia="宋体"/>
                <w:sz w:val="18"/>
              </w:rPr>
              <w:t>采动应力、覆岩破坏特征、上行开采条件</w:t>
            </w:r>
          </w:p>
        </w:tc>
        <w:tc>
          <w:tcPr>
            <w:tcW w:w="0" w:type="auto"/>
            <w:vAlign w:val="center"/>
            <w:hideMark/>
          </w:tcPr>
          <w:p w14:paraId="502C071C" w14:textId="77777777" w:rsidR="00210CE2" w:rsidRPr="00210CE2" w:rsidRDefault="00210CE2" w:rsidP="00210CE2">
            <w:pPr>
              <w:spacing w:beforeLines="0" w:before="0" w:afterLines="0" w:after="0"/>
              <w:jc w:val="center"/>
              <w:rPr>
                <w:rFonts w:eastAsia="宋体"/>
                <w:sz w:val="18"/>
              </w:rPr>
            </w:pPr>
            <w:r w:rsidRPr="00210CE2">
              <w:rPr>
                <w:rFonts w:eastAsia="宋体"/>
                <w:sz w:val="18"/>
              </w:rPr>
              <w:t>支撑上行开采可行性评价与约束表达</w:t>
            </w:r>
          </w:p>
        </w:tc>
      </w:tr>
      <w:tr w:rsidR="00210CE2" w:rsidRPr="00210CE2" w14:paraId="088C4DDD" w14:textId="77777777" w:rsidTr="00210CE2">
        <w:trPr>
          <w:tblCellSpacing w:w="15" w:type="dxa"/>
        </w:trPr>
        <w:tc>
          <w:tcPr>
            <w:tcW w:w="0" w:type="auto"/>
            <w:vAlign w:val="center"/>
            <w:hideMark/>
          </w:tcPr>
          <w:p w14:paraId="2597D632" w14:textId="77777777" w:rsidR="00210CE2" w:rsidRPr="00210CE2" w:rsidRDefault="00210CE2" w:rsidP="00210CE2">
            <w:pPr>
              <w:spacing w:beforeLines="0" w:before="0" w:afterLines="0" w:after="0"/>
              <w:jc w:val="center"/>
              <w:rPr>
                <w:rFonts w:eastAsia="宋体"/>
                <w:sz w:val="18"/>
              </w:rPr>
            </w:pPr>
            <w:r w:rsidRPr="00210CE2">
              <w:rPr>
                <w:rFonts w:eastAsia="宋体"/>
                <w:sz w:val="18"/>
              </w:rPr>
              <w:t>综合</w:t>
            </w:r>
            <w:r w:rsidRPr="00210CE2">
              <w:rPr>
                <w:rFonts w:eastAsia="宋体"/>
                <w:sz w:val="18"/>
              </w:rPr>
              <w:t>ODI</w:t>
            </w:r>
          </w:p>
        </w:tc>
        <w:tc>
          <w:tcPr>
            <w:tcW w:w="0" w:type="auto"/>
            <w:vAlign w:val="center"/>
            <w:hideMark/>
          </w:tcPr>
          <w:p w14:paraId="4D00F123" w14:textId="77777777" w:rsidR="00210CE2" w:rsidRPr="00210CE2" w:rsidRDefault="00210CE2" w:rsidP="00210CE2">
            <w:pPr>
              <w:spacing w:beforeLines="0" w:before="0" w:afterLines="0" w:after="0"/>
              <w:jc w:val="center"/>
              <w:rPr>
                <w:rFonts w:eastAsia="宋体"/>
                <w:sz w:val="18"/>
              </w:rPr>
            </w:pPr>
            <w:r w:rsidRPr="00210CE2">
              <w:rPr>
                <w:rFonts w:eastAsia="宋体"/>
                <w:sz w:val="18"/>
              </w:rPr>
              <w:t>多场景叠加扰动</w:t>
            </w:r>
          </w:p>
        </w:tc>
        <w:tc>
          <w:tcPr>
            <w:tcW w:w="0" w:type="auto"/>
            <w:vAlign w:val="center"/>
            <w:hideMark/>
          </w:tcPr>
          <w:p w14:paraId="382FB5AA" w14:textId="77777777" w:rsidR="00210CE2" w:rsidRPr="00210CE2" w:rsidRDefault="00210CE2" w:rsidP="00210CE2">
            <w:pPr>
              <w:spacing w:beforeLines="0" w:before="0" w:afterLines="0" w:after="0"/>
              <w:jc w:val="center"/>
              <w:rPr>
                <w:rFonts w:eastAsia="宋体"/>
                <w:sz w:val="18"/>
              </w:rPr>
            </w:pPr>
            <w:r w:rsidRPr="00210CE2">
              <w:rPr>
                <w:rFonts w:eastAsia="宋体"/>
                <w:sz w:val="18"/>
              </w:rPr>
              <w:t>各分量归一化及权重组织结果</w:t>
            </w:r>
          </w:p>
        </w:tc>
        <w:tc>
          <w:tcPr>
            <w:tcW w:w="0" w:type="auto"/>
            <w:vAlign w:val="center"/>
            <w:hideMark/>
          </w:tcPr>
          <w:p w14:paraId="19590E75" w14:textId="77777777" w:rsidR="00210CE2" w:rsidRPr="00210CE2" w:rsidRDefault="00210CE2" w:rsidP="00210CE2">
            <w:pPr>
              <w:spacing w:beforeLines="0" w:before="0" w:afterLines="0" w:after="0"/>
              <w:jc w:val="center"/>
              <w:rPr>
                <w:rFonts w:eastAsia="宋体"/>
                <w:sz w:val="18"/>
              </w:rPr>
            </w:pPr>
            <w:r w:rsidRPr="00210CE2">
              <w:rPr>
                <w:rFonts w:eastAsia="宋体"/>
                <w:sz w:val="18"/>
              </w:rPr>
              <w:t>形成候选方案级风险统计指标</w:t>
            </w:r>
          </w:p>
        </w:tc>
      </w:tr>
    </w:tbl>
    <w:p w14:paraId="0FBE67DF" w14:textId="77777777" w:rsidR="00210CE2" w:rsidRPr="00DF00E8" w:rsidRDefault="00210CE2" w:rsidP="00DF00E8">
      <w:pPr>
        <w:pStyle w:val="12"/>
      </w:pPr>
      <w:r w:rsidRPr="00DF00E8">
        <w:t xml:space="preserve">2.3 </w:t>
      </w:r>
      <w:r w:rsidRPr="00DF00E8">
        <w:t>工作面布置方案生成与多目标筛选</w:t>
      </w:r>
    </w:p>
    <w:p w14:paraId="6E2A3F56" w14:textId="77777777" w:rsidR="00EF255B" w:rsidRPr="00EF255B" w:rsidRDefault="00EF255B" w:rsidP="00EF255B">
      <w:pPr>
        <w:pStyle w:val="100"/>
        <w:ind w:firstLine="420"/>
      </w:pPr>
      <w:r w:rsidRPr="00EF255B">
        <w:t>在有效布置域、连续参数场和综合</w:t>
      </w:r>
      <w:r w:rsidRPr="00EF255B">
        <w:t>ODI</w:t>
      </w:r>
      <w:r w:rsidRPr="00EF255B">
        <w:t>场确定后，采区规划可进一步转化为工作面布置方案生成与多目标筛选问题。该过程面向的是具体工作面布置方案，而不是单纯的空间评价图层。每一个候选方案均包含工作面数量、宽度、推进方向、煤柱配置、占用区域和推进长度等信息，其优劣取决于工程效率、资源回收和扰动控制之间的综合表现。</w:t>
      </w:r>
    </w:p>
    <w:p w14:paraId="65CCB86E" w14:textId="77777777" w:rsidR="00EF255B" w:rsidRPr="00EF255B" w:rsidRDefault="00EF255B" w:rsidP="00EF255B">
      <w:pPr>
        <w:pStyle w:val="100"/>
        <w:ind w:firstLine="420"/>
      </w:pPr>
      <w:r w:rsidRPr="00EF255B">
        <w:t>设工作面布置候选方案集合为：</w:t>
      </w:r>
    </w:p>
    <w:p w14:paraId="71A04330" w14:textId="5FFF64BA" w:rsidR="00210CE2" w:rsidRPr="00210CE2" w:rsidRDefault="00210CE2" w:rsidP="00210CE2">
      <w:pPr>
        <w:pStyle w:val="100"/>
        <w:ind w:firstLine="420"/>
      </w:pP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oMath>
      </m:oMathPara>
    </w:p>
    <w:p w14:paraId="2C3E8A24" w14:textId="60A61EAD" w:rsidR="00210CE2" w:rsidRPr="00210CE2" w:rsidRDefault="00EF255B" w:rsidP="00210CE2">
      <w:pPr>
        <w:pStyle w:val="100"/>
        <w:ind w:firstLine="420"/>
      </w:pPr>
      <w:r w:rsidRPr="00EF255B">
        <w:t>其中，第</w:t>
      </w:r>
      <w:r w:rsidRPr="00EF255B">
        <w:t xml:space="preserve"> </w:t>
      </w:r>
      <m:oMath>
        <m:r>
          <w:rPr>
            <w:rFonts w:ascii="Cambria Math" w:hAnsi="Cambria Math"/>
          </w:rPr>
          <m:t>j</m:t>
        </m:r>
      </m:oMath>
      <w:r w:rsidRPr="00EF255B">
        <w:t>个候选方案</w:t>
      </w:r>
      <w:r w:rsidRPr="00EF255B">
        <w:t xml:space="preserve">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EF255B">
        <w:t>可由工作面数量、工作面宽度、推进方向、煤柱配置、工作面占用区域和推进长度等要素表示</w:t>
      </w:r>
      <w:r w:rsidR="00210CE2" w:rsidRPr="00210CE2">
        <w:t>：</w:t>
      </w:r>
    </w:p>
    <w:p w14:paraId="76464ABC" w14:textId="63C81E7E" w:rsidR="00210CE2" w:rsidRPr="00210CE2" w:rsidRDefault="00000000" w:rsidP="00210CE2">
      <w:pPr>
        <w:pStyle w:val="100"/>
        <w:ind w:firstLine="420"/>
      </w:pPr>
      <m:oMathPara>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oMath>
      </m:oMathPara>
    </w:p>
    <w:p w14:paraId="7F07853D" w14:textId="57B4AF8E" w:rsidR="00EF255B" w:rsidRPr="00EF255B" w:rsidRDefault="00EF255B" w:rsidP="00EF255B">
      <w:pPr>
        <w:pStyle w:val="100"/>
        <w:ind w:firstLine="420"/>
      </w:pPr>
      <w:r w:rsidRPr="00EF255B">
        <w:t>式中：</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EF255B">
        <w:t xml:space="preserve"> </w:t>
      </w:r>
      <w:r w:rsidRPr="00EF255B">
        <w:t>为工作面数量；</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EF255B">
        <w:t xml:space="preserve"> </w:t>
      </w:r>
      <w:r w:rsidRPr="00EF255B">
        <w:t>为工作面宽度；</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EF255B">
        <w:t xml:space="preserve"> </w:t>
      </w:r>
      <w:r w:rsidRPr="00EF255B">
        <w:t>为推进方向；</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EF255B">
        <w:t xml:space="preserve"> </w:t>
      </w:r>
      <w:r w:rsidRPr="00EF255B">
        <w:t>为煤柱配置；</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F255B">
        <w:t xml:space="preserve"> </w:t>
      </w:r>
      <w:r w:rsidRPr="00EF255B">
        <w:t>为工作面占用区域集合；</w:t>
      </w:r>
      <m:oMath>
        <m:sSub>
          <m:sSubPr>
            <m:ctrlPr>
              <w:rPr>
                <w:rFonts w:ascii="Cambria Math" w:hAnsi="Cambria Math"/>
              </w:rPr>
            </m:ctrlPr>
          </m:sSubPr>
          <m:e>
            <m:r>
              <w:rPr>
                <w:rFonts w:ascii="Cambria Math" w:hAnsi="Cambria Math"/>
              </w:rPr>
              <m:t>L</m:t>
            </m:r>
          </m:e>
          <m:sub>
            <m:r>
              <w:rPr>
                <w:rFonts w:ascii="Cambria Math" w:hAnsi="Cambria Math"/>
              </w:rPr>
              <m:t>j</m:t>
            </m:r>
          </m:sub>
        </m:sSub>
      </m:oMath>
      <w:r w:rsidRPr="00EF255B">
        <w:t xml:space="preserve"> </w:t>
      </w:r>
      <w:r w:rsidRPr="00EF255B">
        <w:t>为推进长度集合。</w:t>
      </w:r>
    </w:p>
    <w:p w14:paraId="5E8F64F4" w14:textId="77777777" w:rsidR="00EF255B" w:rsidRPr="00EF255B" w:rsidRDefault="00EF255B" w:rsidP="00EF255B">
      <w:pPr>
        <w:pStyle w:val="100"/>
        <w:ind w:firstLine="420"/>
      </w:pPr>
      <w:r w:rsidRPr="00EF255B">
        <w:t>工作面布置方案需满足以下基本采矿约束：</w:t>
      </w:r>
    </w:p>
    <w:p w14:paraId="36BEBBEA" w14:textId="10B5C592" w:rsidR="00210CE2" w:rsidRPr="00210CE2" w:rsidRDefault="00000000" w:rsidP="00210CE2">
      <w:pPr>
        <w:pStyle w:val="100"/>
        <w:ind w:firstLine="420"/>
      </w:pPr>
      <m:oMathPara>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br/>
          </m:r>
        </m:oMath>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L</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j,l</m:t>
              </m:r>
            </m:sub>
          </m:sSub>
          <m:r>
            <w:rPr>
              <w:rFonts w:ascii="Cambria Math" w:hAnsi="Cambria Math"/>
            </w:rPr>
            <m: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oMath>
      </m:oMathPara>
    </w:p>
    <w:p w14:paraId="2EC4632C" w14:textId="299CD9A6" w:rsidR="00EF255B" w:rsidRPr="00EF255B" w:rsidRDefault="00EF255B" w:rsidP="00EF255B">
      <w:pPr>
        <w:pStyle w:val="100"/>
        <w:ind w:firstLine="420"/>
      </w:pPr>
      <w:r w:rsidRPr="00EF255B">
        <w:t>式中：</w:t>
      </w:r>
      <m:oMath>
        <m:sSub>
          <m:sSubPr>
            <m:ctrlPr>
              <w:rPr>
                <w:rFonts w:ascii="Cambria Math" w:hAnsi="Cambria Math"/>
              </w:rPr>
            </m:ctrlPr>
          </m:sSubPr>
          <m:e>
            <m:r>
              <w:rPr>
                <w:rFonts w:ascii="Cambria Math" w:hAnsi="Cambria Math"/>
              </w:rPr>
              <m:t>A</m:t>
            </m:r>
          </m:e>
          <m:sub>
            <m:r>
              <w:rPr>
                <w:rFonts w:ascii="Cambria Math" w:hAnsi="Cambria Math"/>
              </w:rPr>
              <m:t>j,k</m:t>
            </m:r>
          </m:sub>
        </m:sSub>
      </m:oMath>
      <w:r w:rsidRPr="00EF255B">
        <w:t xml:space="preserve"> </w:t>
      </w:r>
      <w:r w:rsidRPr="00EF255B">
        <w:t>和</w:t>
      </w:r>
      <w:r w:rsidRPr="00EF255B">
        <w:t xml:space="preserve"> </w:t>
      </w:r>
      <m:oMath>
        <m:sSub>
          <m:sSubPr>
            <m:ctrlPr>
              <w:rPr>
                <w:rFonts w:ascii="Cambria Math" w:hAnsi="Cambria Math"/>
              </w:rPr>
            </m:ctrlPr>
          </m:sSubPr>
          <m:e>
            <m:r>
              <w:rPr>
                <w:rFonts w:ascii="Cambria Math" w:hAnsi="Cambria Math"/>
              </w:rPr>
              <m:t>A</m:t>
            </m:r>
          </m:e>
          <m:sub>
            <m:r>
              <w:rPr>
                <w:rFonts w:ascii="Cambria Math" w:hAnsi="Cambria Math"/>
              </w:rPr>
              <m:t>j,l</m:t>
            </m:r>
          </m:sub>
        </m:sSub>
      </m:oMath>
      <w:r w:rsidRPr="00EF255B">
        <w:t>分别为同一候选方案中不同工作面的占用区域。上述约束分别表示工作面不得超出有效布置域、工作面宽度满足设计要求、推进长度满足校核要求，以及不同工作面之间不得重叠。</w:t>
      </w:r>
    </w:p>
    <w:p w14:paraId="3F1D4C34" w14:textId="77777777" w:rsidR="00EF255B" w:rsidRPr="00EF255B" w:rsidRDefault="00EF255B" w:rsidP="00EF255B">
      <w:pPr>
        <w:pStyle w:val="100"/>
        <w:ind w:firstLine="420"/>
      </w:pPr>
      <w:r w:rsidRPr="00EF255B">
        <w:t>候选方案生成采用</w:t>
      </w:r>
      <w:r w:rsidRPr="00EF255B">
        <w:t>“</w:t>
      </w:r>
      <w:r w:rsidRPr="00EF255B">
        <w:t>规则生成</w:t>
      </w:r>
      <w:r w:rsidRPr="00EF255B">
        <w:t>—</w:t>
      </w:r>
      <w:r w:rsidRPr="00EF255B">
        <w:t>约束过滤</w:t>
      </w:r>
      <w:r w:rsidRPr="00EF255B">
        <w:t>—</w:t>
      </w:r>
      <w:r w:rsidRPr="00EF255B">
        <w:t>指标统计</w:t>
      </w:r>
      <w:r w:rsidRPr="00EF255B">
        <w:t>”</w:t>
      </w:r>
      <w:r w:rsidRPr="00EF255B">
        <w:t>的方式完成。首先，依据允许推进方向、工作面宽度、煤柱参数和有效布置域生成初始工作面组合；其次，剔除越界、重叠、煤柱不足、推进长度不满足要求或形态异常的方案；最后，统计各方案的覆盖率、煤层厚度场利用程度和</w:t>
      </w:r>
      <w:r w:rsidRPr="00EF255B">
        <w:t>ODI</w:t>
      </w:r>
      <w:r w:rsidRPr="00EF255B">
        <w:t>扰动暴露水平，形成可用于比选的候选方案集合。</w:t>
      </w:r>
    </w:p>
    <w:p w14:paraId="620129BA" w14:textId="77777777" w:rsidR="00EF255B" w:rsidRPr="00EF255B" w:rsidRDefault="00EF255B" w:rsidP="00EF255B">
      <w:pPr>
        <w:pStyle w:val="100"/>
        <w:ind w:firstLine="420"/>
      </w:pPr>
      <w:r w:rsidRPr="00EF255B">
        <w:t>在方案筛选中，本文设置工程效率、资源回收和扰动控制</w:t>
      </w:r>
      <w:r w:rsidRPr="00EF255B">
        <w:t>3</w:t>
      </w:r>
      <w:r w:rsidRPr="00EF255B">
        <w:t>类目标。工程效率主要反映工作面</w:t>
      </w:r>
      <w:r w:rsidRPr="00EF255B">
        <w:t>数量、推进长度均衡性、布局规整性和巷道组织便利性；资源回收主要反映方案覆盖率及煤层厚度场利用程度；扰动控制则以方案区域内的</w:t>
      </w:r>
      <w:r w:rsidRPr="00EF255B">
        <w:t>ODI</w:t>
      </w:r>
      <w:r w:rsidRPr="00EF255B">
        <w:t>统计结果表示。候选方案综合评价可表示为：</w:t>
      </w:r>
    </w:p>
    <w:p w14:paraId="2EFEA992" w14:textId="65E4FE35" w:rsidR="00210CE2" w:rsidRPr="00210CE2" w:rsidRDefault="00000000" w:rsidP="00210CE2">
      <w:pPr>
        <w:pStyle w:val="100"/>
        <w:ind w:firstLine="42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ODI</m:t>
                  </m:r>
                </m:e>
              </m:acc>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j</m:t>
                  </m:r>
                </m:sub>
              </m:sSub>
            </m:sup>
            <m:e>
              <m:r>
                <w:rPr>
                  <w:rFonts w:ascii="Cambria Math" w:hAnsi="Cambria Math"/>
                </w:rPr>
                <m:t>OD</m:t>
              </m:r>
            </m:e>
          </m:nary>
          <m:sSub>
            <m:sSubPr>
              <m:ctrlPr>
                <w:rPr>
                  <w:rFonts w:ascii="Cambria Math" w:hAnsi="Cambria Math"/>
                </w:rPr>
              </m:ctrlPr>
            </m:sSubPr>
            <m:e>
              <m:r>
                <w:rPr>
                  <w:rFonts w:ascii="Cambria Math" w:hAnsi="Cambria Math"/>
                </w:rPr>
                <m:t>I</m:t>
              </m:r>
            </m:e>
            <m:sub>
              <m:r>
                <w:rPr>
                  <w:rFonts w:ascii="Cambria Math" w:hAnsi="Cambria Math"/>
                </w:rPr>
                <m:t>i</m:t>
              </m:r>
            </m:sub>
          </m:sSub>
        </m:oMath>
      </m:oMathPara>
    </w:p>
    <w:p w14:paraId="7ABC06EC" w14:textId="77777777" w:rsidR="00210CE2" w:rsidRPr="00210CE2" w:rsidRDefault="00210CE2" w:rsidP="00210CE2">
      <w:pPr>
        <w:pStyle w:val="100"/>
        <w:ind w:firstLine="420"/>
      </w:pPr>
      <w:r w:rsidRPr="00210CE2">
        <w:t>90%</w:t>
      </w:r>
      <w:r w:rsidRPr="00210CE2">
        <w:t>分位数记为：</w:t>
      </w:r>
    </w:p>
    <w:p w14:paraId="1A62977A" w14:textId="1CF92B05" w:rsidR="00210CE2" w:rsidRPr="00210CE2" w:rsidRDefault="00210CE2" w:rsidP="00210CE2">
      <w:pPr>
        <w:pStyle w:val="100"/>
        <w:ind w:firstLine="420"/>
      </w:pPr>
      <m:oMathPara>
        <m:oMath>
          <m:r>
            <w:rPr>
              <w:rFonts w:ascii="Cambria Math" w:hAnsi="Cambria Math"/>
            </w:rPr>
            <m:t>P</m:t>
          </m:r>
          <m:sSub>
            <m:sSubPr>
              <m:ctrlPr>
                <w:rPr>
                  <w:rFonts w:ascii="Cambria Math" w:hAnsi="Cambria Math"/>
                </w:rPr>
              </m:ctrlPr>
            </m:sSubPr>
            <m:e>
              <m:r>
                <w:rPr>
                  <w:rFonts w:ascii="Cambria Math" w:hAnsi="Cambria Math"/>
                </w:rPr>
                <m:t>90</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oMath>
      </m:oMathPara>
    </w:p>
    <w:p w14:paraId="5359F404" w14:textId="77777777" w:rsidR="00210CE2" w:rsidRPr="00210CE2" w:rsidRDefault="00210CE2" w:rsidP="00210CE2">
      <w:pPr>
        <w:pStyle w:val="100"/>
        <w:ind w:firstLine="420"/>
      </w:pPr>
      <w:r w:rsidRPr="00210CE2">
        <w:t>超阈值暴露比例为：</w:t>
      </w:r>
    </w:p>
    <w:p w14:paraId="3CF32F58" w14:textId="1DF42AA5" w:rsidR="00210CE2" w:rsidRPr="00210CE2" w:rsidRDefault="00000000" w:rsidP="00210CE2">
      <w:pPr>
        <w:pStyle w:val="100"/>
        <w:ind w:firstLine="420"/>
      </w:pPr>
      <m:oMathPara>
        <m:oMath>
          <m:sSub>
            <m:sSubPr>
              <m:ctrlPr>
                <w:rPr>
                  <w:rFonts w:ascii="Cambria Math" w:hAnsi="Cambria Math"/>
                </w:rPr>
              </m:ctrlPr>
            </m:sSubPr>
            <m:e>
              <m:r>
                <w:rPr>
                  <w:rFonts w:ascii="Cambria Math" w:hAnsi="Cambria Math"/>
                </w:rPr>
                <m:t>R</m:t>
              </m:r>
            </m:e>
            <m:sub>
              <m:r>
                <w:rPr>
                  <w:rFonts w:ascii="Cambria Math" w:hAnsi="Cambria Math"/>
                </w:rPr>
                <m:t>τ,j</m:t>
              </m:r>
            </m:sub>
          </m:sSub>
          <m:r>
            <w:rPr>
              <w:rFonts w:ascii="Cambria Math" w:hAnsi="Cambria Math"/>
            </w:rPr>
            <m:t>=</m:t>
          </m:r>
          <m:f>
            <m:fPr>
              <m:ctrlPr>
                <w:rPr>
                  <w:rFonts w:ascii="Cambria Math" w:hAnsi="Cambria Math"/>
                </w:rPr>
              </m:ctrlPr>
            </m:fPr>
            <m:num>
              <m:r>
                <w:rPr>
                  <w:rFonts w:ascii="Cambria Math" w:hAnsi="Cambria Math"/>
                </w:rPr>
                <m:t>n(OD</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&gt;τ)</m:t>
              </m:r>
            </m:num>
            <m:den>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×100</m:t>
          </m:r>
          <m:r>
            <m:rPr>
              <m:sty m:val="p"/>
            </m:rPr>
            <w:rPr>
              <w:rFonts w:ascii="Cambria Math" w:hAnsi="Cambria Math"/>
            </w:rPr>
            <m:t>%</m:t>
          </m:r>
        </m:oMath>
      </m:oMathPara>
    </w:p>
    <w:p w14:paraId="586C2067" w14:textId="49290E7D" w:rsidR="00210CE2" w:rsidRPr="00210CE2" w:rsidRDefault="00210CE2" w:rsidP="00210CE2">
      <w:pPr>
        <w:pStyle w:val="100"/>
        <w:ind w:firstLine="420"/>
      </w:pPr>
      <w:r w:rsidRPr="00210CE2">
        <w:t>式中：</w:t>
      </w:r>
      <m:oMath>
        <m:r>
          <w:rPr>
            <w:rFonts w:ascii="Cambria Math" w:hAnsi="Cambria Math"/>
          </w:rPr>
          <m:t>τ</m:t>
        </m:r>
      </m:oMath>
      <w:r w:rsidRPr="00210CE2">
        <w:t xml:space="preserve"> </w:t>
      </w:r>
      <w:r w:rsidRPr="00210CE2">
        <w:t>为扰动统计阈值；</w:t>
      </w:r>
      <m:oMath>
        <m:r>
          <w:rPr>
            <w:rFonts w:ascii="Cambria Math" w:hAnsi="Cambria Math"/>
          </w:rPr>
          <m:t>n(OD</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&gt;τ)</m:t>
        </m:r>
      </m:oMath>
      <w:r w:rsidRPr="00210CE2">
        <w:t xml:space="preserve"> </w:t>
      </w:r>
      <w:r w:rsidRPr="00210CE2">
        <w:t>为候选方案覆盖区域内</w:t>
      </w:r>
      <w:r w:rsidRPr="00210CE2">
        <w:t>ODI</w:t>
      </w:r>
      <w:r w:rsidRPr="00210CE2">
        <w:t>值大于阈值的网格数量。</w:t>
      </w:r>
    </w:p>
    <w:p w14:paraId="4723FCAA" w14:textId="77777777" w:rsidR="00210CE2" w:rsidRPr="00210CE2" w:rsidRDefault="00210CE2" w:rsidP="00210CE2">
      <w:pPr>
        <w:pStyle w:val="100"/>
        <w:ind w:firstLine="420"/>
      </w:pPr>
      <w:r w:rsidRPr="00210CE2">
        <w:t>在扰动控制评价中，综合考虑</w:t>
      </w:r>
      <w:r w:rsidRPr="00210CE2">
        <w:t>ODI</w:t>
      </w:r>
      <w:r w:rsidRPr="00210CE2">
        <w:t>均值、</w:t>
      </w:r>
      <w:r w:rsidRPr="00210CE2">
        <w:t>90%</w:t>
      </w:r>
      <w:r w:rsidRPr="00210CE2">
        <w:t>分位数和超阈值暴露比例，构建扰动风险评价值：</w:t>
      </w:r>
    </w:p>
    <w:p w14:paraId="4AA0D927" w14:textId="3B14CEE3" w:rsidR="00210CE2" w:rsidRPr="00210CE2" w:rsidRDefault="00210CE2" w:rsidP="00210CE2">
      <w:pPr>
        <w:pStyle w:val="100"/>
        <w:ind w:firstLine="420"/>
      </w:pPr>
      <m:oMathPara>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ODI</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90</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τ,j</m:t>
              </m:r>
            </m:sub>
          </m:sSub>
        </m:oMath>
      </m:oMathPara>
    </w:p>
    <w:p w14:paraId="17B78D61" w14:textId="77777777" w:rsidR="00210CE2" w:rsidRPr="00210CE2" w:rsidRDefault="00210CE2" w:rsidP="00210CE2">
      <w:pPr>
        <w:pStyle w:val="100"/>
        <w:ind w:firstLine="420"/>
      </w:pPr>
      <w:r w:rsidRPr="00210CE2">
        <w:t>其中：</w:t>
      </w:r>
    </w:p>
    <w:p w14:paraId="77B77E67" w14:textId="2851B73A" w:rsidR="00210CE2" w:rsidRPr="00210CE2" w:rsidRDefault="00000000" w:rsidP="00210CE2">
      <w:pPr>
        <w:pStyle w:val="100"/>
        <w:ind w:firstLine="420"/>
      </w:pPr>
      <m:oMathPara>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w:rPr>
              <w:rFonts w:ascii="Cambria Math" w:hAnsi="Cambria Math"/>
            </w:rPr>
            <m:t>≥0</m:t>
          </m:r>
        </m:oMath>
      </m:oMathPara>
    </w:p>
    <w:p w14:paraId="486CB081" w14:textId="77777777" w:rsidR="00EF255B" w:rsidRPr="00EF255B" w:rsidRDefault="00EF255B" w:rsidP="00EF255B">
      <w:pPr>
        <w:pStyle w:val="100"/>
        <w:ind w:firstLine="420"/>
      </w:pPr>
      <w:r w:rsidRPr="00EF255B">
        <w:t>该评价值用于综合反映方案整体扰动水平、高值尾部风险和高扰动区暴露程度。低扰动方案不宜仅依据某一固定阈值下的超限比例确定，而应结合</w:t>
      </w:r>
      <w:r w:rsidRPr="00EF255B">
        <w:t>ODI</w:t>
      </w:r>
      <w:r w:rsidRPr="00EF255B">
        <w:t>均值、</w:t>
      </w:r>
      <w:r w:rsidRPr="00EF255B">
        <w:t>P90</w:t>
      </w:r>
      <w:r w:rsidRPr="00EF255B">
        <w:t>和风险综合评价值共同判定。</w:t>
      </w:r>
    </w:p>
    <w:p w14:paraId="0CBC285F" w14:textId="77777777" w:rsidR="00EF255B" w:rsidRPr="00EF255B" w:rsidRDefault="00EF255B" w:rsidP="00EF255B">
      <w:pPr>
        <w:pStyle w:val="100"/>
        <w:ind w:firstLine="420"/>
      </w:pPr>
      <w:r w:rsidRPr="00EF255B">
        <w:t>根据不同规划偏好，本文输出</w:t>
      </w:r>
      <w:r w:rsidRPr="00EF255B">
        <w:t>3</w:t>
      </w:r>
      <w:r w:rsidRPr="00EF255B">
        <w:t>类代表性方案：工程效率优先方案</w:t>
      </w:r>
      <w:r w:rsidRPr="00EF255B">
        <w:t>A</w:t>
      </w:r>
      <w:r w:rsidRPr="00EF255B">
        <w:t>、资源回收优先方案</w:t>
      </w:r>
      <w:r w:rsidRPr="00EF255B">
        <w:t>B</w:t>
      </w:r>
      <w:r w:rsidRPr="00EF255B">
        <w:t>和低扰动候选方案</w:t>
      </w:r>
      <w:r w:rsidRPr="00EF255B">
        <w:t>C</w:t>
      </w:r>
      <w:r w:rsidRPr="00EF255B">
        <w:t>。三类方案均来自同一候选集合，其差异主要反映工作面布置在工程效率、资源回收和扰动控制之间的不同取舍，而不是输入条件或评价口径变化造成的结果差异。</w:t>
      </w:r>
    </w:p>
    <w:p w14:paraId="27399A48" w14:textId="3D78E96B" w:rsidR="00351EC4" w:rsidRPr="00DF00E8" w:rsidRDefault="00351EC4" w:rsidP="00DF00E8">
      <w:pPr>
        <w:pStyle w:val="11"/>
      </w:pPr>
      <w:r w:rsidRPr="00DF00E8">
        <w:t xml:space="preserve">3 </w:t>
      </w:r>
      <w:r w:rsidR="00AB2E6E" w:rsidRPr="00AB2E6E">
        <w:t>多场景约束采区规划计算流程</w:t>
      </w:r>
    </w:p>
    <w:p w14:paraId="37E23769" w14:textId="77777777" w:rsidR="00AB2E6E" w:rsidRDefault="00AB2E6E" w:rsidP="00AB2E6E">
      <w:pPr>
        <w:pStyle w:val="100"/>
        <w:ind w:firstLine="420"/>
        <w:rPr>
          <w:rFonts w:hint="eastAsia"/>
        </w:rPr>
      </w:pPr>
      <w:r>
        <w:rPr>
          <w:rFonts w:hint="eastAsia"/>
        </w:rPr>
        <w:t>多场景覆岩扰动约束下的采区规划需要同时处理采区边界、钻孔样点、煤柱参数、工作面设计参数和覆岩扰动评价结果。若上述信息分别以图纸、表格或单独评价结果形式存在，地质条件、扰动风险和工作面布置之间难以形成连续传递关系，也不利于不同候选方案在同一基础上开展比较。为此，本文在前述关键方法基础上，进一步组织形成多场景约束采区规划计算流程，使基础数据能够依次转化为有效布置域、连续参数场、综合</w:t>
      </w:r>
      <w:r>
        <w:rPr>
          <w:rFonts w:hint="eastAsia"/>
        </w:rPr>
        <w:t>ODI</w:t>
      </w:r>
      <w:r>
        <w:rPr>
          <w:rFonts w:hint="eastAsia"/>
        </w:rPr>
        <w:t>场和工作面布置方案。</w:t>
      </w:r>
    </w:p>
    <w:p w14:paraId="70664A83" w14:textId="1B3265A1" w:rsidR="00EF255B" w:rsidRPr="00EF255B" w:rsidRDefault="00AB2E6E" w:rsidP="00AB2E6E">
      <w:pPr>
        <w:pStyle w:val="100"/>
        <w:ind w:firstLine="420"/>
        <w:rPr>
          <w:rFonts w:hint="eastAsia"/>
        </w:rPr>
      </w:pPr>
      <w:r>
        <w:rPr>
          <w:rFonts w:hint="eastAsia"/>
        </w:rPr>
        <w:t>本文所称计算流程并非单纯的软件平台开发，而是面向采区规划应用的数据组织与方法集成。该流程以采区边界、钻孔样点、煤柱参数、工作面设计参数和多场景扰动权重为输入，将采区地质</w:t>
      </w:r>
      <w:r>
        <w:rPr>
          <w:rFonts w:hint="eastAsia"/>
        </w:rPr>
        <w:lastRenderedPageBreak/>
        <w:t>建模、覆岩扰动评价和工作面方案筛选连接为一个连续过程。其目的在于使覆岩扰动风险能够按照固定计算路径进入采区规划，而不是仅依赖经验判断或方案形成后的单独校核。</w:t>
      </w:r>
    </w:p>
    <w:p w14:paraId="209AA050" w14:textId="1DDF3BE6" w:rsidR="00DD780E" w:rsidRPr="00DF00E8" w:rsidRDefault="00DD780E" w:rsidP="00DF00E8">
      <w:pPr>
        <w:pStyle w:val="12"/>
      </w:pPr>
      <w:r w:rsidRPr="00DF00E8">
        <w:t xml:space="preserve">3.1 </w:t>
      </w:r>
      <w:r w:rsidR="00AB2E6E" w:rsidRPr="00AB2E6E">
        <w:t>数据组织与总体流程</w:t>
      </w:r>
    </w:p>
    <w:p w14:paraId="3492BEA8" w14:textId="77777777" w:rsidR="00AB2E6E" w:rsidRDefault="00AB2E6E" w:rsidP="00AB2E6E">
      <w:pPr>
        <w:pStyle w:val="100"/>
        <w:ind w:firstLine="420"/>
        <w:rPr>
          <w:rFonts w:hint="eastAsia"/>
        </w:rPr>
      </w:pPr>
      <w:r>
        <w:rPr>
          <w:rFonts w:hint="eastAsia"/>
        </w:rPr>
        <w:t>多场景约束采区规划的基础数据主要包括</w:t>
      </w:r>
      <w:r>
        <w:rPr>
          <w:rFonts w:hint="eastAsia"/>
        </w:rPr>
        <w:t>3</w:t>
      </w:r>
      <w:r>
        <w:rPr>
          <w:rFonts w:hint="eastAsia"/>
        </w:rPr>
        <w:t>类：一是采区空间边界数据，包括原始边界、边界煤柱、区段煤柱、局部保护范围和不可采区域；二是地质属性数据，包括钻孔位置、煤层厚度及必要的岩性或含水层信息；三是规划与评价参数，包括工作面宽度、推进方向、推进长度校核阈值、</w:t>
      </w:r>
      <w:r>
        <w:rPr>
          <w:rFonts w:hint="eastAsia"/>
        </w:rPr>
        <w:t>ODI</w:t>
      </w:r>
      <w:r>
        <w:rPr>
          <w:rFonts w:hint="eastAsia"/>
        </w:rPr>
        <w:t>分量权重和风险统计阈值。上述数据虽然来源不同，但均需统一到同一坐标体系和空间尺度下，才能支撑后续方案生成和风险统计。</w:t>
      </w:r>
    </w:p>
    <w:p w14:paraId="7A06B7A9" w14:textId="54314D4F" w:rsidR="00624086" w:rsidRDefault="00AB2E6E" w:rsidP="00AB2E6E">
      <w:pPr>
        <w:pStyle w:val="100"/>
        <w:ind w:firstLine="420"/>
      </w:pPr>
      <w:r>
        <w:rPr>
          <w:rFonts w:hint="eastAsia"/>
        </w:rPr>
        <w:t>在总体流程上，首先依据采区边界和煤柱约束生成有效布置域，明确工作面可布置范围；其</w:t>
      </w:r>
      <w:r>
        <w:rPr>
          <w:rFonts w:hint="eastAsia"/>
        </w:rPr>
        <w:t>次利用钻孔样点构建煤层厚度连续参数场，反映研究区资源属性空间差异；然后将地表沉陷、含水层扰动和上行开采等风险分量进行归一化和权重组织，形成综合</w:t>
      </w:r>
      <w:r>
        <w:rPr>
          <w:rFonts w:hint="eastAsia"/>
        </w:rPr>
        <w:t>ODI</w:t>
      </w:r>
      <w:r>
        <w:rPr>
          <w:rFonts w:hint="eastAsia"/>
        </w:rPr>
        <w:t>场；最后在有效布置域和</w:t>
      </w:r>
      <w:r>
        <w:rPr>
          <w:rFonts w:hint="eastAsia"/>
        </w:rPr>
        <w:t>ODI</w:t>
      </w:r>
      <w:r>
        <w:rPr>
          <w:rFonts w:hint="eastAsia"/>
        </w:rPr>
        <w:t>场共同约束下生成工作面布置候选方案，并统计不同方案的覆盖率、资源利用水平和扰动暴露指标。</w:t>
      </w:r>
      <w:r w:rsidRPr="00AB2E6E">
        <w:t>由图</w:t>
      </w:r>
      <w:r w:rsidRPr="00AB2E6E">
        <w:t>3</w:t>
      </w:r>
      <w:r w:rsidRPr="00AB2E6E">
        <w:t>可见，该流程并不是单独增加一个扰动评价环节，而是将采区地质建模、覆岩扰动评价和工作面布置方案筛选串联起来。采区边界和钻孔资料用于形成规划底图，</w:t>
      </w:r>
      <w:r w:rsidRPr="00AB2E6E">
        <w:t>ODI</w:t>
      </w:r>
      <w:r w:rsidRPr="00AB2E6E">
        <w:t>场用于提供风险约束，工作面布置方案则作为最终评价对象。通过这种组织方式，采区规划中的资源条件、工程约束和扰动风险可以在同一空间基础上参与方案比选。</w:t>
      </w:r>
      <w:r w:rsidR="003307AD" w:rsidRPr="003307AD">
        <w:t>多场景约束采区规划计算框架如图</w:t>
      </w:r>
      <w:r w:rsidR="003307AD" w:rsidRPr="003307AD">
        <w:t>3</w:t>
      </w:r>
      <w:r w:rsidR="003307AD" w:rsidRPr="003307AD">
        <w:t>所示。</w:t>
      </w:r>
    </w:p>
    <w:p w14:paraId="48502D9F" w14:textId="77777777" w:rsidR="00210CE2" w:rsidRDefault="00210CE2" w:rsidP="00210CE2">
      <w:pPr>
        <w:pStyle w:val="aff"/>
        <w:sectPr w:rsidR="00210CE2" w:rsidSect="00A07DBF">
          <w:type w:val="continuous"/>
          <w:pgSz w:w="11906" w:h="16838"/>
          <w:pgMar w:top="1418" w:right="1134" w:bottom="1134" w:left="1134" w:header="720" w:footer="720" w:gutter="0"/>
          <w:cols w:num="2" w:space="720"/>
          <w:docGrid w:linePitch="598"/>
        </w:sectPr>
      </w:pPr>
    </w:p>
    <w:p w14:paraId="02AC35FB" w14:textId="77777777" w:rsidR="00210CE2" w:rsidRDefault="00210CE2" w:rsidP="00210CE2">
      <w:pPr>
        <w:pStyle w:val="aff"/>
      </w:pPr>
      <w:r w:rsidRPr="003767A7">
        <w:rPr>
          <w:noProof/>
        </w:rPr>
        <w:drawing>
          <wp:inline distT="0" distB="0" distL="0" distR="0" wp14:anchorId="3BDA9CA3" wp14:editId="4CB7F573">
            <wp:extent cx="5778000" cy="2958271"/>
            <wp:effectExtent l="0" t="0" r="0" b="0"/>
            <wp:docPr id="527564147" name="图片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8000" cy="2958271"/>
                    </a:xfrm>
                    <a:prstGeom prst="rect">
                      <a:avLst/>
                    </a:prstGeom>
                    <a:noFill/>
                    <a:ln>
                      <a:noFill/>
                    </a:ln>
                  </pic:spPr>
                </pic:pic>
              </a:graphicData>
            </a:graphic>
          </wp:inline>
        </w:drawing>
      </w:r>
    </w:p>
    <w:p w14:paraId="239F9DF3" w14:textId="59093E2D" w:rsidR="00210CE2" w:rsidRDefault="00210CE2" w:rsidP="00210CE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3</w:t>
      </w:r>
      <w:r>
        <w:fldChar w:fldCharType="end"/>
      </w:r>
      <w:r>
        <w:rPr>
          <w:rFonts w:hint="eastAsia"/>
        </w:rPr>
        <w:t xml:space="preserve"> </w:t>
      </w:r>
      <w:r w:rsidR="008419FD" w:rsidRPr="008419FD">
        <w:t>多场景约束采区规划系统架构</w:t>
      </w:r>
    </w:p>
    <w:p w14:paraId="46F2F55E" w14:textId="6D3A567A" w:rsidR="00210CE2" w:rsidRDefault="00210CE2" w:rsidP="00210CE2">
      <w:pPr>
        <w:pStyle w:val="14"/>
        <w:sectPr w:rsidR="00210CE2" w:rsidSect="00210CE2">
          <w:type w:val="continuous"/>
          <w:pgSz w:w="11906" w:h="16838"/>
          <w:pgMar w:top="1418" w:right="1134" w:bottom="1134" w:left="1134" w:header="720" w:footer="720" w:gutter="0"/>
          <w:cols w:space="720"/>
          <w:docGrid w:linePitch="598"/>
        </w:sectPr>
      </w:pPr>
      <w:r w:rsidRPr="009F1274">
        <w:t>Fig.</w:t>
      </w:r>
      <w:r w:rsidR="008419FD">
        <w:rPr>
          <w:rFonts w:hint="eastAsia"/>
        </w:rPr>
        <w:t>3</w:t>
      </w:r>
      <w:r w:rsidRPr="009F1274">
        <w:t xml:space="preserve"> </w:t>
      </w:r>
      <w:r w:rsidR="008419FD" w:rsidRPr="008419FD">
        <w:t>System architecture of multi-scenario constrained mining district planning</w:t>
      </w:r>
    </w:p>
    <w:p w14:paraId="15323A31" w14:textId="0B2C4AEA" w:rsidR="008419FD" w:rsidRDefault="003307AD" w:rsidP="008419FD">
      <w:pPr>
        <w:pStyle w:val="100"/>
        <w:ind w:firstLine="420"/>
      </w:pPr>
      <w:r w:rsidRPr="003307AD">
        <w:t>由图</w:t>
      </w:r>
      <w:r w:rsidRPr="003307AD">
        <w:t>3</w:t>
      </w:r>
      <w:r w:rsidRPr="003307AD">
        <w:t>可见，该流程以采区边界、钻孔资料和设计参数为基础输入，以有效布置域、连续参数场和</w:t>
      </w:r>
      <w:r w:rsidRPr="003307AD">
        <w:t>ODI</w:t>
      </w:r>
      <w:r w:rsidRPr="003307AD">
        <w:t>场为中间成果，以工作面布置方案及其评价指标为最终输出。通过这一流程，资源条件、工程约束和扰动风险能够在同一空间基础上参与方案比选</w:t>
      </w:r>
      <w:r w:rsidR="008419FD" w:rsidRPr="008419FD">
        <w:t>。</w:t>
      </w:r>
    </w:p>
    <w:p w14:paraId="46FAA18E" w14:textId="4011168D" w:rsidR="00694DA6" w:rsidRPr="00DF00E8" w:rsidRDefault="00694DA6" w:rsidP="00DF00E8">
      <w:pPr>
        <w:pStyle w:val="12"/>
      </w:pPr>
      <w:r w:rsidRPr="00DF00E8">
        <w:t xml:space="preserve">3.2 </w:t>
      </w:r>
      <w:r w:rsidR="00AB2E6E" w:rsidRPr="00AB2E6E">
        <w:t>关键计算环节</w:t>
      </w:r>
    </w:p>
    <w:p w14:paraId="6D037F78" w14:textId="77777777" w:rsidR="00AB2E6E" w:rsidRPr="00AB2E6E" w:rsidRDefault="00AB2E6E" w:rsidP="00AB2E6E">
      <w:pPr>
        <w:pStyle w:val="100"/>
        <w:ind w:firstLine="420"/>
      </w:pPr>
      <w:r w:rsidRPr="00AB2E6E">
        <w:t>多场景约束采区规划的计算过程可归纳为</w:t>
      </w:r>
      <w:r w:rsidRPr="00AB2E6E">
        <w:t>“</w:t>
      </w:r>
      <w:r w:rsidRPr="00AB2E6E">
        <w:t>空间底图构建</w:t>
      </w:r>
      <w:r w:rsidRPr="00AB2E6E">
        <w:t>—</w:t>
      </w:r>
      <w:r w:rsidRPr="00AB2E6E">
        <w:t>扰动场生成</w:t>
      </w:r>
      <w:r w:rsidRPr="00AB2E6E">
        <w:t>—</w:t>
      </w:r>
      <w:r w:rsidRPr="00AB2E6E">
        <w:t>工作面方案筛选</w:t>
      </w:r>
      <w:r w:rsidRPr="00AB2E6E">
        <w:t>”3</w:t>
      </w:r>
      <w:r w:rsidRPr="00AB2E6E">
        <w:t>个环节。</w:t>
      </w:r>
    </w:p>
    <w:p w14:paraId="3A3E0AB7" w14:textId="77777777" w:rsidR="00AB2E6E" w:rsidRPr="00AB2E6E" w:rsidRDefault="00AB2E6E" w:rsidP="00AB2E6E">
      <w:pPr>
        <w:pStyle w:val="100"/>
        <w:ind w:firstLine="420"/>
      </w:pPr>
      <w:r w:rsidRPr="00AB2E6E">
        <w:t>第一，空间底图构建。该环节首先对原始采区边界进行闭合性检查，并结合边界煤柱、区段煤</w:t>
      </w:r>
      <w:r w:rsidRPr="00AB2E6E">
        <w:t>柱和局部保护距离生成有效布置域。有效布置域用于排除越界、煤柱不足和局部不具备布置条件的区域，是工作面方案生成的空间基础。在此基础上，以钻孔样点为控制点，对煤层厚度等属性进行插值，并将结果裁剪至有效布置域范围内，形成连续参数场。这样可以将离散钻孔资料转化为能够参与资源覆盖统计的空间变量。</w:t>
      </w:r>
    </w:p>
    <w:p w14:paraId="792DEC83" w14:textId="77777777" w:rsidR="00AB2E6E" w:rsidRPr="00AB2E6E" w:rsidRDefault="00AB2E6E" w:rsidP="00AB2E6E">
      <w:pPr>
        <w:pStyle w:val="100"/>
        <w:ind w:firstLine="420"/>
      </w:pPr>
      <w:r w:rsidRPr="00AB2E6E">
        <w:t>第二，扰动场生成。地表沉陷、含水层扰动和上行开采风险分别反映不同类型的覆岩响应特征。为避免不同风险场景分散参与规划造成评价口径不统一，本文将各扰动分量进行归一化处理，并按照设定权重形成综合</w:t>
      </w:r>
      <w:r w:rsidRPr="00AB2E6E">
        <w:t>ODI</w:t>
      </w:r>
      <w:r w:rsidRPr="00AB2E6E">
        <w:t>场。综合</w:t>
      </w:r>
      <w:r w:rsidRPr="00AB2E6E">
        <w:t>ODI</w:t>
      </w:r>
      <w:r w:rsidRPr="00AB2E6E">
        <w:t>场用于</w:t>
      </w:r>
      <w:r w:rsidRPr="00AB2E6E">
        <w:lastRenderedPageBreak/>
        <w:t>识别采区内高扰动敏感区，并作为工作面方案筛选中的风险约束底图。与单一场景图层相比，</w:t>
      </w:r>
      <w:r w:rsidRPr="00AB2E6E">
        <w:t>ODI</w:t>
      </w:r>
      <w:r w:rsidRPr="00AB2E6E">
        <w:t>场更适合用于规划阶段的方案级风险统计，但最终方案仍需结合各分量结果进行专项复核。</w:t>
      </w:r>
    </w:p>
    <w:p w14:paraId="71D75C37" w14:textId="77777777" w:rsidR="00AB2E6E" w:rsidRPr="00AB2E6E" w:rsidRDefault="00AB2E6E" w:rsidP="00AB2E6E">
      <w:pPr>
        <w:pStyle w:val="100"/>
        <w:ind w:firstLine="420"/>
      </w:pPr>
      <w:r w:rsidRPr="00AB2E6E">
        <w:t>第三，工作面方案筛选。在有效布置域内，根据工作面宽度、推进方向、煤柱宽度和推进长度要求生成初始工作面组合。对初始方案进行几何和工程约束检查，剔除越界、重叠、煤柱不足、推进长度不满足要求或形态异常的方案。对于保留下来的候选方案，进一步统计覆盖率、煤层厚度场利用程度、</w:t>
      </w:r>
      <w:r w:rsidRPr="00AB2E6E">
        <w:t>ODI</w:t>
      </w:r>
      <w:r w:rsidRPr="00AB2E6E">
        <w:t>均值、</w:t>
      </w:r>
      <w:r w:rsidRPr="00AB2E6E">
        <w:t>90%</w:t>
      </w:r>
      <w:r w:rsidRPr="00AB2E6E">
        <w:t>分位数和超阈值暴露比例，并根据工程效率、资源回收和扰动控制偏好输出代表性方案。</w:t>
      </w:r>
    </w:p>
    <w:p w14:paraId="6DF9A948" w14:textId="77777777" w:rsidR="00AB2E6E" w:rsidRPr="00AB2E6E" w:rsidRDefault="00AB2E6E" w:rsidP="00AB2E6E">
      <w:pPr>
        <w:pStyle w:val="100"/>
        <w:ind w:firstLine="420"/>
      </w:pPr>
      <w:r w:rsidRPr="00AB2E6E">
        <w:t>通过上述</w:t>
      </w:r>
      <w:r w:rsidRPr="00AB2E6E">
        <w:t>3</w:t>
      </w:r>
      <w:r w:rsidRPr="00AB2E6E">
        <w:t>个环节，采区规划由单一经验布置转化为基于空间数据和方案指标的多方案比较过程。该过程既保留了工作面宽度、煤柱留设、推进方向等采矿设计约束，也将地质属性和覆岩扰动风险纳入方案筛选，使不同规划偏好下的方案差异能够通过统一指标表达。</w:t>
      </w:r>
    </w:p>
    <w:p w14:paraId="6F22C449" w14:textId="12D4EC2D" w:rsidR="00624086" w:rsidRPr="00DF00E8" w:rsidRDefault="00624086" w:rsidP="00DF00E8">
      <w:pPr>
        <w:pStyle w:val="12"/>
      </w:pPr>
      <w:r w:rsidRPr="00DF00E8">
        <w:t xml:space="preserve">3.3 </w:t>
      </w:r>
      <w:r w:rsidR="00AB2E6E" w:rsidRPr="00AB2E6E">
        <w:t>成果表达与工程应用方式</w:t>
      </w:r>
    </w:p>
    <w:p w14:paraId="4D6B5FFB" w14:textId="77777777" w:rsidR="00AB2E6E" w:rsidRPr="00AB2E6E" w:rsidRDefault="00AB2E6E" w:rsidP="00AB2E6E">
      <w:pPr>
        <w:pStyle w:val="100"/>
        <w:ind w:firstLine="420"/>
      </w:pPr>
      <w:r w:rsidRPr="00AB2E6E">
        <w:t>多场景约束采区规划的输出成果主要包括空间图件、方案指标和推荐方案。空间图件包括采区边界与钻孔样点分布图、有效布置域图、煤层厚度连续参数场、多场景覆岩扰动分量图和综合</w:t>
      </w:r>
      <w:r w:rsidRPr="00AB2E6E">
        <w:t>ODI</w:t>
      </w:r>
      <w:r w:rsidRPr="00AB2E6E">
        <w:t>场图。这类成果用于展示采区地质条件、工作面可布置范围和高扰动敏感区分布，是后续工作面布置和风险复核的基础。</w:t>
      </w:r>
    </w:p>
    <w:p w14:paraId="2B4DFCA6" w14:textId="77777777" w:rsidR="00AB2E6E" w:rsidRPr="00AB2E6E" w:rsidRDefault="00AB2E6E" w:rsidP="00AB2E6E">
      <w:pPr>
        <w:pStyle w:val="100"/>
        <w:ind w:firstLine="420"/>
      </w:pPr>
      <w:r w:rsidRPr="00AB2E6E">
        <w:t>方案指标包括工作面数量、覆盖率、工程效率评分、资源回收评分、</w:t>
      </w:r>
      <w:r w:rsidRPr="00AB2E6E">
        <w:t>ODI</w:t>
      </w:r>
      <w:r w:rsidRPr="00AB2E6E">
        <w:t>均值、</w:t>
      </w:r>
      <w:r w:rsidRPr="00AB2E6E">
        <w:t>90%</w:t>
      </w:r>
      <w:r w:rsidRPr="00AB2E6E">
        <w:t>分位数和超阈值暴露比例等。通过这些指标，可以比较不同布置方案在资源利用、生产组织和扰动控制方面的差异。对于工程效率优先情形，方案筛选更关注工作面数量、推进长度均衡性和布局规整性；对于资源回收优先情形，更关注覆盖率和煤层厚度场利用程度；对于低扰动控制情形，则重点关注方案区域内的总体扰动水平和高值尾部风险。</w:t>
      </w:r>
    </w:p>
    <w:p w14:paraId="69E22553" w14:textId="77777777" w:rsidR="00AB2E6E" w:rsidRPr="00AB2E6E" w:rsidRDefault="00AB2E6E" w:rsidP="00AB2E6E">
      <w:pPr>
        <w:pStyle w:val="100"/>
        <w:ind w:firstLine="420"/>
      </w:pPr>
      <w:r w:rsidRPr="00AB2E6E">
        <w:t>在工程应用中，该流程可用于采区规划初期的多方案筛选，也可用于已有设计方案的风险对比和调整优化。需要指出的是，本文流程主要服务于规划阶段的工作面布置方案生成和覆岩扰动风险前置控制，不能替代矿井定案设计。对于最终推荐方案，仍需结合矿井生产系统、通风运输能力、采掘接续安排、设备适配性和现场安全规程开展进一步复核。</w:t>
      </w:r>
    </w:p>
    <w:p w14:paraId="6A4B7F7C" w14:textId="14E94F8A" w:rsidR="00694DA6" w:rsidRPr="00DF00E8" w:rsidRDefault="00694DA6" w:rsidP="00DF00E8">
      <w:pPr>
        <w:pStyle w:val="11"/>
      </w:pPr>
      <w:r w:rsidRPr="00DF00E8">
        <w:t xml:space="preserve">4 </w:t>
      </w:r>
      <w:r w:rsidR="004B7D90" w:rsidRPr="00DF00E8">
        <w:t>工程应用与结果分析</w:t>
      </w:r>
    </w:p>
    <w:p w14:paraId="160AB4CC" w14:textId="1CEEF830" w:rsidR="004B7D90" w:rsidRDefault="00927E53" w:rsidP="004B7D90">
      <w:pPr>
        <w:pStyle w:val="100"/>
        <w:ind w:firstLine="420"/>
      </w:pPr>
      <w:r w:rsidRPr="00927E53">
        <w:t>为验证多场景覆岩扰动约束下采区规划方法的适用性，选取敏东研究区作为工程应用对象。按照前文建立的计算流程，依次开展基础数据整理、有效布置域构建、煤层厚度连续参数场生成、多场景</w:t>
      </w:r>
      <w:r w:rsidRPr="00927E53">
        <w:t>ODI</w:t>
      </w:r>
      <w:r w:rsidRPr="00927E53">
        <w:t>场计算和工作面布置方案比选。研究重点在于分析覆岩扰动前置约束进入采区规划后，对工作面布置范围、方案筛选结果及资源回收</w:t>
      </w:r>
      <w:r w:rsidRPr="00927E53">
        <w:t>—</w:t>
      </w:r>
      <w:r w:rsidRPr="00927E53">
        <w:t>扰动控制关系的影响</w:t>
      </w:r>
      <w:r w:rsidR="004B7D90" w:rsidRPr="004B7D90">
        <w:t>。</w:t>
      </w:r>
    </w:p>
    <w:p w14:paraId="04603FBD" w14:textId="7B48BAA8" w:rsidR="004B7D90" w:rsidRPr="004B7D90" w:rsidRDefault="004B7D90" w:rsidP="00DF00E8">
      <w:pPr>
        <w:pStyle w:val="12"/>
      </w:pPr>
      <w:r w:rsidRPr="004B7D90">
        <w:t xml:space="preserve">4.1 </w:t>
      </w:r>
      <w:r w:rsidR="00927E53" w:rsidRPr="00927E53">
        <w:t>研究区概况与基础输入</w:t>
      </w:r>
    </w:p>
    <w:p w14:paraId="1AA82C31" w14:textId="77777777" w:rsidR="00927E53" w:rsidRPr="00927E53" w:rsidRDefault="00927E53" w:rsidP="00927E53">
      <w:pPr>
        <w:pStyle w:val="100"/>
        <w:ind w:firstLine="420"/>
      </w:pPr>
      <w:r w:rsidRPr="00927E53">
        <w:t>研究区以内蒙古呼伦贝尔敏东一矿相关工程条件为背景，顶底板岩性主要包括泥岩、砂质泥岩、炭质泥岩、煤和细粒砂岩，代表性埋深约</w:t>
      </w:r>
      <w:r w:rsidRPr="00927E53">
        <w:t>300 m</w:t>
      </w:r>
      <w:r w:rsidRPr="00927E53">
        <w:t>，具有厚煤层、软弱围岩和多源扰动约束并存的特征。该类条件下，采区规划不仅需要满足工作面布置和资源回收要求，还需考虑地表沉陷、含水层扰动和上行开采等覆岩响应问题。</w:t>
      </w:r>
    </w:p>
    <w:p w14:paraId="106D2452" w14:textId="79B140BC" w:rsidR="004B7D90" w:rsidRPr="004B7D90" w:rsidRDefault="00927E53" w:rsidP="00927E53">
      <w:pPr>
        <w:pStyle w:val="100"/>
        <w:ind w:firstLine="420"/>
      </w:pPr>
      <w:r w:rsidRPr="00927E53">
        <w:t>本次计算以采区边界、钻孔样点和规划控制参数为基础输入。其中，采区边界用于确定原始规划范围，钻孔样点用于反映煤层厚度的空间变化，边界煤柱、区段煤柱、工作面宽度和推进方向等参数用于约束工作面布置方案生成。研究区边界与钻孔样点分布</w:t>
      </w:r>
      <w:r w:rsidR="004B7D90" w:rsidRPr="004B7D90">
        <w:t>如</w:t>
      </w:r>
      <w:r w:rsidR="008419FD">
        <w:fldChar w:fldCharType="begin"/>
      </w:r>
      <w:r w:rsidR="008419FD">
        <w:instrText xml:space="preserve"> REF _Ref227919590 \h </w:instrText>
      </w:r>
      <w:r w:rsidR="008419FD">
        <w:fldChar w:fldCharType="separate"/>
      </w:r>
      <w:r w:rsidR="008419FD">
        <w:rPr>
          <w:rFonts w:hint="eastAsia"/>
        </w:rPr>
        <w:t>图</w:t>
      </w:r>
      <w:r w:rsidR="008419FD">
        <w:rPr>
          <w:noProof/>
        </w:rPr>
        <w:t>4</w:t>
      </w:r>
      <w:r w:rsidR="008419FD">
        <w:fldChar w:fldCharType="end"/>
      </w:r>
      <w:r w:rsidR="004B7D90" w:rsidRPr="004B7D90">
        <w:t>所示。</w:t>
      </w:r>
    </w:p>
    <w:p w14:paraId="5CB25670" w14:textId="77777777" w:rsidR="004B7D90" w:rsidRDefault="004B7D90" w:rsidP="004B7D90">
      <w:pPr>
        <w:pStyle w:val="14"/>
      </w:pPr>
      <w:r>
        <w:rPr>
          <w:rFonts w:ascii="宋体" w:hAnsi="宋体"/>
          <w:noProof/>
        </w:rPr>
        <w:drawing>
          <wp:inline distT="0" distB="0" distL="0" distR="0" wp14:anchorId="31E565E2" wp14:editId="48824A38">
            <wp:extent cx="2864246" cy="1777365"/>
            <wp:effectExtent l="0" t="0" r="0" b="0"/>
            <wp:docPr id="1358598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29"/>
                    <a:stretch>
                      <a:fillRect/>
                    </a:stretch>
                  </pic:blipFill>
                  <pic:spPr bwMode="auto">
                    <a:xfrm>
                      <a:off x="0" y="0"/>
                      <a:ext cx="2864757" cy="1777682"/>
                    </a:xfrm>
                    <a:prstGeom prst="rect">
                      <a:avLst/>
                    </a:prstGeom>
                    <a:noFill/>
                    <a:ln>
                      <a:noFill/>
                    </a:ln>
                    <a:extLst>
                      <a:ext uri="{53640926-AAD7-44D8-BBD7-CCE9431645EC}">
                        <a14:shadowObscured xmlns:a14="http://schemas.microsoft.com/office/drawing/2010/main"/>
                      </a:ext>
                    </a:extLst>
                  </pic:spPr>
                </pic:pic>
              </a:graphicData>
            </a:graphic>
          </wp:inline>
        </w:drawing>
      </w:r>
    </w:p>
    <w:p w14:paraId="40AAF3B5" w14:textId="61BBF521" w:rsidR="004B7D90" w:rsidRDefault="004B7D90" w:rsidP="004B7D90">
      <w:pPr>
        <w:pStyle w:val="14"/>
      </w:pPr>
      <w:bookmarkStart w:id="4" w:name="_Ref22791959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4</w:t>
      </w:r>
      <w:r>
        <w:fldChar w:fldCharType="end"/>
      </w:r>
      <w:bookmarkEnd w:id="4"/>
      <w:r>
        <w:rPr>
          <w:rFonts w:hint="eastAsia"/>
        </w:rPr>
        <w:t xml:space="preserve"> </w:t>
      </w:r>
      <w:r w:rsidRPr="000E1681">
        <w:rPr>
          <w:rFonts w:hint="eastAsia"/>
        </w:rPr>
        <w:t>研究区边界与钻孔样点分布</w:t>
      </w:r>
    </w:p>
    <w:p w14:paraId="7B3F47AF" w14:textId="6F34BA37" w:rsidR="004B7D90" w:rsidRPr="004B7D90" w:rsidRDefault="004B7D90" w:rsidP="004B7D90">
      <w:pPr>
        <w:pStyle w:val="14"/>
      </w:pPr>
      <w:r w:rsidRPr="00351EC4">
        <w:t>Fig.</w:t>
      </w:r>
      <w:r>
        <w:fldChar w:fldCharType="begin"/>
      </w:r>
      <w:r>
        <w:instrText xml:space="preserve"> REF _Ref227919590 \h </w:instrText>
      </w:r>
      <w:r>
        <w:fldChar w:fldCharType="separate"/>
      </w:r>
      <w:r w:rsidR="008419FD">
        <w:rPr>
          <w:noProof/>
        </w:rPr>
        <w:t>4</w:t>
      </w:r>
      <w:r>
        <w:fldChar w:fldCharType="end"/>
      </w:r>
      <w:r w:rsidRPr="00351EC4">
        <w:t xml:space="preserve"> </w:t>
      </w:r>
      <w:r w:rsidRPr="002D513A">
        <w:t>Boundary of the study area and distribution of borehole samples</w:t>
      </w:r>
    </w:p>
    <w:p w14:paraId="0019705C" w14:textId="10ACE663" w:rsidR="004B7D90" w:rsidRPr="004B7D90" w:rsidRDefault="004B7D90" w:rsidP="004B7D90">
      <w:pPr>
        <w:pStyle w:val="100"/>
        <w:ind w:firstLine="420"/>
      </w:pPr>
      <w:r w:rsidRPr="004B7D90">
        <w:t>由</w:t>
      </w:r>
      <w:r w:rsidR="008419FD">
        <w:fldChar w:fldCharType="begin"/>
      </w:r>
      <w:r w:rsidR="008419FD">
        <w:instrText xml:space="preserve"> REF _Ref227919590 \h </w:instrText>
      </w:r>
      <w:r w:rsidR="008419FD">
        <w:fldChar w:fldCharType="separate"/>
      </w:r>
      <w:r w:rsidR="008419FD">
        <w:rPr>
          <w:rFonts w:hint="eastAsia"/>
        </w:rPr>
        <w:t>图</w:t>
      </w:r>
      <w:r w:rsidR="008419FD">
        <w:rPr>
          <w:noProof/>
        </w:rPr>
        <w:t>4</w:t>
      </w:r>
      <w:r w:rsidR="008419FD">
        <w:fldChar w:fldCharType="end"/>
      </w:r>
      <w:r w:rsidRPr="004B7D90">
        <w:t>可知，</w:t>
      </w:r>
      <w:r w:rsidRPr="004B7D90">
        <w:t>15</w:t>
      </w:r>
      <w:r w:rsidRPr="004B7D90">
        <w:t>个钻孔样点在研究区范围内形成了基本覆盖，可为煤层厚度插值和资源覆盖统计提供样本基础。钻孔样点煤层厚度为</w:t>
      </w:r>
      <w:r w:rsidRPr="004B7D90">
        <w:t>2.8</w:t>
      </w:r>
      <w:r w:rsidRPr="004B7D90">
        <w:t>～</w:t>
      </w:r>
      <w:r w:rsidRPr="004B7D90">
        <w:t>4.8 m</w:t>
      </w:r>
      <w:r w:rsidRPr="004B7D90">
        <w:t>，平均值为</w:t>
      </w:r>
      <w:r w:rsidRPr="004B7D90">
        <w:t>3.7933 m</w:t>
      </w:r>
      <w:r w:rsidRPr="004B7D90">
        <w:t>，说明研究区煤厚在空间上存在一定差异。对于采区规划而言，这种差异意味着不同区域的资源利用潜力并不相同，因此需要将离散钻孔信息转换为连续参数场后再参与工作面布置方案评价。</w:t>
      </w:r>
    </w:p>
    <w:p w14:paraId="6AF81D76" w14:textId="22F00E09" w:rsidR="004B7D90" w:rsidRPr="004B7D90" w:rsidRDefault="004B7D90" w:rsidP="004B7D90">
      <w:pPr>
        <w:pStyle w:val="100"/>
        <w:ind w:firstLine="420"/>
      </w:pPr>
      <w:r w:rsidRPr="004B7D90">
        <w:t>原始采区边界不能直接作为工作面布置边界。实际规划中，边界煤柱、区段煤柱和局部保护距</w:t>
      </w:r>
      <w:r w:rsidRPr="004B7D90">
        <w:lastRenderedPageBreak/>
        <w:t>离等约束会压缩可布置空间。本文在原始边界基础上叠加煤柱和保护约束，得到有效布置域，如</w:t>
      </w:r>
      <w:r w:rsidR="008419FD">
        <w:fldChar w:fldCharType="begin"/>
      </w:r>
      <w:r w:rsidR="008419FD">
        <w:instrText xml:space="preserve"> REF _Ref227925859 \h </w:instrText>
      </w:r>
      <w:r w:rsidR="008419FD">
        <w:fldChar w:fldCharType="separate"/>
      </w:r>
      <w:r w:rsidR="008419FD" w:rsidRPr="00F41E99">
        <w:rPr>
          <w:rFonts w:hint="eastAsia"/>
        </w:rPr>
        <w:t>图</w:t>
      </w:r>
      <w:r w:rsidR="008419FD">
        <w:rPr>
          <w:noProof/>
        </w:rPr>
        <w:t>5</w:t>
      </w:r>
      <w:r w:rsidR="008419FD">
        <w:fldChar w:fldCharType="end"/>
      </w:r>
      <w:r w:rsidRPr="004B7D90">
        <w:t>所示。</w:t>
      </w:r>
    </w:p>
    <w:p w14:paraId="57CA0477" w14:textId="77777777" w:rsidR="004B7D90" w:rsidRDefault="004B7D90" w:rsidP="004B7D90">
      <w:pPr>
        <w:pStyle w:val="100"/>
        <w:keepNext/>
        <w:ind w:firstLineChars="0" w:firstLine="0"/>
        <w:jc w:val="center"/>
        <w:sectPr w:rsidR="004B7D90" w:rsidSect="00A07DBF">
          <w:type w:val="continuous"/>
          <w:pgSz w:w="11906" w:h="16838"/>
          <w:pgMar w:top="1418" w:right="1134" w:bottom="1134" w:left="1134" w:header="720" w:footer="720" w:gutter="0"/>
          <w:cols w:num="2" w:space="720"/>
          <w:docGrid w:linePitch="598"/>
        </w:sectPr>
      </w:pPr>
    </w:p>
    <w:p w14:paraId="0F8C1EB9" w14:textId="77777777" w:rsidR="004B7D90" w:rsidRDefault="004B7D90" w:rsidP="004B7D90">
      <w:pPr>
        <w:pStyle w:val="100"/>
        <w:keepNext/>
        <w:ind w:firstLineChars="0" w:firstLine="0"/>
        <w:jc w:val="center"/>
      </w:pPr>
      <w:r>
        <w:rPr>
          <w:noProof/>
        </w:rPr>
        <w:drawing>
          <wp:inline distT="0" distB="0" distL="0" distR="0" wp14:anchorId="4428C729" wp14:editId="6B6D3653">
            <wp:extent cx="6111240" cy="1264920"/>
            <wp:effectExtent l="0" t="0" r="3810" b="0"/>
            <wp:docPr id="951091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1240" cy="1264920"/>
                    </a:xfrm>
                    <a:prstGeom prst="rect">
                      <a:avLst/>
                    </a:prstGeom>
                    <a:noFill/>
                    <a:ln>
                      <a:noFill/>
                    </a:ln>
                  </pic:spPr>
                </pic:pic>
              </a:graphicData>
            </a:graphic>
          </wp:inline>
        </w:drawing>
      </w:r>
    </w:p>
    <w:p w14:paraId="0D836079" w14:textId="64E9F709" w:rsidR="004B7D90" w:rsidRPr="00F41E99" w:rsidRDefault="004B7D90" w:rsidP="004B7D90">
      <w:pPr>
        <w:pStyle w:val="14"/>
      </w:pPr>
      <w:bookmarkStart w:id="5" w:name="_Ref227925859"/>
      <w:r w:rsidRPr="00F41E99">
        <w:rPr>
          <w:rFonts w:hint="eastAsia"/>
        </w:rPr>
        <w:t>图</w:t>
      </w:r>
      <w:r w:rsidRPr="00F41E99">
        <w:fldChar w:fldCharType="begin"/>
      </w:r>
      <w:r w:rsidRPr="00F41E99">
        <w:instrText xml:space="preserve"> </w:instrText>
      </w:r>
      <w:r w:rsidRPr="00F41E99">
        <w:rPr>
          <w:rFonts w:hint="eastAsia"/>
        </w:rPr>
        <w:instrText xml:space="preserve">SEQ </w:instrText>
      </w:r>
      <w:r w:rsidRPr="00F41E99">
        <w:rPr>
          <w:rFonts w:hint="eastAsia"/>
        </w:rPr>
        <w:instrText>图</w:instrText>
      </w:r>
      <w:r w:rsidRPr="00F41E99">
        <w:rPr>
          <w:rFonts w:hint="eastAsia"/>
        </w:rPr>
        <w:instrText xml:space="preserve"> \* ARABIC</w:instrText>
      </w:r>
      <w:r w:rsidRPr="00F41E99">
        <w:instrText xml:space="preserve"> </w:instrText>
      </w:r>
      <w:r w:rsidRPr="00F41E99">
        <w:fldChar w:fldCharType="separate"/>
      </w:r>
      <w:r w:rsidR="008419FD">
        <w:rPr>
          <w:noProof/>
        </w:rPr>
        <w:t>5</w:t>
      </w:r>
      <w:r w:rsidRPr="00F41E99">
        <w:fldChar w:fldCharType="end"/>
      </w:r>
      <w:bookmarkEnd w:id="5"/>
      <w:r w:rsidRPr="00F41E99">
        <w:rPr>
          <w:rFonts w:hint="eastAsia"/>
        </w:rPr>
        <w:t xml:space="preserve"> </w:t>
      </w:r>
      <w:r w:rsidRPr="00006F50">
        <w:rPr>
          <w:rFonts w:hint="eastAsia"/>
        </w:rPr>
        <w:t>原始边界与有效布置域构建结果</w:t>
      </w:r>
    </w:p>
    <w:p w14:paraId="0418BD74" w14:textId="57359122" w:rsidR="004B7D90" w:rsidRPr="00F41E99" w:rsidRDefault="004B7D90" w:rsidP="004B7D90">
      <w:pPr>
        <w:pStyle w:val="14"/>
      </w:pPr>
      <w:r w:rsidRPr="00F41E99">
        <w:t>Fig.</w:t>
      </w:r>
      <w:r w:rsidR="008419FD">
        <w:rPr>
          <w:rFonts w:hint="eastAsia"/>
        </w:rPr>
        <w:t>5</w:t>
      </w:r>
      <w:r w:rsidRPr="00F41E99">
        <w:t xml:space="preserve"> </w:t>
      </w:r>
      <w:r w:rsidRPr="00006F50">
        <w:t>Construction result of the effective layout domain from the original boundary</w:t>
      </w:r>
    </w:p>
    <w:p w14:paraId="7C1A1BDF"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2562F1AD" w14:textId="2781A592" w:rsidR="004B7D90" w:rsidRPr="004B7D90" w:rsidRDefault="004B7D90" w:rsidP="004B7D90">
      <w:pPr>
        <w:pStyle w:val="100"/>
        <w:ind w:firstLine="420"/>
      </w:pPr>
      <w:r w:rsidRPr="004B7D90">
        <w:t>由</w:t>
      </w:r>
      <w:r w:rsidR="008419FD">
        <w:fldChar w:fldCharType="begin"/>
      </w:r>
      <w:r w:rsidR="008419FD">
        <w:instrText xml:space="preserve"> REF _Ref227925859 \h </w:instrText>
      </w:r>
      <w:r w:rsidR="008419FD">
        <w:fldChar w:fldCharType="separate"/>
      </w:r>
      <w:r w:rsidR="008419FD" w:rsidRPr="00F41E99">
        <w:rPr>
          <w:rFonts w:hint="eastAsia"/>
        </w:rPr>
        <w:t>图</w:t>
      </w:r>
      <w:r w:rsidR="008419FD">
        <w:rPr>
          <w:noProof/>
        </w:rPr>
        <w:t>5</w:t>
      </w:r>
      <w:r w:rsidR="008419FD">
        <w:fldChar w:fldCharType="end"/>
      </w:r>
      <w:r w:rsidRPr="004B7D90">
        <w:t>可见，原始边界经煤柱约束和几何处理后，部分边界区域被内缩或剔除，有效布置域成为后续工作面布置方案生成的空间基础。所有候选方案均需在有效布置域内生成，并满足不越</w:t>
      </w:r>
      <w:r w:rsidRPr="004B7D90">
        <w:t>界、工作面不重叠和煤柱宽度满足要求等基本采矿约束。</w:t>
      </w:r>
    </w:p>
    <w:p w14:paraId="5FDE4D64" w14:textId="77777777" w:rsidR="004B7D90" w:rsidRPr="004B7D90" w:rsidRDefault="004B7D90" w:rsidP="004B7D90">
      <w:pPr>
        <w:pStyle w:val="100"/>
        <w:ind w:firstLine="420"/>
      </w:pPr>
      <w:r w:rsidRPr="004B7D90">
        <w:t>研究区样例的主要输入参数与约束条件见表</w:t>
      </w:r>
      <w:r w:rsidRPr="004B7D90">
        <w:t>2</w:t>
      </w:r>
      <w:r w:rsidRPr="004B7D90">
        <w:t>。</w:t>
      </w:r>
    </w:p>
    <w:p w14:paraId="3D841CDB" w14:textId="77777777" w:rsidR="004B7D90" w:rsidRDefault="004B7D90" w:rsidP="004B7D90">
      <w:pPr>
        <w:pStyle w:val="15"/>
        <w:sectPr w:rsidR="004B7D90" w:rsidSect="00A07DBF">
          <w:type w:val="continuous"/>
          <w:pgSz w:w="11906" w:h="16838"/>
          <w:pgMar w:top="1418" w:right="1134" w:bottom="1134" w:left="1134" w:header="720" w:footer="720" w:gutter="0"/>
          <w:cols w:num="2" w:space="720"/>
          <w:docGrid w:linePitch="598"/>
        </w:sectPr>
      </w:pPr>
    </w:p>
    <w:p w14:paraId="1C90D709" w14:textId="553734CE" w:rsidR="004B7D90" w:rsidRDefault="004B7D90" w:rsidP="004B7D90">
      <w:pPr>
        <w:pStyle w:val="15"/>
      </w:pPr>
      <w:r>
        <w:rPr>
          <w:rFonts w:hint="eastAsia"/>
        </w:rPr>
        <w:t>表</w:t>
      </w:r>
      <w:r w:rsidR="00EF255B">
        <w:fldChar w:fldCharType="begin"/>
      </w:r>
      <w:r w:rsidR="00EF255B">
        <w:instrText xml:space="preserve"> </w:instrText>
      </w:r>
      <w:r w:rsidR="00EF255B">
        <w:rPr>
          <w:rFonts w:hint="eastAsia"/>
        </w:rPr>
        <w:instrText xml:space="preserve">SEQ </w:instrText>
      </w:r>
      <w:r w:rsidR="00EF255B">
        <w:rPr>
          <w:rFonts w:hint="eastAsia"/>
        </w:rPr>
        <w:instrText>表</w:instrText>
      </w:r>
      <w:r w:rsidR="00EF255B">
        <w:rPr>
          <w:rFonts w:hint="eastAsia"/>
        </w:rPr>
        <w:instrText xml:space="preserve"> \* ARABIC</w:instrText>
      </w:r>
      <w:r w:rsidR="00EF255B">
        <w:instrText xml:space="preserve"> </w:instrText>
      </w:r>
      <w:r w:rsidR="00EF255B">
        <w:fldChar w:fldCharType="separate"/>
      </w:r>
      <w:r w:rsidR="00EF255B">
        <w:rPr>
          <w:noProof/>
        </w:rPr>
        <w:t>2</w:t>
      </w:r>
      <w:r w:rsidR="00EF255B">
        <w:fldChar w:fldCharType="end"/>
      </w:r>
      <w:r>
        <w:rPr>
          <w:rFonts w:hint="eastAsia"/>
        </w:rPr>
        <w:t xml:space="preserve"> </w:t>
      </w:r>
      <w:r w:rsidRPr="00421776">
        <w:t>研究区主要输入参数与约束条件</w:t>
      </w:r>
    </w:p>
    <w:p w14:paraId="7B963C59" w14:textId="77777777" w:rsidR="004B7D90" w:rsidRDefault="004B7D90" w:rsidP="004B7D90">
      <w:pPr>
        <w:pStyle w:val="15"/>
      </w:pPr>
      <w:r w:rsidRPr="00421776">
        <w:t>Table 2 Main input parameters and constraints of the study area</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1860"/>
        <w:gridCol w:w="2202"/>
        <w:gridCol w:w="420"/>
        <w:gridCol w:w="2516"/>
      </w:tblGrid>
      <w:tr w:rsidR="004B7D90" w:rsidRPr="00006F50" w14:paraId="55EE5BBE" w14:textId="77777777" w:rsidTr="008610EE">
        <w:trPr>
          <w:tblHeader/>
          <w:tblCellSpacing w:w="15" w:type="dxa"/>
          <w:jc w:val="center"/>
        </w:trPr>
        <w:tc>
          <w:tcPr>
            <w:tcW w:w="0" w:type="auto"/>
            <w:tcBorders>
              <w:top w:val="nil"/>
              <w:bottom w:val="single" w:sz="4" w:space="0" w:color="auto"/>
            </w:tcBorders>
            <w:vAlign w:val="center"/>
            <w:hideMark/>
          </w:tcPr>
          <w:p w14:paraId="4D96187E" w14:textId="77777777" w:rsidR="004B7D90" w:rsidRPr="00006F50" w:rsidRDefault="004B7D90" w:rsidP="008610EE">
            <w:pPr>
              <w:spacing w:beforeLines="0" w:before="0" w:afterLines="0" w:after="0"/>
              <w:jc w:val="center"/>
              <w:rPr>
                <w:rFonts w:eastAsia="宋体"/>
                <w:sz w:val="18"/>
              </w:rPr>
            </w:pPr>
            <w:r w:rsidRPr="00006F50">
              <w:rPr>
                <w:rFonts w:eastAsia="宋体"/>
                <w:sz w:val="18"/>
              </w:rPr>
              <w:t>类别</w:t>
            </w:r>
          </w:p>
        </w:tc>
        <w:tc>
          <w:tcPr>
            <w:tcW w:w="0" w:type="auto"/>
            <w:tcBorders>
              <w:top w:val="nil"/>
              <w:bottom w:val="single" w:sz="4" w:space="0" w:color="auto"/>
            </w:tcBorders>
            <w:vAlign w:val="center"/>
            <w:hideMark/>
          </w:tcPr>
          <w:p w14:paraId="123684D9" w14:textId="77777777" w:rsidR="004B7D90" w:rsidRPr="00006F50" w:rsidRDefault="004B7D90" w:rsidP="008610EE">
            <w:pPr>
              <w:spacing w:beforeLines="0" w:before="0" w:afterLines="0" w:after="0"/>
              <w:jc w:val="center"/>
              <w:rPr>
                <w:rFonts w:eastAsia="宋体"/>
                <w:sz w:val="18"/>
              </w:rPr>
            </w:pPr>
            <w:r w:rsidRPr="00006F50">
              <w:rPr>
                <w:rFonts w:eastAsia="宋体"/>
                <w:sz w:val="18"/>
              </w:rPr>
              <w:t>参数名称</w:t>
            </w:r>
          </w:p>
        </w:tc>
        <w:tc>
          <w:tcPr>
            <w:tcW w:w="0" w:type="auto"/>
            <w:tcBorders>
              <w:top w:val="nil"/>
              <w:bottom w:val="single" w:sz="4" w:space="0" w:color="auto"/>
            </w:tcBorders>
            <w:vAlign w:val="center"/>
            <w:hideMark/>
          </w:tcPr>
          <w:p w14:paraId="509341F6" w14:textId="77777777" w:rsidR="004B7D90" w:rsidRPr="00006F50" w:rsidRDefault="004B7D90" w:rsidP="008610EE">
            <w:pPr>
              <w:spacing w:beforeLines="0" w:before="0" w:afterLines="0" w:after="0"/>
              <w:jc w:val="center"/>
              <w:rPr>
                <w:rFonts w:eastAsia="宋体"/>
                <w:sz w:val="18"/>
              </w:rPr>
            </w:pPr>
            <w:r w:rsidRPr="00006F50">
              <w:rPr>
                <w:rFonts w:eastAsia="宋体"/>
                <w:sz w:val="18"/>
              </w:rPr>
              <w:t>数值或范围</w:t>
            </w:r>
          </w:p>
        </w:tc>
        <w:tc>
          <w:tcPr>
            <w:tcW w:w="0" w:type="auto"/>
            <w:tcBorders>
              <w:top w:val="nil"/>
              <w:bottom w:val="single" w:sz="4" w:space="0" w:color="auto"/>
            </w:tcBorders>
            <w:vAlign w:val="center"/>
            <w:hideMark/>
          </w:tcPr>
          <w:p w14:paraId="3C565EFF" w14:textId="77777777" w:rsidR="004B7D90" w:rsidRPr="00006F50" w:rsidRDefault="004B7D90" w:rsidP="008610EE">
            <w:pPr>
              <w:spacing w:beforeLines="0" w:before="0" w:afterLines="0" w:after="0"/>
              <w:jc w:val="center"/>
              <w:rPr>
                <w:rFonts w:eastAsia="宋体"/>
                <w:sz w:val="18"/>
              </w:rPr>
            </w:pPr>
            <w:r w:rsidRPr="00006F50">
              <w:rPr>
                <w:rFonts w:eastAsia="宋体"/>
                <w:sz w:val="18"/>
              </w:rPr>
              <w:t>单位</w:t>
            </w:r>
          </w:p>
        </w:tc>
        <w:tc>
          <w:tcPr>
            <w:tcW w:w="0" w:type="auto"/>
            <w:tcBorders>
              <w:top w:val="nil"/>
              <w:bottom w:val="single" w:sz="4" w:space="0" w:color="auto"/>
            </w:tcBorders>
            <w:vAlign w:val="center"/>
            <w:hideMark/>
          </w:tcPr>
          <w:p w14:paraId="5887344D" w14:textId="77777777" w:rsidR="004B7D90" w:rsidRPr="00006F50" w:rsidRDefault="004B7D90" w:rsidP="008610EE">
            <w:pPr>
              <w:spacing w:beforeLines="0" w:before="0" w:afterLines="0" w:after="0"/>
              <w:jc w:val="center"/>
              <w:rPr>
                <w:rFonts w:eastAsia="宋体"/>
                <w:sz w:val="18"/>
              </w:rPr>
            </w:pPr>
            <w:r w:rsidRPr="00006F50">
              <w:rPr>
                <w:rFonts w:eastAsia="宋体"/>
                <w:sz w:val="18"/>
              </w:rPr>
              <w:t>说明</w:t>
            </w:r>
          </w:p>
        </w:tc>
      </w:tr>
      <w:tr w:rsidR="004B7D90" w:rsidRPr="00006F50" w14:paraId="799D8892" w14:textId="77777777" w:rsidTr="008610EE">
        <w:trPr>
          <w:tblCellSpacing w:w="15" w:type="dxa"/>
          <w:jc w:val="center"/>
        </w:trPr>
        <w:tc>
          <w:tcPr>
            <w:tcW w:w="0" w:type="auto"/>
            <w:vAlign w:val="center"/>
            <w:hideMark/>
          </w:tcPr>
          <w:p w14:paraId="344265D6" w14:textId="77777777" w:rsidR="004B7D90" w:rsidRPr="00006F50" w:rsidRDefault="004B7D90" w:rsidP="008610EE">
            <w:pPr>
              <w:spacing w:beforeLines="0" w:before="0" w:afterLines="0" w:after="0"/>
              <w:jc w:val="center"/>
              <w:rPr>
                <w:rFonts w:eastAsia="宋体"/>
                <w:sz w:val="18"/>
              </w:rPr>
            </w:pPr>
            <w:r w:rsidRPr="00006F50">
              <w:rPr>
                <w:rFonts w:eastAsia="宋体"/>
                <w:sz w:val="18"/>
              </w:rPr>
              <w:t>研究区基础</w:t>
            </w:r>
          </w:p>
        </w:tc>
        <w:tc>
          <w:tcPr>
            <w:tcW w:w="0" w:type="auto"/>
            <w:vAlign w:val="center"/>
            <w:hideMark/>
          </w:tcPr>
          <w:p w14:paraId="7249861A"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钻孔数量</w:t>
            </w:r>
          </w:p>
        </w:tc>
        <w:tc>
          <w:tcPr>
            <w:tcW w:w="0" w:type="auto"/>
            <w:vAlign w:val="center"/>
            <w:hideMark/>
          </w:tcPr>
          <w:p w14:paraId="09AA789A" w14:textId="77777777" w:rsidR="004B7D90" w:rsidRPr="00006F50" w:rsidRDefault="004B7D90" w:rsidP="008610EE">
            <w:pPr>
              <w:spacing w:beforeLines="0" w:before="0" w:afterLines="0" w:after="0"/>
              <w:jc w:val="center"/>
              <w:rPr>
                <w:rFonts w:eastAsia="宋体"/>
                <w:sz w:val="18"/>
              </w:rPr>
            </w:pPr>
            <w:r w:rsidRPr="00006F50">
              <w:rPr>
                <w:rFonts w:eastAsia="宋体"/>
                <w:sz w:val="18"/>
              </w:rPr>
              <w:t>15</w:t>
            </w:r>
          </w:p>
        </w:tc>
        <w:tc>
          <w:tcPr>
            <w:tcW w:w="0" w:type="auto"/>
            <w:vAlign w:val="center"/>
            <w:hideMark/>
          </w:tcPr>
          <w:p w14:paraId="6BE167D0" w14:textId="77777777" w:rsidR="004B7D90" w:rsidRPr="00006F50" w:rsidRDefault="004B7D90" w:rsidP="008610EE">
            <w:pPr>
              <w:spacing w:beforeLines="0" w:before="0" w:afterLines="0" w:after="0"/>
              <w:jc w:val="center"/>
              <w:rPr>
                <w:rFonts w:eastAsia="宋体"/>
                <w:sz w:val="18"/>
              </w:rPr>
            </w:pPr>
            <w:r w:rsidRPr="00006F50">
              <w:rPr>
                <w:rFonts w:eastAsia="宋体"/>
                <w:sz w:val="18"/>
              </w:rPr>
              <w:t>个</w:t>
            </w:r>
          </w:p>
        </w:tc>
        <w:tc>
          <w:tcPr>
            <w:tcW w:w="0" w:type="auto"/>
            <w:vAlign w:val="center"/>
            <w:hideMark/>
          </w:tcPr>
          <w:p w14:paraId="4158756C"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钻孔资料</w:t>
            </w:r>
          </w:p>
        </w:tc>
      </w:tr>
      <w:tr w:rsidR="004B7D90" w:rsidRPr="00006F50" w14:paraId="5BE69FC0" w14:textId="77777777" w:rsidTr="008610EE">
        <w:trPr>
          <w:tblCellSpacing w:w="15" w:type="dxa"/>
          <w:jc w:val="center"/>
        </w:trPr>
        <w:tc>
          <w:tcPr>
            <w:tcW w:w="0" w:type="auto"/>
            <w:vAlign w:val="center"/>
            <w:hideMark/>
          </w:tcPr>
          <w:p w14:paraId="2B8D4F2A" w14:textId="77777777" w:rsidR="004B7D90" w:rsidRPr="00006F50" w:rsidRDefault="004B7D90" w:rsidP="008610EE">
            <w:pPr>
              <w:spacing w:beforeLines="0" w:before="0" w:afterLines="0" w:after="0"/>
              <w:jc w:val="center"/>
              <w:rPr>
                <w:rFonts w:eastAsia="宋体"/>
                <w:sz w:val="18"/>
              </w:rPr>
            </w:pPr>
            <w:r w:rsidRPr="00006F50">
              <w:rPr>
                <w:rFonts w:eastAsia="宋体"/>
                <w:sz w:val="18"/>
              </w:rPr>
              <w:t>研究区基础</w:t>
            </w:r>
          </w:p>
        </w:tc>
        <w:tc>
          <w:tcPr>
            <w:tcW w:w="0" w:type="auto"/>
            <w:vAlign w:val="center"/>
            <w:hideMark/>
          </w:tcPr>
          <w:p w14:paraId="6722B720" w14:textId="77777777" w:rsidR="004B7D90" w:rsidRPr="00006F50" w:rsidRDefault="004B7D90" w:rsidP="008610EE">
            <w:pPr>
              <w:spacing w:beforeLines="0" w:before="0" w:afterLines="0" w:after="0"/>
              <w:jc w:val="center"/>
              <w:rPr>
                <w:rFonts w:eastAsia="宋体"/>
                <w:sz w:val="18"/>
              </w:rPr>
            </w:pPr>
            <w:r w:rsidRPr="00006F50">
              <w:rPr>
                <w:rFonts w:eastAsia="宋体"/>
                <w:sz w:val="18"/>
              </w:rPr>
              <w:t>原始边界面积</w:t>
            </w:r>
          </w:p>
        </w:tc>
        <w:tc>
          <w:tcPr>
            <w:tcW w:w="0" w:type="auto"/>
            <w:vAlign w:val="center"/>
            <w:hideMark/>
          </w:tcPr>
          <w:p w14:paraId="39D841A8" w14:textId="77777777" w:rsidR="004B7D90" w:rsidRPr="00006F50" w:rsidRDefault="004B7D90" w:rsidP="008610EE">
            <w:pPr>
              <w:spacing w:beforeLines="0" w:before="0" w:afterLines="0" w:after="0"/>
              <w:jc w:val="center"/>
              <w:rPr>
                <w:rFonts w:eastAsia="宋体"/>
                <w:sz w:val="18"/>
              </w:rPr>
            </w:pPr>
            <w:r w:rsidRPr="00006F50">
              <w:rPr>
                <w:rFonts w:eastAsia="宋体"/>
                <w:sz w:val="18"/>
              </w:rPr>
              <w:t>255250.00</w:t>
            </w:r>
          </w:p>
        </w:tc>
        <w:tc>
          <w:tcPr>
            <w:tcW w:w="0" w:type="auto"/>
            <w:vAlign w:val="center"/>
            <w:hideMark/>
          </w:tcPr>
          <w:p w14:paraId="385BAD9D" w14:textId="77777777" w:rsidR="004B7D90" w:rsidRPr="00006F50" w:rsidRDefault="004B7D90" w:rsidP="008610EE">
            <w:pPr>
              <w:spacing w:beforeLines="0" w:before="0" w:afterLines="0" w:after="0"/>
              <w:jc w:val="center"/>
              <w:rPr>
                <w:rFonts w:eastAsia="宋体"/>
                <w:sz w:val="18"/>
              </w:rPr>
            </w:pPr>
            <w:r w:rsidRPr="00006F50">
              <w:rPr>
                <w:rFonts w:eastAsia="宋体"/>
                <w:sz w:val="18"/>
              </w:rPr>
              <w:t>m²</w:t>
            </w:r>
          </w:p>
        </w:tc>
        <w:tc>
          <w:tcPr>
            <w:tcW w:w="0" w:type="auto"/>
            <w:vAlign w:val="center"/>
            <w:hideMark/>
          </w:tcPr>
          <w:p w14:paraId="302022DF" w14:textId="77777777" w:rsidR="004B7D90" w:rsidRPr="00006F50" w:rsidRDefault="004B7D90" w:rsidP="008610EE">
            <w:pPr>
              <w:spacing w:beforeLines="0" w:before="0" w:afterLines="0" w:after="0"/>
              <w:jc w:val="center"/>
              <w:rPr>
                <w:rFonts w:eastAsia="宋体"/>
                <w:sz w:val="18"/>
              </w:rPr>
            </w:pPr>
            <w:r w:rsidRPr="00006F50">
              <w:rPr>
                <w:rFonts w:eastAsia="宋体"/>
                <w:sz w:val="18"/>
              </w:rPr>
              <w:t>边界数据</w:t>
            </w:r>
          </w:p>
        </w:tc>
      </w:tr>
      <w:tr w:rsidR="004B7D90" w:rsidRPr="00006F50" w14:paraId="0AA4AD8B" w14:textId="77777777" w:rsidTr="008610EE">
        <w:trPr>
          <w:tblCellSpacing w:w="15" w:type="dxa"/>
          <w:jc w:val="center"/>
        </w:trPr>
        <w:tc>
          <w:tcPr>
            <w:tcW w:w="0" w:type="auto"/>
            <w:vAlign w:val="center"/>
            <w:hideMark/>
          </w:tcPr>
          <w:p w14:paraId="398B6151"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33212EBA"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煤层厚度最小值</w:t>
            </w:r>
          </w:p>
        </w:tc>
        <w:tc>
          <w:tcPr>
            <w:tcW w:w="0" w:type="auto"/>
            <w:vAlign w:val="center"/>
            <w:hideMark/>
          </w:tcPr>
          <w:p w14:paraId="1B0A684B" w14:textId="77777777" w:rsidR="004B7D90" w:rsidRPr="00006F50" w:rsidRDefault="004B7D90" w:rsidP="008610EE">
            <w:pPr>
              <w:spacing w:beforeLines="0" w:before="0" w:afterLines="0" w:after="0"/>
              <w:jc w:val="center"/>
              <w:rPr>
                <w:rFonts w:eastAsia="宋体"/>
                <w:sz w:val="18"/>
              </w:rPr>
            </w:pPr>
            <w:r w:rsidRPr="00006F50">
              <w:rPr>
                <w:rFonts w:eastAsia="宋体"/>
                <w:sz w:val="18"/>
              </w:rPr>
              <w:t>2.8</w:t>
            </w:r>
          </w:p>
        </w:tc>
        <w:tc>
          <w:tcPr>
            <w:tcW w:w="0" w:type="auto"/>
            <w:vAlign w:val="center"/>
            <w:hideMark/>
          </w:tcPr>
          <w:p w14:paraId="794FCD19"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057C3FB5"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钻孔样点</w:t>
            </w:r>
          </w:p>
        </w:tc>
      </w:tr>
      <w:tr w:rsidR="004B7D90" w:rsidRPr="00006F50" w14:paraId="7538B217" w14:textId="77777777" w:rsidTr="008610EE">
        <w:trPr>
          <w:tblCellSpacing w:w="15" w:type="dxa"/>
          <w:jc w:val="center"/>
        </w:trPr>
        <w:tc>
          <w:tcPr>
            <w:tcW w:w="0" w:type="auto"/>
            <w:vAlign w:val="center"/>
            <w:hideMark/>
          </w:tcPr>
          <w:p w14:paraId="6AA2561B"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70CE34E1"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煤层厚度最大值</w:t>
            </w:r>
          </w:p>
        </w:tc>
        <w:tc>
          <w:tcPr>
            <w:tcW w:w="0" w:type="auto"/>
            <w:vAlign w:val="center"/>
            <w:hideMark/>
          </w:tcPr>
          <w:p w14:paraId="31CF8B3C" w14:textId="77777777" w:rsidR="004B7D90" w:rsidRPr="00006F50" w:rsidRDefault="004B7D90" w:rsidP="008610EE">
            <w:pPr>
              <w:spacing w:beforeLines="0" w:before="0" w:afterLines="0" w:after="0"/>
              <w:jc w:val="center"/>
              <w:rPr>
                <w:rFonts w:eastAsia="宋体"/>
                <w:sz w:val="18"/>
              </w:rPr>
            </w:pPr>
            <w:r w:rsidRPr="00006F50">
              <w:rPr>
                <w:rFonts w:eastAsia="宋体"/>
                <w:sz w:val="18"/>
              </w:rPr>
              <w:t>4.8</w:t>
            </w:r>
          </w:p>
        </w:tc>
        <w:tc>
          <w:tcPr>
            <w:tcW w:w="0" w:type="auto"/>
            <w:vAlign w:val="center"/>
            <w:hideMark/>
          </w:tcPr>
          <w:p w14:paraId="021D3B11"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366FAC7B"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钻孔样点</w:t>
            </w:r>
          </w:p>
        </w:tc>
      </w:tr>
      <w:tr w:rsidR="004B7D90" w:rsidRPr="00006F50" w14:paraId="32FB86FC" w14:textId="77777777" w:rsidTr="008610EE">
        <w:trPr>
          <w:tblCellSpacing w:w="15" w:type="dxa"/>
          <w:jc w:val="center"/>
        </w:trPr>
        <w:tc>
          <w:tcPr>
            <w:tcW w:w="0" w:type="auto"/>
            <w:vAlign w:val="center"/>
            <w:hideMark/>
          </w:tcPr>
          <w:p w14:paraId="1B15112C"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12407F5B" w14:textId="77777777" w:rsidR="004B7D90" w:rsidRPr="00006F50" w:rsidRDefault="004B7D90" w:rsidP="008610EE">
            <w:pPr>
              <w:spacing w:beforeLines="0" w:before="0" w:afterLines="0" w:after="0"/>
              <w:jc w:val="center"/>
              <w:rPr>
                <w:rFonts w:eastAsia="宋体"/>
                <w:sz w:val="18"/>
              </w:rPr>
            </w:pPr>
            <w:r w:rsidRPr="00006F50">
              <w:rPr>
                <w:rFonts w:eastAsia="宋体"/>
                <w:sz w:val="18"/>
              </w:rPr>
              <w:t>煤层厚度平均值</w:t>
            </w:r>
          </w:p>
        </w:tc>
        <w:tc>
          <w:tcPr>
            <w:tcW w:w="0" w:type="auto"/>
            <w:vAlign w:val="center"/>
            <w:hideMark/>
          </w:tcPr>
          <w:p w14:paraId="4F628CA4" w14:textId="77777777" w:rsidR="004B7D90" w:rsidRPr="00006F50" w:rsidRDefault="004B7D90" w:rsidP="008610EE">
            <w:pPr>
              <w:spacing w:beforeLines="0" w:before="0" w:afterLines="0" w:after="0"/>
              <w:jc w:val="center"/>
              <w:rPr>
                <w:rFonts w:eastAsia="宋体"/>
                <w:sz w:val="18"/>
              </w:rPr>
            </w:pPr>
            <w:r w:rsidRPr="00006F50">
              <w:rPr>
                <w:rFonts w:eastAsia="宋体"/>
                <w:sz w:val="18"/>
              </w:rPr>
              <w:t>3.7933</w:t>
            </w:r>
          </w:p>
        </w:tc>
        <w:tc>
          <w:tcPr>
            <w:tcW w:w="0" w:type="auto"/>
            <w:vAlign w:val="center"/>
            <w:hideMark/>
          </w:tcPr>
          <w:p w14:paraId="12BA4D77"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103A9890" w14:textId="77777777" w:rsidR="004B7D90" w:rsidRPr="00006F50" w:rsidRDefault="004B7D90" w:rsidP="008610EE">
            <w:pPr>
              <w:spacing w:beforeLines="0" w:before="0" w:afterLines="0" w:after="0"/>
              <w:jc w:val="center"/>
              <w:rPr>
                <w:rFonts w:eastAsia="宋体"/>
                <w:sz w:val="18"/>
              </w:rPr>
            </w:pPr>
            <w:r w:rsidRPr="00006F50">
              <w:rPr>
                <w:rFonts w:eastAsia="宋体"/>
                <w:sz w:val="18"/>
              </w:rPr>
              <w:t>钻孔样点</w:t>
            </w:r>
          </w:p>
        </w:tc>
      </w:tr>
      <w:tr w:rsidR="004B7D90" w:rsidRPr="00006F50" w14:paraId="053D0202" w14:textId="77777777" w:rsidTr="008610EE">
        <w:trPr>
          <w:tblCellSpacing w:w="15" w:type="dxa"/>
          <w:jc w:val="center"/>
        </w:trPr>
        <w:tc>
          <w:tcPr>
            <w:tcW w:w="0" w:type="auto"/>
            <w:vAlign w:val="center"/>
            <w:hideMark/>
          </w:tcPr>
          <w:p w14:paraId="76762DA3" w14:textId="77777777" w:rsidR="004B7D90" w:rsidRPr="00006F50" w:rsidRDefault="004B7D90" w:rsidP="008610EE">
            <w:pPr>
              <w:spacing w:beforeLines="0" w:before="0" w:afterLines="0" w:after="0"/>
              <w:jc w:val="center"/>
              <w:rPr>
                <w:rFonts w:eastAsia="宋体"/>
                <w:sz w:val="18"/>
              </w:rPr>
            </w:pPr>
            <w:r w:rsidRPr="00006F50">
              <w:rPr>
                <w:rFonts w:eastAsia="宋体"/>
                <w:sz w:val="18"/>
              </w:rPr>
              <w:t>几何约束</w:t>
            </w:r>
          </w:p>
        </w:tc>
        <w:tc>
          <w:tcPr>
            <w:tcW w:w="0" w:type="auto"/>
            <w:vAlign w:val="center"/>
            <w:hideMark/>
          </w:tcPr>
          <w:p w14:paraId="2EC1B9FB" w14:textId="77777777" w:rsidR="004B7D90" w:rsidRPr="00006F50" w:rsidRDefault="004B7D90" w:rsidP="008610EE">
            <w:pPr>
              <w:spacing w:beforeLines="0" w:before="0" w:afterLines="0" w:after="0"/>
              <w:jc w:val="center"/>
              <w:rPr>
                <w:rFonts w:eastAsia="宋体"/>
                <w:sz w:val="18"/>
              </w:rPr>
            </w:pPr>
            <w:r w:rsidRPr="00006F50">
              <w:rPr>
                <w:rFonts w:eastAsia="宋体"/>
                <w:sz w:val="18"/>
              </w:rPr>
              <w:t>边界煤柱宽度</w:t>
            </w:r>
          </w:p>
        </w:tc>
        <w:tc>
          <w:tcPr>
            <w:tcW w:w="0" w:type="auto"/>
            <w:vAlign w:val="center"/>
            <w:hideMark/>
          </w:tcPr>
          <w:p w14:paraId="59089E16" w14:textId="77777777" w:rsidR="004B7D90" w:rsidRPr="00006F50" w:rsidRDefault="004B7D90" w:rsidP="008610EE">
            <w:pPr>
              <w:spacing w:beforeLines="0" w:before="0" w:afterLines="0" w:after="0"/>
              <w:jc w:val="center"/>
              <w:rPr>
                <w:rFonts w:eastAsia="宋体"/>
                <w:sz w:val="18"/>
              </w:rPr>
            </w:pPr>
            <w:r w:rsidRPr="00006F50">
              <w:rPr>
                <w:rFonts w:eastAsia="宋体"/>
                <w:sz w:val="18"/>
              </w:rPr>
              <w:t>30.0</w:t>
            </w:r>
          </w:p>
        </w:tc>
        <w:tc>
          <w:tcPr>
            <w:tcW w:w="0" w:type="auto"/>
            <w:vAlign w:val="center"/>
            <w:hideMark/>
          </w:tcPr>
          <w:p w14:paraId="3AA58BE8"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7BF51BEB"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规划约束</w:t>
            </w:r>
          </w:p>
        </w:tc>
      </w:tr>
      <w:tr w:rsidR="004B7D90" w:rsidRPr="00006F50" w14:paraId="11130047" w14:textId="77777777" w:rsidTr="008610EE">
        <w:trPr>
          <w:tblCellSpacing w:w="15" w:type="dxa"/>
          <w:jc w:val="center"/>
        </w:trPr>
        <w:tc>
          <w:tcPr>
            <w:tcW w:w="0" w:type="auto"/>
            <w:vAlign w:val="center"/>
            <w:hideMark/>
          </w:tcPr>
          <w:p w14:paraId="1082AF1E" w14:textId="77777777" w:rsidR="004B7D90" w:rsidRPr="00006F50" w:rsidRDefault="004B7D90" w:rsidP="008610EE">
            <w:pPr>
              <w:spacing w:beforeLines="0" w:before="0" w:afterLines="0" w:after="0"/>
              <w:jc w:val="center"/>
              <w:rPr>
                <w:rFonts w:eastAsia="宋体"/>
                <w:sz w:val="18"/>
              </w:rPr>
            </w:pPr>
            <w:r w:rsidRPr="00006F50">
              <w:rPr>
                <w:rFonts w:eastAsia="宋体"/>
                <w:sz w:val="18"/>
              </w:rPr>
              <w:t>几何约束</w:t>
            </w:r>
          </w:p>
        </w:tc>
        <w:tc>
          <w:tcPr>
            <w:tcW w:w="0" w:type="auto"/>
            <w:vAlign w:val="center"/>
            <w:hideMark/>
          </w:tcPr>
          <w:p w14:paraId="0084C1B5" w14:textId="77777777" w:rsidR="004B7D90" w:rsidRPr="00006F50" w:rsidRDefault="004B7D90" w:rsidP="008610EE">
            <w:pPr>
              <w:spacing w:beforeLines="0" w:before="0" w:afterLines="0" w:after="0"/>
              <w:jc w:val="center"/>
              <w:rPr>
                <w:rFonts w:eastAsia="宋体"/>
                <w:sz w:val="18"/>
              </w:rPr>
            </w:pPr>
            <w:r w:rsidRPr="00006F50">
              <w:rPr>
                <w:rFonts w:eastAsia="宋体"/>
                <w:sz w:val="18"/>
              </w:rPr>
              <w:t>区段煤柱宽度</w:t>
            </w:r>
          </w:p>
        </w:tc>
        <w:tc>
          <w:tcPr>
            <w:tcW w:w="0" w:type="auto"/>
            <w:vAlign w:val="center"/>
            <w:hideMark/>
          </w:tcPr>
          <w:p w14:paraId="0007EBE3" w14:textId="77777777" w:rsidR="004B7D90" w:rsidRPr="00006F50" w:rsidRDefault="004B7D90" w:rsidP="008610EE">
            <w:pPr>
              <w:spacing w:beforeLines="0" w:before="0" w:afterLines="0" w:after="0"/>
              <w:jc w:val="center"/>
              <w:rPr>
                <w:rFonts w:eastAsia="宋体"/>
                <w:sz w:val="18"/>
              </w:rPr>
            </w:pPr>
            <w:r w:rsidRPr="00006F50">
              <w:rPr>
                <w:rFonts w:eastAsia="宋体"/>
                <w:sz w:val="18"/>
              </w:rPr>
              <w:t>20.0</w:t>
            </w:r>
          </w:p>
        </w:tc>
        <w:tc>
          <w:tcPr>
            <w:tcW w:w="0" w:type="auto"/>
            <w:vAlign w:val="center"/>
            <w:hideMark/>
          </w:tcPr>
          <w:p w14:paraId="4AF1209B"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1F7CC80B"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规划约束</w:t>
            </w:r>
          </w:p>
        </w:tc>
      </w:tr>
      <w:tr w:rsidR="004B7D90" w:rsidRPr="00006F50" w14:paraId="46717A97" w14:textId="77777777" w:rsidTr="008610EE">
        <w:trPr>
          <w:tblCellSpacing w:w="15" w:type="dxa"/>
          <w:jc w:val="center"/>
        </w:trPr>
        <w:tc>
          <w:tcPr>
            <w:tcW w:w="0" w:type="auto"/>
            <w:vAlign w:val="center"/>
            <w:hideMark/>
          </w:tcPr>
          <w:p w14:paraId="20FE52B3"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57B76BA0" w14:textId="77777777" w:rsidR="004B7D90" w:rsidRPr="00006F50" w:rsidRDefault="004B7D90" w:rsidP="008610EE">
            <w:pPr>
              <w:spacing w:beforeLines="0" w:before="0" w:afterLines="0" w:after="0"/>
              <w:jc w:val="center"/>
              <w:rPr>
                <w:rFonts w:eastAsia="宋体"/>
                <w:sz w:val="18"/>
              </w:rPr>
            </w:pPr>
            <w:r w:rsidRPr="00006F50">
              <w:rPr>
                <w:rFonts w:eastAsia="宋体"/>
                <w:sz w:val="18"/>
              </w:rPr>
              <w:t>工作面宽度</w:t>
            </w:r>
          </w:p>
        </w:tc>
        <w:tc>
          <w:tcPr>
            <w:tcW w:w="0" w:type="auto"/>
            <w:vAlign w:val="center"/>
            <w:hideMark/>
          </w:tcPr>
          <w:p w14:paraId="32A8C7B8" w14:textId="77777777" w:rsidR="004B7D90" w:rsidRPr="00006F50" w:rsidRDefault="004B7D90" w:rsidP="008610EE">
            <w:pPr>
              <w:spacing w:beforeLines="0" w:before="0" w:afterLines="0" w:after="0"/>
              <w:jc w:val="center"/>
              <w:rPr>
                <w:rFonts w:eastAsia="宋体"/>
                <w:sz w:val="18"/>
              </w:rPr>
            </w:pPr>
            <w:r w:rsidRPr="00006F50">
              <w:rPr>
                <w:rFonts w:eastAsia="宋体"/>
                <w:sz w:val="18"/>
              </w:rPr>
              <w:t>120.0</w:t>
            </w:r>
          </w:p>
        </w:tc>
        <w:tc>
          <w:tcPr>
            <w:tcW w:w="0" w:type="auto"/>
            <w:vAlign w:val="center"/>
            <w:hideMark/>
          </w:tcPr>
          <w:p w14:paraId="1002BB95"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53E2FF85" w14:textId="77777777" w:rsidR="004B7D90" w:rsidRPr="00006F50" w:rsidRDefault="004B7D90" w:rsidP="008610EE">
            <w:pPr>
              <w:spacing w:beforeLines="0" w:before="0" w:afterLines="0" w:after="0"/>
              <w:jc w:val="center"/>
              <w:rPr>
                <w:rFonts w:eastAsia="宋体"/>
                <w:sz w:val="18"/>
              </w:rPr>
            </w:pPr>
            <w:r w:rsidRPr="00006F50">
              <w:rPr>
                <w:rFonts w:eastAsia="宋体"/>
                <w:sz w:val="18"/>
              </w:rPr>
              <w:t>设计参数</w:t>
            </w:r>
          </w:p>
        </w:tc>
      </w:tr>
      <w:tr w:rsidR="004B7D90" w:rsidRPr="00006F50" w14:paraId="4A719EF8" w14:textId="77777777" w:rsidTr="008610EE">
        <w:trPr>
          <w:tblCellSpacing w:w="15" w:type="dxa"/>
          <w:jc w:val="center"/>
        </w:trPr>
        <w:tc>
          <w:tcPr>
            <w:tcW w:w="0" w:type="auto"/>
            <w:vAlign w:val="center"/>
            <w:hideMark/>
          </w:tcPr>
          <w:p w14:paraId="0A78D491"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587F6CC1" w14:textId="77777777" w:rsidR="004B7D90" w:rsidRPr="00006F50" w:rsidRDefault="004B7D90" w:rsidP="008610EE">
            <w:pPr>
              <w:spacing w:beforeLines="0" w:before="0" w:afterLines="0" w:after="0"/>
              <w:jc w:val="center"/>
              <w:rPr>
                <w:rFonts w:eastAsia="宋体"/>
                <w:sz w:val="18"/>
              </w:rPr>
            </w:pPr>
            <w:r w:rsidRPr="00006F50">
              <w:rPr>
                <w:rFonts w:eastAsia="宋体"/>
                <w:sz w:val="18"/>
              </w:rPr>
              <w:t>单工作面几何长度规则</w:t>
            </w:r>
          </w:p>
        </w:tc>
        <w:tc>
          <w:tcPr>
            <w:tcW w:w="0" w:type="auto"/>
            <w:vAlign w:val="center"/>
            <w:hideMark/>
          </w:tcPr>
          <w:p w14:paraId="2B7C1D27" w14:textId="77777777" w:rsidR="004B7D90" w:rsidRPr="00006F50" w:rsidRDefault="004B7D90" w:rsidP="008610EE">
            <w:pPr>
              <w:spacing w:beforeLines="0" w:before="0" w:afterLines="0" w:after="0"/>
              <w:jc w:val="center"/>
              <w:rPr>
                <w:rFonts w:eastAsia="宋体"/>
                <w:sz w:val="18"/>
              </w:rPr>
            </w:pPr>
            <w:r w:rsidRPr="00006F50">
              <w:rPr>
                <w:rFonts w:eastAsia="宋体"/>
                <w:sz w:val="18"/>
              </w:rPr>
              <w:t>120</w:t>
            </w:r>
            <w:r w:rsidRPr="00006F50">
              <w:rPr>
                <w:rFonts w:eastAsia="宋体"/>
                <w:sz w:val="18"/>
              </w:rPr>
              <w:t>～</w:t>
            </w:r>
            <w:r w:rsidRPr="00006F50">
              <w:rPr>
                <w:rFonts w:eastAsia="宋体"/>
                <w:sz w:val="18"/>
              </w:rPr>
              <w:t>260</w:t>
            </w:r>
            <w:r w:rsidRPr="00006F50">
              <w:rPr>
                <w:rFonts w:eastAsia="宋体"/>
                <w:sz w:val="18"/>
              </w:rPr>
              <w:t>，推荐值</w:t>
            </w:r>
            <w:r w:rsidRPr="00006F50">
              <w:rPr>
                <w:rFonts w:eastAsia="宋体"/>
                <w:sz w:val="18"/>
              </w:rPr>
              <w:t>200</w:t>
            </w:r>
          </w:p>
        </w:tc>
        <w:tc>
          <w:tcPr>
            <w:tcW w:w="0" w:type="auto"/>
            <w:vAlign w:val="center"/>
            <w:hideMark/>
          </w:tcPr>
          <w:p w14:paraId="5377305E"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1E875FC4"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规划规则</w:t>
            </w:r>
          </w:p>
        </w:tc>
      </w:tr>
      <w:tr w:rsidR="004B7D90" w:rsidRPr="00006F50" w14:paraId="43FB1964" w14:textId="77777777" w:rsidTr="008610EE">
        <w:trPr>
          <w:tblCellSpacing w:w="15" w:type="dxa"/>
          <w:jc w:val="center"/>
        </w:trPr>
        <w:tc>
          <w:tcPr>
            <w:tcW w:w="0" w:type="auto"/>
            <w:vAlign w:val="center"/>
            <w:hideMark/>
          </w:tcPr>
          <w:p w14:paraId="03EC75DA"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2171D2EF" w14:textId="77777777" w:rsidR="004B7D90" w:rsidRPr="00006F50" w:rsidRDefault="004B7D90" w:rsidP="008610EE">
            <w:pPr>
              <w:spacing w:beforeLines="0" w:before="0" w:afterLines="0" w:after="0"/>
              <w:jc w:val="center"/>
              <w:rPr>
                <w:rFonts w:eastAsia="宋体"/>
                <w:sz w:val="18"/>
              </w:rPr>
            </w:pPr>
            <w:r w:rsidRPr="00006F50">
              <w:rPr>
                <w:rFonts w:eastAsia="宋体"/>
                <w:sz w:val="18"/>
              </w:rPr>
              <w:t>推进长度校核阈值</w:t>
            </w:r>
          </w:p>
        </w:tc>
        <w:tc>
          <w:tcPr>
            <w:tcW w:w="0" w:type="auto"/>
            <w:vAlign w:val="center"/>
            <w:hideMark/>
          </w:tcPr>
          <w:p w14:paraId="26B5F125" w14:textId="77777777" w:rsidR="004B7D90" w:rsidRPr="00006F50" w:rsidRDefault="004B7D90" w:rsidP="008610EE">
            <w:pPr>
              <w:spacing w:beforeLines="0" w:before="0" w:afterLines="0" w:after="0"/>
              <w:jc w:val="center"/>
              <w:rPr>
                <w:rFonts w:eastAsia="宋体"/>
                <w:sz w:val="18"/>
              </w:rPr>
            </w:pPr>
            <w:r w:rsidRPr="00006F50">
              <w:rPr>
                <w:rFonts w:eastAsia="宋体"/>
                <w:sz w:val="18"/>
              </w:rPr>
              <w:t>800.0</w:t>
            </w:r>
          </w:p>
        </w:tc>
        <w:tc>
          <w:tcPr>
            <w:tcW w:w="0" w:type="auto"/>
            <w:vAlign w:val="center"/>
            <w:hideMark/>
          </w:tcPr>
          <w:p w14:paraId="2CF0D582" w14:textId="77777777" w:rsidR="004B7D90" w:rsidRPr="00006F50" w:rsidRDefault="004B7D90" w:rsidP="008610EE">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2E3BB77E" w14:textId="77777777" w:rsidR="004B7D90" w:rsidRPr="00006F50" w:rsidRDefault="004B7D90" w:rsidP="008610EE">
            <w:pPr>
              <w:spacing w:beforeLines="0" w:before="0" w:afterLines="0" w:after="0"/>
              <w:jc w:val="center"/>
              <w:rPr>
                <w:rFonts w:eastAsia="宋体"/>
                <w:sz w:val="18"/>
              </w:rPr>
            </w:pPr>
            <w:r w:rsidRPr="00006F50">
              <w:rPr>
                <w:rFonts w:eastAsia="宋体"/>
                <w:sz w:val="18"/>
              </w:rPr>
              <w:t>规划规则</w:t>
            </w:r>
          </w:p>
        </w:tc>
      </w:tr>
      <w:tr w:rsidR="004B7D90" w:rsidRPr="00006F50" w14:paraId="423C0545" w14:textId="77777777" w:rsidTr="008610EE">
        <w:trPr>
          <w:tblCellSpacing w:w="15" w:type="dxa"/>
          <w:jc w:val="center"/>
        </w:trPr>
        <w:tc>
          <w:tcPr>
            <w:tcW w:w="0" w:type="auto"/>
            <w:vAlign w:val="center"/>
            <w:hideMark/>
          </w:tcPr>
          <w:p w14:paraId="1309E926" w14:textId="77777777" w:rsidR="004B7D90" w:rsidRPr="00006F50" w:rsidRDefault="004B7D90" w:rsidP="008610EE">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7E4205C8" w14:textId="77777777" w:rsidR="004B7D90" w:rsidRPr="00006F50" w:rsidRDefault="004B7D90" w:rsidP="008610EE">
            <w:pPr>
              <w:spacing w:beforeLines="0" w:before="0" w:afterLines="0" w:after="0"/>
              <w:jc w:val="center"/>
              <w:rPr>
                <w:rFonts w:eastAsia="宋体"/>
                <w:sz w:val="18"/>
              </w:rPr>
            </w:pPr>
            <w:r w:rsidRPr="00006F50">
              <w:rPr>
                <w:rFonts w:eastAsia="宋体"/>
                <w:sz w:val="18"/>
              </w:rPr>
              <w:t>推进方向</w:t>
            </w:r>
          </w:p>
        </w:tc>
        <w:tc>
          <w:tcPr>
            <w:tcW w:w="0" w:type="auto"/>
            <w:vAlign w:val="center"/>
            <w:hideMark/>
          </w:tcPr>
          <w:p w14:paraId="45E4C596" w14:textId="77777777" w:rsidR="004B7D90" w:rsidRPr="00006F50" w:rsidRDefault="004B7D90" w:rsidP="008610EE">
            <w:pPr>
              <w:spacing w:beforeLines="0" w:before="0" w:afterLines="0" w:after="0"/>
              <w:jc w:val="center"/>
              <w:rPr>
                <w:rFonts w:eastAsia="宋体"/>
                <w:sz w:val="18"/>
              </w:rPr>
            </w:pPr>
            <w:r w:rsidRPr="00006F50">
              <w:rPr>
                <w:rFonts w:eastAsia="宋体"/>
                <w:sz w:val="18"/>
              </w:rPr>
              <w:t>走向长壁布置，走向</w:t>
            </w:r>
            <w:r w:rsidRPr="00006F50">
              <w:rPr>
                <w:rFonts w:eastAsia="宋体"/>
                <w:sz w:val="18"/>
              </w:rPr>
              <w:t>180.0°</w:t>
            </w:r>
          </w:p>
        </w:tc>
        <w:tc>
          <w:tcPr>
            <w:tcW w:w="0" w:type="auto"/>
            <w:vAlign w:val="center"/>
            <w:hideMark/>
          </w:tcPr>
          <w:p w14:paraId="747CF61D"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78FAA294" w14:textId="77777777" w:rsidR="004B7D90" w:rsidRPr="00006F50" w:rsidRDefault="004B7D90" w:rsidP="008610EE">
            <w:pPr>
              <w:spacing w:beforeLines="0" w:before="0" w:afterLines="0" w:after="0"/>
              <w:jc w:val="center"/>
              <w:rPr>
                <w:rFonts w:eastAsia="宋体"/>
                <w:sz w:val="18"/>
              </w:rPr>
            </w:pPr>
            <w:r w:rsidRPr="00006F50">
              <w:rPr>
                <w:rFonts w:eastAsia="宋体"/>
                <w:sz w:val="18"/>
              </w:rPr>
              <w:t>设计结果</w:t>
            </w:r>
          </w:p>
        </w:tc>
      </w:tr>
      <w:tr w:rsidR="004B7D90" w:rsidRPr="00006F50" w14:paraId="15C2F6B4" w14:textId="77777777" w:rsidTr="008610EE">
        <w:trPr>
          <w:tblCellSpacing w:w="15" w:type="dxa"/>
          <w:jc w:val="center"/>
        </w:trPr>
        <w:tc>
          <w:tcPr>
            <w:tcW w:w="0" w:type="auto"/>
            <w:vAlign w:val="center"/>
            <w:hideMark/>
          </w:tcPr>
          <w:p w14:paraId="13A30B80" w14:textId="77777777" w:rsidR="004B7D90" w:rsidRPr="00006F50" w:rsidRDefault="004B7D90" w:rsidP="008610EE">
            <w:pPr>
              <w:spacing w:beforeLines="0" w:before="0" w:afterLines="0" w:after="0"/>
              <w:jc w:val="center"/>
              <w:rPr>
                <w:rFonts w:eastAsia="宋体"/>
                <w:sz w:val="18"/>
              </w:rPr>
            </w:pPr>
            <w:r w:rsidRPr="00006F50">
              <w:rPr>
                <w:rFonts w:eastAsia="宋体"/>
                <w:sz w:val="18"/>
              </w:rPr>
              <w:t>扰动参数</w:t>
            </w:r>
          </w:p>
        </w:tc>
        <w:tc>
          <w:tcPr>
            <w:tcW w:w="0" w:type="auto"/>
            <w:vAlign w:val="center"/>
            <w:hideMark/>
          </w:tcPr>
          <w:p w14:paraId="70FCE266" w14:textId="77777777" w:rsidR="004B7D90" w:rsidRPr="00006F50" w:rsidRDefault="004B7D90" w:rsidP="008610EE">
            <w:pPr>
              <w:spacing w:beforeLines="0" w:before="0" w:afterLines="0" w:after="0"/>
              <w:jc w:val="center"/>
              <w:rPr>
                <w:rFonts w:eastAsia="宋体"/>
                <w:sz w:val="18"/>
              </w:rPr>
            </w:pPr>
            <w:r w:rsidRPr="00006F50">
              <w:rPr>
                <w:rFonts w:eastAsia="宋体"/>
                <w:sz w:val="18"/>
              </w:rPr>
              <w:t>ODI</w:t>
            </w:r>
            <w:r w:rsidRPr="00006F50">
              <w:rPr>
                <w:rFonts w:eastAsia="宋体"/>
                <w:sz w:val="18"/>
              </w:rPr>
              <w:t>权重</w:t>
            </w:r>
          </w:p>
        </w:tc>
        <w:tc>
          <w:tcPr>
            <w:tcW w:w="0" w:type="auto"/>
            <w:vAlign w:val="center"/>
            <w:hideMark/>
          </w:tcPr>
          <w:p w14:paraId="30864609" w14:textId="77777777" w:rsidR="004B7D90" w:rsidRPr="00006F50" w:rsidRDefault="004B7D90" w:rsidP="008610EE">
            <w:pPr>
              <w:spacing w:beforeLines="0" w:before="0" w:afterLines="0" w:after="0"/>
              <w:jc w:val="center"/>
              <w:rPr>
                <w:rFonts w:eastAsia="宋体"/>
                <w:sz w:val="18"/>
              </w:rPr>
            </w:pPr>
            <w:r w:rsidRPr="00006F50">
              <w:rPr>
                <w:rFonts w:eastAsia="宋体"/>
                <w:sz w:val="18"/>
              </w:rPr>
              <w:t>0.45/0.30/0.25</w:t>
            </w:r>
          </w:p>
        </w:tc>
        <w:tc>
          <w:tcPr>
            <w:tcW w:w="0" w:type="auto"/>
            <w:vAlign w:val="center"/>
            <w:hideMark/>
          </w:tcPr>
          <w:p w14:paraId="2A399F29"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7F9BC434" w14:textId="77777777" w:rsidR="004B7D90" w:rsidRPr="00006F50" w:rsidRDefault="004B7D90" w:rsidP="008610EE">
            <w:pPr>
              <w:spacing w:beforeLines="0" w:before="0" w:afterLines="0" w:after="0"/>
              <w:jc w:val="center"/>
              <w:rPr>
                <w:rFonts w:eastAsia="宋体"/>
                <w:sz w:val="18"/>
              </w:rPr>
            </w:pPr>
            <w:r w:rsidRPr="00006F50">
              <w:rPr>
                <w:rFonts w:eastAsia="宋体"/>
                <w:sz w:val="18"/>
              </w:rPr>
              <w:t>地表沉陷</w:t>
            </w:r>
            <w:r w:rsidRPr="00006F50">
              <w:rPr>
                <w:rFonts w:eastAsia="宋体"/>
                <w:sz w:val="18"/>
              </w:rPr>
              <w:t>/</w:t>
            </w:r>
            <w:r w:rsidRPr="00006F50">
              <w:rPr>
                <w:rFonts w:eastAsia="宋体"/>
                <w:sz w:val="18"/>
              </w:rPr>
              <w:t>含水层扰动</w:t>
            </w:r>
            <w:r w:rsidRPr="00006F50">
              <w:rPr>
                <w:rFonts w:eastAsia="宋体"/>
                <w:sz w:val="18"/>
              </w:rPr>
              <w:t>/</w:t>
            </w:r>
            <w:r w:rsidRPr="00006F50">
              <w:rPr>
                <w:rFonts w:eastAsia="宋体"/>
                <w:sz w:val="18"/>
              </w:rPr>
              <w:t>上行开采</w:t>
            </w:r>
          </w:p>
        </w:tc>
      </w:tr>
      <w:tr w:rsidR="004B7D90" w:rsidRPr="00006F50" w14:paraId="46CD8D5D" w14:textId="77777777" w:rsidTr="008610EE">
        <w:trPr>
          <w:tblCellSpacing w:w="15" w:type="dxa"/>
          <w:jc w:val="center"/>
        </w:trPr>
        <w:tc>
          <w:tcPr>
            <w:tcW w:w="0" w:type="auto"/>
            <w:vAlign w:val="center"/>
            <w:hideMark/>
          </w:tcPr>
          <w:p w14:paraId="737F1BF2" w14:textId="77777777" w:rsidR="004B7D90" w:rsidRPr="00006F50" w:rsidRDefault="004B7D90" w:rsidP="008610EE">
            <w:pPr>
              <w:spacing w:beforeLines="0" w:before="0" w:afterLines="0" w:after="0"/>
              <w:jc w:val="center"/>
              <w:rPr>
                <w:rFonts w:eastAsia="宋体"/>
                <w:sz w:val="18"/>
              </w:rPr>
            </w:pPr>
            <w:r w:rsidRPr="00006F50">
              <w:rPr>
                <w:rFonts w:eastAsia="宋体"/>
                <w:sz w:val="18"/>
              </w:rPr>
              <w:t>扰动参数</w:t>
            </w:r>
          </w:p>
        </w:tc>
        <w:tc>
          <w:tcPr>
            <w:tcW w:w="0" w:type="auto"/>
            <w:vAlign w:val="center"/>
            <w:hideMark/>
          </w:tcPr>
          <w:p w14:paraId="6E601AD5" w14:textId="77777777" w:rsidR="004B7D90" w:rsidRPr="00006F50" w:rsidRDefault="004B7D90" w:rsidP="008610EE">
            <w:pPr>
              <w:spacing w:beforeLines="0" w:before="0" w:afterLines="0" w:after="0"/>
              <w:jc w:val="center"/>
              <w:rPr>
                <w:rFonts w:eastAsia="宋体"/>
                <w:sz w:val="18"/>
              </w:rPr>
            </w:pPr>
            <w:r w:rsidRPr="00006F50">
              <w:rPr>
                <w:rFonts w:eastAsia="宋体"/>
                <w:sz w:val="18"/>
              </w:rPr>
              <w:t>ODI</w:t>
            </w:r>
            <w:r w:rsidRPr="00006F50">
              <w:rPr>
                <w:rFonts w:eastAsia="宋体"/>
                <w:sz w:val="18"/>
              </w:rPr>
              <w:t>统计阈值</w:t>
            </w:r>
          </w:p>
        </w:tc>
        <w:tc>
          <w:tcPr>
            <w:tcW w:w="0" w:type="auto"/>
            <w:vAlign w:val="center"/>
            <w:hideMark/>
          </w:tcPr>
          <w:p w14:paraId="77F24A66" w14:textId="77777777" w:rsidR="004B7D90" w:rsidRPr="00006F50" w:rsidRDefault="004B7D90" w:rsidP="008610EE">
            <w:pPr>
              <w:spacing w:beforeLines="0" w:before="0" w:afterLines="0" w:after="0"/>
              <w:jc w:val="center"/>
              <w:rPr>
                <w:rFonts w:eastAsia="宋体"/>
                <w:sz w:val="18"/>
              </w:rPr>
            </w:pPr>
            <w:r w:rsidRPr="00006F50">
              <w:rPr>
                <w:rFonts w:eastAsia="宋体"/>
                <w:sz w:val="18"/>
              </w:rPr>
              <w:t>0.70</w:t>
            </w:r>
            <w:r w:rsidRPr="00006F50">
              <w:rPr>
                <w:rFonts w:eastAsia="宋体"/>
                <w:sz w:val="18"/>
              </w:rPr>
              <w:t>、</w:t>
            </w:r>
            <w:r w:rsidRPr="00006F50">
              <w:rPr>
                <w:rFonts w:eastAsia="宋体"/>
                <w:sz w:val="18"/>
              </w:rPr>
              <w:t>0.80</w:t>
            </w:r>
          </w:p>
        </w:tc>
        <w:tc>
          <w:tcPr>
            <w:tcW w:w="0" w:type="auto"/>
            <w:vAlign w:val="center"/>
            <w:hideMark/>
          </w:tcPr>
          <w:p w14:paraId="251D0FFC"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66FB03CC" w14:textId="77777777" w:rsidR="004B7D90" w:rsidRPr="00006F50" w:rsidRDefault="004B7D90" w:rsidP="008610EE">
            <w:pPr>
              <w:spacing w:beforeLines="0" w:before="0" w:afterLines="0" w:after="0"/>
              <w:jc w:val="center"/>
              <w:rPr>
                <w:rFonts w:eastAsia="宋体"/>
                <w:sz w:val="18"/>
              </w:rPr>
            </w:pPr>
            <w:r w:rsidRPr="00006F50">
              <w:rPr>
                <w:rFonts w:eastAsia="宋体"/>
                <w:sz w:val="18"/>
              </w:rPr>
              <w:t>方案风险统计</w:t>
            </w:r>
          </w:p>
        </w:tc>
      </w:tr>
      <w:tr w:rsidR="004B7D90" w:rsidRPr="00006F50" w14:paraId="7F140155" w14:textId="77777777" w:rsidTr="008610EE">
        <w:trPr>
          <w:tblCellSpacing w:w="15" w:type="dxa"/>
          <w:jc w:val="center"/>
        </w:trPr>
        <w:tc>
          <w:tcPr>
            <w:tcW w:w="0" w:type="auto"/>
            <w:vAlign w:val="center"/>
            <w:hideMark/>
          </w:tcPr>
          <w:p w14:paraId="56B503F9" w14:textId="77777777" w:rsidR="004B7D90" w:rsidRPr="00006F50" w:rsidRDefault="004B7D90" w:rsidP="008610EE">
            <w:pPr>
              <w:spacing w:beforeLines="0" w:before="0" w:afterLines="0" w:after="0"/>
              <w:jc w:val="center"/>
              <w:rPr>
                <w:rFonts w:eastAsia="宋体"/>
                <w:sz w:val="18"/>
              </w:rPr>
            </w:pPr>
            <w:r w:rsidRPr="00006F50">
              <w:rPr>
                <w:rFonts w:eastAsia="宋体"/>
                <w:sz w:val="18"/>
              </w:rPr>
              <w:t>网格参数</w:t>
            </w:r>
          </w:p>
        </w:tc>
        <w:tc>
          <w:tcPr>
            <w:tcW w:w="0" w:type="auto"/>
            <w:vAlign w:val="center"/>
            <w:hideMark/>
          </w:tcPr>
          <w:p w14:paraId="79664377" w14:textId="77777777" w:rsidR="004B7D90" w:rsidRPr="00006F50" w:rsidRDefault="004B7D90" w:rsidP="008610EE">
            <w:pPr>
              <w:spacing w:beforeLines="0" w:before="0" w:afterLines="0" w:after="0"/>
              <w:jc w:val="center"/>
              <w:rPr>
                <w:rFonts w:eastAsia="宋体"/>
                <w:sz w:val="18"/>
              </w:rPr>
            </w:pPr>
            <w:r w:rsidRPr="00006F50">
              <w:rPr>
                <w:rFonts w:eastAsia="宋体"/>
                <w:sz w:val="18"/>
              </w:rPr>
              <w:t>ODI</w:t>
            </w:r>
            <w:r w:rsidRPr="00006F50">
              <w:rPr>
                <w:rFonts w:eastAsia="宋体"/>
                <w:sz w:val="18"/>
              </w:rPr>
              <w:t>场网格规模</w:t>
            </w:r>
          </w:p>
        </w:tc>
        <w:tc>
          <w:tcPr>
            <w:tcW w:w="0" w:type="auto"/>
            <w:vAlign w:val="center"/>
            <w:hideMark/>
          </w:tcPr>
          <w:p w14:paraId="63372E87" w14:textId="77777777" w:rsidR="004B7D90" w:rsidRPr="00006F50" w:rsidRDefault="004B7D90" w:rsidP="008610EE">
            <w:pPr>
              <w:spacing w:beforeLines="0" w:before="0" w:afterLines="0" w:after="0"/>
              <w:jc w:val="center"/>
              <w:rPr>
                <w:rFonts w:eastAsia="宋体"/>
                <w:sz w:val="18"/>
              </w:rPr>
            </w:pPr>
            <w:r w:rsidRPr="00006F50">
              <w:rPr>
                <w:rFonts w:eastAsia="宋体"/>
                <w:sz w:val="18"/>
              </w:rPr>
              <w:t>80×56</w:t>
            </w:r>
          </w:p>
        </w:tc>
        <w:tc>
          <w:tcPr>
            <w:tcW w:w="0" w:type="auto"/>
            <w:vAlign w:val="center"/>
            <w:hideMark/>
          </w:tcPr>
          <w:p w14:paraId="5700EC73" w14:textId="77777777" w:rsidR="004B7D90" w:rsidRPr="00006F50" w:rsidRDefault="004B7D90" w:rsidP="008610EE">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597BD7D6" w14:textId="77777777" w:rsidR="004B7D90" w:rsidRPr="00006F50" w:rsidRDefault="004B7D90" w:rsidP="008610EE">
            <w:pPr>
              <w:spacing w:beforeLines="0" w:before="0" w:afterLines="0" w:after="0"/>
              <w:jc w:val="center"/>
              <w:rPr>
                <w:rFonts w:eastAsia="宋体"/>
                <w:sz w:val="18"/>
              </w:rPr>
            </w:pPr>
            <w:r w:rsidRPr="00006F50">
              <w:rPr>
                <w:rFonts w:eastAsia="宋体"/>
                <w:sz w:val="18"/>
              </w:rPr>
              <w:t>共</w:t>
            </w:r>
            <w:r w:rsidRPr="00006F50">
              <w:rPr>
                <w:rFonts w:eastAsia="宋体"/>
                <w:sz w:val="18"/>
              </w:rPr>
              <w:t>4480</w:t>
            </w:r>
            <w:r w:rsidRPr="00006F50">
              <w:rPr>
                <w:rFonts w:eastAsia="宋体"/>
                <w:sz w:val="18"/>
              </w:rPr>
              <w:t>个栅格</w:t>
            </w:r>
          </w:p>
        </w:tc>
      </w:tr>
    </w:tbl>
    <w:p w14:paraId="1053C485"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714FC027" w14:textId="77777777" w:rsidR="004B7D90" w:rsidRPr="004B7D90" w:rsidRDefault="004B7D90" w:rsidP="004B7D90">
      <w:pPr>
        <w:pStyle w:val="100"/>
        <w:ind w:firstLine="420"/>
      </w:pPr>
      <w:r w:rsidRPr="004B7D90">
        <w:t>表</w:t>
      </w:r>
      <w:r w:rsidRPr="004B7D90">
        <w:t>2</w:t>
      </w:r>
      <w:r w:rsidRPr="004B7D90">
        <w:t>中的边界、煤柱、工作面宽度和推进方向等参数共同决定候选方案的几何可实施性；煤层厚度样点用于构建资源属性场；</w:t>
      </w:r>
      <w:r w:rsidRPr="004B7D90">
        <w:t>ODI</w:t>
      </w:r>
      <w:r w:rsidRPr="004B7D90">
        <w:t>权重和统计阈值用于综合扰动场构建及方案级风险统计。后续连续参数场、综合</w:t>
      </w:r>
      <w:r w:rsidRPr="004B7D90">
        <w:t>ODI</w:t>
      </w:r>
      <w:r w:rsidRPr="004B7D90">
        <w:t>场和</w:t>
      </w:r>
      <w:r w:rsidRPr="004B7D90">
        <w:t>A/B/C</w:t>
      </w:r>
      <w:r w:rsidRPr="004B7D90">
        <w:t>方案比较均在上述统一输入条件下完成。</w:t>
      </w:r>
    </w:p>
    <w:p w14:paraId="1564A0E3" w14:textId="77777777" w:rsidR="004B7D90" w:rsidRPr="004B7D90" w:rsidRDefault="004B7D90" w:rsidP="00DF00E8">
      <w:pPr>
        <w:pStyle w:val="12"/>
      </w:pPr>
      <w:r w:rsidRPr="004B7D90">
        <w:t xml:space="preserve">4.2 </w:t>
      </w:r>
      <w:r w:rsidRPr="004B7D90">
        <w:t>采区地质模型与综合</w:t>
      </w:r>
      <w:r w:rsidRPr="004B7D90">
        <w:t>ODI</w:t>
      </w:r>
      <w:r w:rsidRPr="004B7D90">
        <w:t>场构建结果</w:t>
      </w:r>
    </w:p>
    <w:p w14:paraId="507CD40B" w14:textId="66B5B6E0" w:rsidR="004B7D90" w:rsidRPr="004B7D90" w:rsidRDefault="004B7D90" w:rsidP="004B7D90">
      <w:pPr>
        <w:pStyle w:val="100"/>
        <w:ind w:firstLine="420"/>
      </w:pPr>
      <w:r w:rsidRPr="004B7D90">
        <w:t>在研究区边界和钻孔样点确定后，采用反距离加权法对煤层厚度样点进行插值，并依据有效布置域进行裁剪，得到煤层厚度连续参数场。其结果如</w:t>
      </w:r>
      <w:r w:rsidR="008419FD">
        <w:fldChar w:fldCharType="begin"/>
      </w:r>
      <w:r w:rsidR="008419FD">
        <w:instrText xml:space="preserve"> REF _Ref227925888 \h </w:instrText>
      </w:r>
      <w:r w:rsidR="008419FD">
        <w:fldChar w:fldCharType="separate"/>
      </w:r>
      <w:r w:rsidR="008419FD">
        <w:rPr>
          <w:rFonts w:hint="eastAsia"/>
        </w:rPr>
        <w:t>图</w:t>
      </w:r>
      <w:r w:rsidR="008419FD">
        <w:rPr>
          <w:noProof/>
        </w:rPr>
        <w:t>6</w:t>
      </w:r>
      <w:r w:rsidR="008419FD">
        <w:fldChar w:fldCharType="end"/>
      </w:r>
      <w:r w:rsidRPr="004B7D90">
        <w:t>所示。</w:t>
      </w:r>
    </w:p>
    <w:p w14:paraId="608E8144" w14:textId="77777777" w:rsidR="004B7D90" w:rsidRDefault="004B7D90" w:rsidP="004B7D90">
      <w:pPr>
        <w:pStyle w:val="aff"/>
        <w:sectPr w:rsidR="004B7D90" w:rsidSect="00A07DBF">
          <w:type w:val="continuous"/>
          <w:pgSz w:w="11906" w:h="16838"/>
          <w:pgMar w:top="1418" w:right="1134" w:bottom="1134" w:left="1134" w:header="720" w:footer="720" w:gutter="0"/>
          <w:cols w:num="2" w:space="720"/>
          <w:docGrid w:linePitch="598"/>
        </w:sectPr>
      </w:pPr>
    </w:p>
    <w:p w14:paraId="7CB23003" w14:textId="77777777" w:rsidR="004B7D90" w:rsidRDefault="004B7D90" w:rsidP="004B7D90">
      <w:pPr>
        <w:pStyle w:val="aff"/>
      </w:pPr>
      <w:r>
        <w:rPr>
          <w:noProof/>
        </w:rPr>
        <w:drawing>
          <wp:inline distT="0" distB="0" distL="0" distR="0" wp14:anchorId="3A10D1E3" wp14:editId="3250CB28">
            <wp:extent cx="5778000" cy="1451303"/>
            <wp:effectExtent l="0" t="0" r="0" b="0"/>
            <wp:docPr id="867351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8000" cy="1451303"/>
                    </a:xfrm>
                    <a:prstGeom prst="rect">
                      <a:avLst/>
                    </a:prstGeom>
                    <a:noFill/>
                    <a:ln>
                      <a:noFill/>
                    </a:ln>
                  </pic:spPr>
                </pic:pic>
              </a:graphicData>
            </a:graphic>
          </wp:inline>
        </w:drawing>
      </w:r>
    </w:p>
    <w:p w14:paraId="5AE8EE15" w14:textId="7D95EE90" w:rsidR="004B7D90" w:rsidRDefault="004B7D90" w:rsidP="004B7D90">
      <w:pPr>
        <w:pStyle w:val="14"/>
      </w:pPr>
      <w:bookmarkStart w:id="6" w:name="_Ref22792588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6</w:t>
      </w:r>
      <w:r>
        <w:fldChar w:fldCharType="end"/>
      </w:r>
      <w:bookmarkEnd w:id="6"/>
      <w:r>
        <w:rPr>
          <w:rFonts w:hint="eastAsia"/>
        </w:rPr>
        <w:t xml:space="preserve"> </w:t>
      </w:r>
      <w:r w:rsidRPr="000E1681">
        <w:rPr>
          <w:rFonts w:hint="eastAsia"/>
        </w:rPr>
        <w:t>煤层厚度连续参数场及钻孔样点叠置图</w:t>
      </w:r>
    </w:p>
    <w:p w14:paraId="3502735F" w14:textId="50DA9024" w:rsidR="004B7D90" w:rsidRDefault="004B7D90" w:rsidP="004B7D90">
      <w:pPr>
        <w:pStyle w:val="14"/>
      </w:pPr>
      <w:r w:rsidRPr="00551567">
        <w:lastRenderedPageBreak/>
        <w:t>Fig.</w:t>
      </w:r>
      <w:r w:rsidR="008419FD">
        <w:rPr>
          <w:rFonts w:hint="eastAsia"/>
        </w:rPr>
        <w:t>6</w:t>
      </w:r>
      <w:r w:rsidRPr="00551567">
        <w:t xml:space="preserve"> </w:t>
      </w:r>
      <w:r w:rsidRPr="000E1681">
        <w:t>Continuous coal thickness field overlaid with borehole samples</w:t>
      </w:r>
    </w:p>
    <w:p w14:paraId="5601EF55"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46CEE0C6" w14:textId="5ED0B6B7" w:rsidR="004B7D90" w:rsidRPr="004B7D90" w:rsidRDefault="004B7D90" w:rsidP="004B7D90">
      <w:pPr>
        <w:pStyle w:val="100"/>
        <w:ind w:firstLine="420"/>
      </w:pPr>
      <w:r w:rsidRPr="004B7D90">
        <w:t>由</w:t>
      </w:r>
      <w:r w:rsidR="008419FD">
        <w:fldChar w:fldCharType="begin"/>
      </w:r>
      <w:r w:rsidR="008419FD">
        <w:instrText xml:space="preserve"> REF _Ref227925888 \h </w:instrText>
      </w:r>
      <w:r w:rsidR="008419FD">
        <w:fldChar w:fldCharType="separate"/>
      </w:r>
      <w:r w:rsidR="008419FD">
        <w:rPr>
          <w:rFonts w:hint="eastAsia"/>
        </w:rPr>
        <w:t>图</w:t>
      </w:r>
      <w:r w:rsidR="008419FD">
        <w:rPr>
          <w:noProof/>
        </w:rPr>
        <w:t>6</w:t>
      </w:r>
      <w:r w:rsidR="008419FD">
        <w:fldChar w:fldCharType="end"/>
      </w:r>
      <w:r w:rsidRPr="004B7D90">
        <w:t>可知，研究区煤层厚度在空间上存在一定非均质性，高厚度区域主要分布于</w:t>
      </w:r>
      <w:r w:rsidRPr="004B7D90">
        <w:t>ZK-106</w:t>
      </w:r>
      <w:r w:rsidRPr="004B7D90">
        <w:t>及其邻近区域，低厚度区域以</w:t>
      </w:r>
      <w:r w:rsidRPr="004B7D90">
        <w:t>ZK-107</w:t>
      </w:r>
      <w:r w:rsidRPr="004B7D90">
        <w:t>附近较为明显。连续参数场的建立使煤层厚度由离散钻孔属性转化为空间变量，可进一步参与候选方案的资源覆盖统计和方案比选。需要说明的是，本文重点展示煤层厚度场，其他地质属性可按照相同流</w:t>
      </w:r>
      <w:r w:rsidRPr="004B7D90">
        <w:t>程扩展进入规划评价。</w:t>
      </w:r>
    </w:p>
    <w:p w14:paraId="0991F38F" w14:textId="7AC1DB14" w:rsidR="004B7D90" w:rsidRPr="004B7D90" w:rsidRDefault="004B7D90" w:rsidP="004B7D90">
      <w:pPr>
        <w:pStyle w:val="100"/>
        <w:ind w:firstLine="420"/>
      </w:pPr>
      <w:r w:rsidRPr="004B7D90">
        <w:t>在连续参数场基础上，进一步将地表沉陷扰动、含水层扰动和上行开采扰动进行归一化处理，并按照</w:t>
      </w:r>
      <w:r w:rsidRPr="004B7D90">
        <w:t>0.45</w:t>
      </w:r>
      <w:r w:rsidRPr="004B7D90">
        <w:t>、</w:t>
      </w:r>
      <w:r w:rsidRPr="004B7D90">
        <w:t>0.30</w:t>
      </w:r>
      <w:r w:rsidRPr="004B7D90">
        <w:t>和</w:t>
      </w:r>
      <w:r w:rsidRPr="004B7D90">
        <w:t>0.25</w:t>
      </w:r>
      <w:r w:rsidRPr="004B7D90">
        <w:t>的权重进行综合，得到研究区综合</w:t>
      </w:r>
      <w:r w:rsidRPr="004B7D90">
        <w:t>ODI</w:t>
      </w:r>
      <w:r w:rsidRPr="004B7D90">
        <w:t>场。多场景扰动分量及综合</w:t>
      </w:r>
      <w:r w:rsidRPr="004B7D90">
        <w:t>ODI</w:t>
      </w:r>
      <w:r w:rsidRPr="004B7D90">
        <w:t>场分布如</w:t>
      </w:r>
      <w:r w:rsidR="008419FD">
        <w:fldChar w:fldCharType="begin"/>
      </w:r>
      <w:r w:rsidR="008419FD">
        <w:instrText xml:space="preserve"> REF _Ref227925903 \h </w:instrText>
      </w:r>
      <w:r w:rsidR="008419FD">
        <w:fldChar w:fldCharType="separate"/>
      </w:r>
      <w:r w:rsidR="008419FD">
        <w:rPr>
          <w:rFonts w:hint="eastAsia"/>
        </w:rPr>
        <w:t>图</w:t>
      </w:r>
      <w:r w:rsidR="008419FD">
        <w:rPr>
          <w:noProof/>
        </w:rPr>
        <w:t>7</w:t>
      </w:r>
      <w:r w:rsidR="008419FD">
        <w:fldChar w:fldCharType="end"/>
      </w:r>
      <w:r w:rsidRPr="004B7D90">
        <w:t>所示。</w:t>
      </w:r>
    </w:p>
    <w:p w14:paraId="2292FB2C" w14:textId="77777777" w:rsidR="004B7D90" w:rsidRDefault="004B7D90" w:rsidP="004B7D90">
      <w:pPr>
        <w:pStyle w:val="aff"/>
        <w:sectPr w:rsidR="004B7D90" w:rsidSect="00A07DBF">
          <w:type w:val="continuous"/>
          <w:pgSz w:w="11906" w:h="16838"/>
          <w:pgMar w:top="1418" w:right="1134" w:bottom="1134" w:left="1134" w:header="720" w:footer="720" w:gutter="0"/>
          <w:cols w:num="2" w:space="720"/>
          <w:docGrid w:linePitch="598"/>
        </w:sectPr>
      </w:pPr>
    </w:p>
    <w:p w14:paraId="1A6C20B7" w14:textId="77777777" w:rsidR="004B7D90" w:rsidRDefault="004B7D90" w:rsidP="004B7D90">
      <w:pPr>
        <w:pStyle w:val="aff"/>
      </w:pPr>
      <w:r>
        <w:rPr>
          <w:noProof/>
        </w:rPr>
        <w:drawing>
          <wp:inline distT="0" distB="0" distL="0" distR="0" wp14:anchorId="5D052D53" wp14:editId="2AA8A371">
            <wp:extent cx="5775892" cy="1363980"/>
            <wp:effectExtent l="0" t="0" r="0" b="7620"/>
            <wp:docPr id="6622613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674"/>
                    <a:stretch>
                      <a:fillRect/>
                    </a:stretch>
                  </pic:blipFill>
                  <pic:spPr bwMode="auto">
                    <a:xfrm>
                      <a:off x="0" y="0"/>
                      <a:ext cx="5778000" cy="1364478"/>
                    </a:xfrm>
                    <a:prstGeom prst="rect">
                      <a:avLst/>
                    </a:prstGeom>
                    <a:noFill/>
                    <a:ln>
                      <a:noFill/>
                    </a:ln>
                    <a:extLst>
                      <a:ext uri="{53640926-AAD7-44D8-BBD7-CCE9431645EC}">
                        <a14:shadowObscured xmlns:a14="http://schemas.microsoft.com/office/drawing/2010/main"/>
                      </a:ext>
                    </a:extLst>
                  </pic:spPr>
                </pic:pic>
              </a:graphicData>
            </a:graphic>
          </wp:inline>
        </w:drawing>
      </w:r>
    </w:p>
    <w:p w14:paraId="412FD1B7" w14:textId="549B51C2" w:rsidR="004B7D90" w:rsidRDefault="004B7D90" w:rsidP="004B7D90">
      <w:pPr>
        <w:pStyle w:val="14"/>
      </w:pPr>
      <w:bookmarkStart w:id="7" w:name="_Ref22792590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7</w:t>
      </w:r>
      <w:r>
        <w:fldChar w:fldCharType="end"/>
      </w:r>
      <w:bookmarkEnd w:id="7"/>
      <w:r>
        <w:rPr>
          <w:rFonts w:hint="eastAsia"/>
        </w:rPr>
        <w:t xml:space="preserve"> </w:t>
      </w:r>
      <w:r w:rsidRPr="000E1681">
        <w:t>多场景覆岩扰动分量与综合</w:t>
      </w:r>
      <w:r w:rsidRPr="000E1681">
        <w:t>ODI</w:t>
      </w:r>
      <w:r w:rsidRPr="000E1681">
        <w:t>场分布</w:t>
      </w:r>
    </w:p>
    <w:p w14:paraId="628D2D06" w14:textId="4A486BC5" w:rsidR="004B7D90" w:rsidRDefault="004B7D90" w:rsidP="004B7D90">
      <w:pPr>
        <w:pStyle w:val="14"/>
      </w:pPr>
      <w:r w:rsidRPr="00551567">
        <w:t>Fig.</w:t>
      </w:r>
      <w:r w:rsidR="008419FD">
        <w:rPr>
          <w:rFonts w:hint="eastAsia"/>
        </w:rPr>
        <w:t>7</w:t>
      </w:r>
      <w:r w:rsidRPr="00551567">
        <w:t xml:space="preserve"> </w:t>
      </w:r>
      <w:r w:rsidRPr="002D513A">
        <w:t>Distributions of multi-scenario overburden disturbance components and integrated ODI field</w:t>
      </w:r>
    </w:p>
    <w:p w14:paraId="7BBA87A5"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5FBCA66D" w14:textId="509667E9" w:rsidR="004B7D90" w:rsidRPr="004B7D90" w:rsidRDefault="004B7D90" w:rsidP="004B7D90">
      <w:pPr>
        <w:pStyle w:val="100"/>
        <w:ind w:firstLine="420"/>
      </w:pPr>
      <w:r w:rsidRPr="004B7D90">
        <w:t>由</w:t>
      </w:r>
      <w:r w:rsidR="008419FD">
        <w:fldChar w:fldCharType="begin"/>
      </w:r>
      <w:r w:rsidR="008419FD">
        <w:instrText xml:space="preserve"> REF _Ref227925903 \h </w:instrText>
      </w:r>
      <w:r w:rsidR="008419FD">
        <w:fldChar w:fldCharType="separate"/>
      </w:r>
      <w:r w:rsidR="008419FD">
        <w:rPr>
          <w:rFonts w:hint="eastAsia"/>
        </w:rPr>
        <w:t>图</w:t>
      </w:r>
      <w:r w:rsidR="008419FD">
        <w:rPr>
          <w:noProof/>
        </w:rPr>
        <w:t>7</w:t>
      </w:r>
      <w:r w:rsidR="008419FD">
        <w:fldChar w:fldCharType="end"/>
      </w:r>
      <w:r w:rsidRPr="004B7D90">
        <w:t>可见，不同扰动分量的高值区并不完全重合，说明地表沉陷、含水层扰动和上行开采风险具有不同的空间控制特征。综合</w:t>
      </w:r>
      <w:r w:rsidRPr="004B7D90">
        <w:t>ODI</w:t>
      </w:r>
      <w:r w:rsidRPr="004B7D90">
        <w:t>场将上述差异统一到同一评价尺度下，可作为工作面布置方案筛选的风险约束底图。</w:t>
      </w:r>
    </w:p>
    <w:p w14:paraId="63498D9F" w14:textId="798062EE" w:rsidR="004B7D90" w:rsidRPr="004B7D90" w:rsidRDefault="004B7D90" w:rsidP="004B7D90">
      <w:pPr>
        <w:pStyle w:val="100"/>
        <w:ind w:firstLine="420"/>
      </w:pPr>
      <w:r w:rsidRPr="004B7D90">
        <w:t>从全域统计结果看，研究区综合</w:t>
      </w:r>
      <w:r w:rsidRPr="004B7D90">
        <w:t>ODI</w:t>
      </w:r>
      <w:r w:rsidRPr="004B7D90">
        <w:t>场采用</w:t>
      </w:r>
      <w:r w:rsidRPr="004B7D90">
        <w:t>80×56</w:t>
      </w:r>
      <w:r w:rsidRPr="004B7D90">
        <w:t>网格，共</w:t>
      </w:r>
      <w:r w:rsidRPr="004B7D90">
        <w:t>4480</w:t>
      </w:r>
      <w:r w:rsidRPr="004B7D90">
        <w:t>个栅格；</w:t>
      </w:r>
      <w:r w:rsidRPr="004B7D90">
        <w:t>ODI</w:t>
      </w:r>
      <w:r w:rsidRPr="004B7D90">
        <w:t>均值为</w:t>
      </w:r>
      <w:r w:rsidRPr="004B7D90">
        <w:t>0.4669</w:t>
      </w:r>
      <w:r w:rsidRPr="004B7D90">
        <w:t>，</w:t>
      </w:r>
      <w:r w:rsidRPr="004B7D90">
        <w:t>90%</w:t>
      </w:r>
      <w:r w:rsidRPr="004B7D90">
        <w:t>分位数为</w:t>
      </w:r>
      <w:r w:rsidRPr="004B7D90">
        <w:t>0.7474</w:t>
      </w:r>
      <w:r w:rsidRPr="004B7D90">
        <w:t>，</w:t>
      </w:r>
      <w:r w:rsidRPr="004B7D90">
        <w:t>ODI</w:t>
      </w:r>
      <w:r w:rsidRPr="004B7D90">
        <w:t>＞</w:t>
      </w:r>
      <w:r w:rsidRPr="004B7D90">
        <w:t>0.70</w:t>
      </w:r>
      <w:r w:rsidRPr="004B7D90">
        <w:t>的栅格占比为</w:t>
      </w:r>
      <w:r w:rsidRPr="004B7D90">
        <w:t>15.89%</w:t>
      </w:r>
      <w:r w:rsidRPr="004B7D90">
        <w:t>。上述结果表明，研究区内部存在一定规模的高扰动敏感区。若仅依据边界形态和几何可布置性进行工作面设计，部分方案可能与高扰动区发生叠置，从而增加后续风险校核和方案调整难度。</w:t>
      </w:r>
      <w:r w:rsidR="003307AD" w:rsidRPr="003307AD">
        <w:t>因此，在工作面布置方案生成阶段引入综合</w:t>
      </w:r>
      <w:r w:rsidR="003307AD" w:rsidRPr="003307AD">
        <w:t>ODI</w:t>
      </w:r>
      <w:r w:rsidR="003307AD" w:rsidRPr="003307AD">
        <w:t>场，有助于提前识别并避让高扰动敏感区，减少后续方案校核和调整工作量。</w:t>
      </w:r>
    </w:p>
    <w:p w14:paraId="5E1D1231" w14:textId="77777777" w:rsidR="004B7D90" w:rsidRPr="004B7D90" w:rsidRDefault="004B7D90" w:rsidP="00DF00E8">
      <w:pPr>
        <w:pStyle w:val="12"/>
      </w:pPr>
      <w:r w:rsidRPr="004B7D90">
        <w:t xml:space="preserve">4.3 </w:t>
      </w:r>
      <w:r w:rsidRPr="004B7D90">
        <w:t>工作面布置方案生成与对比分析</w:t>
      </w:r>
    </w:p>
    <w:p w14:paraId="1C4FDA96" w14:textId="77777777" w:rsidR="004B7D90" w:rsidRPr="004B7D90" w:rsidRDefault="004B7D90" w:rsidP="004B7D90">
      <w:pPr>
        <w:pStyle w:val="100"/>
        <w:ind w:firstLine="420"/>
      </w:pPr>
      <w:r w:rsidRPr="004B7D90">
        <w:t>在有效布置域、煤层厚度连续参数场和综合</w:t>
      </w:r>
      <w:r w:rsidRPr="004B7D90">
        <w:t>ODI</w:t>
      </w:r>
      <w:r w:rsidRPr="004B7D90">
        <w:t>场共同约束下，对研究区工作面布置方案进行生成、筛选和评价。经不同偏好模式筛选后，工程效率偏好、资源回收偏好和扰动控制偏好下的有效候选数分别为</w:t>
      </w:r>
      <w:r w:rsidRPr="004B7D90">
        <w:t>2417</w:t>
      </w:r>
      <w:r w:rsidRPr="004B7D90">
        <w:t>、</w:t>
      </w:r>
      <w:r w:rsidRPr="004B7D90">
        <w:t>1149</w:t>
      </w:r>
      <w:r w:rsidRPr="004B7D90">
        <w:t>和</w:t>
      </w:r>
      <w:r w:rsidRPr="004B7D90">
        <w:t>374</w:t>
      </w:r>
      <w:r w:rsidRPr="004B7D90">
        <w:t>，其中扰动控制偏好下满足低扰动筛选条件的候选数为</w:t>
      </w:r>
      <w:r w:rsidRPr="004B7D90">
        <w:t>88</w:t>
      </w:r>
      <w:r w:rsidRPr="004B7D90">
        <w:t>。说明在给定边界、煤柱和扰动约束下，研究区仍存在较大的方案选择空间；不同偏好模式下的推荐结果并非由输入条件差异造成，而是由工程效率、资源回收和扰动控制目标权衡形成。</w:t>
      </w:r>
    </w:p>
    <w:p w14:paraId="3E817ED7" w14:textId="56DAB979" w:rsidR="004B7D90" w:rsidRDefault="004B7D90" w:rsidP="004B7D90">
      <w:pPr>
        <w:pStyle w:val="100"/>
        <w:ind w:firstLine="420"/>
      </w:pPr>
      <w:r w:rsidRPr="004B7D90">
        <w:t>为比较不同偏好模式下方案的综合表现，选取工程效率优先方案</w:t>
      </w:r>
      <w:r w:rsidRPr="004B7D90">
        <w:t>A</w:t>
      </w:r>
      <w:r w:rsidRPr="004B7D90">
        <w:t>、资源回收优先方案</w:t>
      </w:r>
      <w:r w:rsidRPr="004B7D90">
        <w:t>B</w:t>
      </w:r>
      <w:r w:rsidRPr="004B7D90">
        <w:t>和低扰动候选方案</w:t>
      </w:r>
      <w:r w:rsidRPr="004B7D90">
        <w:t>C</w:t>
      </w:r>
      <w:r w:rsidRPr="004B7D90">
        <w:t>作为代表性方案，并从覆盖率、工程效率、资源回收和</w:t>
      </w:r>
      <w:r w:rsidRPr="004B7D90">
        <w:t>ODI</w:t>
      </w:r>
      <w:r w:rsidRPr="004B7D90">
        <w:t>统计指标等方面进行对比，结果如</w:t>
      </w:r>
      <w:r w:rsidR="008419FD">
        <w:fldChar w:fldCharType="begin"/>
      </w:r>
      <w:r w:rsidR="008419FD">
        <w:instrText xml:space="preserve"> REF _Ref227925930 \h </w:instrText>
      </w:r>
      <w:r w:rsidR="008419FD">
        <w:fldChar w:fldCharType="separate"/>
      </w:r>
      <w:r w:rsidR="008419FD">
        <w:rPr>
          <w:rFonts w:hint="eastAsia"/>
        </w:rPr>
        <w:t>图</w:t>
      </w:r>
      <w:r w:rsidR="008419FD">
        <w:rPr>
          <w:noProof/>
        </w:rPr>
        <w:t>8</w:t>
      </w:r>
      <w:r w:rsidR="008419FD">
        <w:fldChar w:fldCharType="end"/>
      </w:r>
      <w:r w:rsidRPr="004B7D90">
        <w:t>所示。</w:t>
      </w:r>
    </w:p>
    <w:p w14:paraId="70B874E4" w14:textId="77777777" w:rsidR="004B7D90" w:rsidRDefault="004B7D90" w:rsidP="004B7D90">
      <w:pPr>
        <w:pStyle w:val="100"/>
        <w:ind w:firstLineChars="0" w:firstLine="0"/>
        <w:jc w:val="center"/>
        <w:sectPr w:rsidR="004B7D90" w:rsidSect="00A07DBF">
          <w:type w:val="continuous"/>
          <w:pgSz w:w="11906" w:h="16838"/>
          <w:pgMar w:top="1418" w:right="1134" w:bottom="1134" w:left="1134" w:header="720" w:footer="720" w:gutter="0"/>
          <w:cols w:num="2" w:space="720"/>
          <w:docGrid w:linePitch="598"/>
        </w:sectPr>
      </w:pPr>
    </w:p>
    <w:p w14:paraId="552ACAD8" w14:textId="77777777" w:rsidR="004B7D90" w:rsidRDefault="004B7D90" w:rsidP="004B7D90">
      <w:pPr>
        <w:pStyle w:val="100"/>
        <w:ind w:firstLineChars="0" w:firstLine="0"/>
        <w:jc w:val="center"/>
      </w:pPr>
      <w:r>
        <w:rPr>
          <w:noProof/>
        </w:rPr>
        <w:drawing>
          <wp:inline distT="0" distB="0" distL="0" distR="0" wp14:anchorId="6D031F19" wp14:editId="2BCCF3F9">
            <wp:extent cx="6113780" cy="1729105"/>
            <wp:effectExtent l="0" t="0" r="1270" b="4445"/>
            <wp:docPr id="1139421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3780" cy="1729105"/>
                    </a:xfrm>
                    <a:prstGeom prst="rect">
                      <a:avLst/>
                    </a:prstGeom>
                    <a:noFill/>
                    <a:ln>
                      <a:noFill/>
                    </a:ln>
                  </pic:spPr>
                </pic:pic>
              </a:graphicData>
            </a:graphic>
          </wp:inline>
        </w:drawing>
      </w:r>
    </w:p>
    <w:p w14:paraId="65B4B0C9" w14:textId="4840035D" w:rsidR="004B7D90" w:rsidRDefault="004B7D90" w:rsidP="004B7D90">
      <w:pPr>
        <w:pStyle w:val="14"/>
      </w:pPr>
      <w:bookmarkStart w:id="8" w:name="_Ref22792593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8</w:t>
      </w:r>
      <w:r>
        <w:fldChar w:fldCharType="end"/>
      </w:r>
      <w:bookmarkEnd w:id="8"/>
      <w:r>
        <w:rPr>
          <w:rFonts w:hint="eastAsia"/>
        </w:rPr>
        <w:t xml:space="preserve"> </w:t>
      </w:r>
      <w:r w:rsidRPr="00551567">
        <w:t>A</w:t>
      </w:r>
      <w:r w:rsidRPr="00551567">
        <w:t>、</w:t>
      </w:r>
      <w:r w:rsidRPr="00551567">
        <w:t>B</w:t>
      </w:r>
      <w:r w:rsidRPr="00551567">
        <w:t>、</w:t>
      </w:r>
      <w:r w:rsidRPr="00551567">
        <w:t>C</w:t>
      </w:r>
      <w:r w:rsidRPr="00551567">
        <w:t>候选方案多指标对比图</w:t>
      </w:r>
    </w:p>
    <w:p w14:paraId="5FEEF392" w14:textId="59ADE078" w:rsidR="004B7D90" w:rsidRDefault="004B7D90" w:rsidP="004B7D90">
      <w:pPr>
        <w:pStyle w:val="14"/>
      </w:pPr>
      <w:r w:rsidRPr="00551567">
        <w:t>Fig.</w:t>
      </w:r>
      <w:r w:rsidR="008419FD">
        <w:rPr>
          <w:rFonts w:hint="eastAsia"/>
        </w:rPr>
        <w:t>8</w:t>
      </w:r>
      <w:r w:rsidRPr="00551567">
        <w:t xml:space="preserve"> Multi-indicator comparison of candidate schemes A, B and C</w:t>
      </w:r>
    </w:p>
    <w:p w14:paraId="6F693C12"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21FD7D87" w14:textId="6302BF53" w:rsidR="004B7D90" w:rsidRPr="004B7D90" w:rsidRDefault="004B7D90" w:rsidP="004B7D90">
      <w:pPr>
        <w:pStyle w:val="100"/>
        <w:ind w:firstLine="420"/>
      </w:pPr>
      <w:r w:rsidRPr="004B7D90">
        <w:t>由</w:t>
      </w:r>
      <w:r w:rsidR="008419FD">
        <w:fldChar w:fldCharType="begin"/>
      </w:r>
      <w:r w:rsidR="008419FD">
        <w:instrText xml:space="preserve"> REF _Ref227925930 \h </w:instrText>
      </w:r>
      <w:r w:rsidR="008419FD">
        <w:fldChar w:fldCharType="separate"/>
      </w:r>
      <w:r w:rsidR="008419FD">
        <w:rPr>
          <w:rFonts w:hint="eastAsia"/>
        </w:rPr>
        <w:t>图</w:t>
      </w:r>
      <w:r w:rsidR="008419FD">
        <w:rPr>
          <w:noProof/>
        </w:rPr>
        <w:t>8</w:t>
      </w:r>
      <w:r w:rsidR="008419FD">
        <w:fldChar w:fldCharType="end"/>
      </w:r>
      <w:r w:rsidRPr="004B7D90">
        <w:t>可知，</w:t>
      </w:r>
      <w:r w:rsidRPr="004B7D90">
        <w:t>A</w:t>
      </w:r>
      <w:r w:rsidRPr="004B7D90">
        <w:t>、</w:t>
      </w:r>
      <w:r w:rsidRPr="004B7D90">
        <w:t>B</w:t>
      </w:r>
      <w:r w:rsidRPr="004B7D90">
        <w:t>、</w:t>
      </w:r>
      <w:r w:rsidRPr="004B7D90">
        <w:t>C</w:t>
      </w:r>
      <w:r w:rsidRPr="004B7D90">
        <w:t>方案在覆盖率和扰动统计指标上存在明显差异。</w:t>
      </w:r>
      <w:r w:rsidRPr="004B7D90">
        <w:t>B</w:t>
      </w:r>
      <w:r w:rsidRPr="004B7D90">
        <w:t>方案覆盖率最高，</w:t>
      </w:r>
      <w:r w:rsidRPr="004B7D90">
        <w:t>说明其资源占用和空间利用程度更高；</w:t>
      </w:r>
      <w:r w:rsidRPr="004B7D90">
        <w:t>C</w:t>
      </w:r>
      <w:r w:rsidRPr="004B7D90">
        <w:t>方案覆盖率相对较低，但</w:t>
      </w:r>
      <w:r w:rsidRPr="004B7D90">
        <w:t>ODI</w:t>
      </w:r>
      <w:r w:rsidRPr="004B7D90">
        <w:t>均值和</w:t>
      </w:r>
      <w:r w:rsidRPr="004B7D90">
        <w:t>90%</w:t>
      </w:r>
      <w:r w:rsidRPr="004B7D90">
        <w:t>分位数均低于</w:t>
      </w:r>
      <w:r w:rsidRPr="004B7D90">
        <w:lastRenderedPageBreak/>
        <w:t>A</w:t>
      </w:r>
      <w:r w:rsidRPr="004B7D90">
        <w:t>、</w:t>
      </w:r>
      <w:r w:rsidRPr="004B7D90">
        <w:t>B</w:t>
      </w:r>
      <w:r w:rsidRPr="004B7D90">
        <w:t>方案，表明其总体扰动水平和高值尾部风险较低。该结果说明，不同规划偏好会导致资源覆</w:t>
      </w:r>
      <w:r w:rsidRPr="004B7D90">
        <w:t>盖与扰动控制之间产生可量化的权衡关系。</w:t>
      </w:r>
    </w:p>
    <w:p w14:paraId="14C56FCC" w14:textId="77777777" w:rsidR="004B7D90" w:rsidRPr="004B7D90" w:rsidRDefault="004B7D90" w:rsidP="004B7D90">
      <w:pPr>
        <w:pStyle w:val="100"/>
        <w:ind w:firstLine="420"/>
      </w:pPr>
      <w:r w:rsidRPr="004B7D90">
        <w:t>A</w:t>
      </w:r>
      <w:r w:rsidRPr="004B7D90">
        <w:t>、</w:t>
      </w:r>
      <w:r w:rsidRPr="004B7D90">
        <w:t>B</w:t>
      </w:r>
      <w:r w:rsidRPr="004B7D90">
        <w:t>、</w:t>
      </w:r>
      <w:r w:rsidRPr="004B7D90">
        <w:t>C</w:t>
      </w:r>
      <w:r w:rsidRPr="004B7D90">
        <w:t>方案的主要指标见表</w:t>
      </w:r>
      <w:r w:rsidRPr="004B7D90">
        <w:t>3</w:t>
      </w:r>
      <w:r w:rsidRPr="004B7D90">
        <w:t>。</w:t>
      </w:r>
    </w:p>
    <w:p w14:paraId="5E100D4A" w14:textId="77777777" w:rsidR="004B7D90" w:rsidRDefault="004B7D90" w:rsidP="004B7D90">
      <w:pPr>
        <w:pStyle w:val="100"/>
        <w:ind w:firstLineChars="0" w:firstLine="0"/>
        <w:rPr>
          <w:b/>
          <w:bCs/>
        </w:rPr>
        <w:sectPr w:rsidR="004B7D90" w:rsidSect="00A07DBF">
          <w:type w:val="continuous"/>
          <w:pgSz w:w="11906" w:h="16838"/>
          <w:pgMar w:top="1418" w:right="1134" w:bottom="1134" w:left="1134" w:header="720" w:footer="720" w:gutter="0"/>
          <w:cols w:num="2" w:space="720"/>
          <w:docGrid w:linePitch="598"/>
        </w:sectPr>
      </w:pP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1143"/>
        <w:gridCol w:w="670"/>
        <w:gridCol w:w="652"/>
        <w:gridCol w:w="841"/>
        <w:gridCol w:w="841"/>
        <w:gridCol w:w="881"/>
        <w:gridCol w:w="683"/>
        <w:gridCol w:w="555"/>
        <w:gridCol w:w="993"/>
        <w:gridCol w:w="2024"/>
      </w:tblGrid>
      <w:tr w:rsidR="004B7D90" w:rsidRPr="004B7D90" w14:paraId="08D1391B" w14:textId="77777777" w:rsidTr="004B7D90">
        <w:trPr>
          <w:tblHeader/>
          <w:tblCellSpacing w:w="15" w:type="dxa"/>
          <w:jc w:val="center"/>
        </w:trPr>
        <w:tc>
          <w:tcPr>
            <w:tcW w:w="0" w:type="auto"/>
            <w:tcBorders>
              <w:top w:val="nil"/>
              <w:bottom w:val="single" w:sz="4" w:space="0" w:color="auto"/>
            </w:tcBorders>
            <w:vAlign w:val="center"/>
            <w:hideMark/>
          </w:tcPr>
          <w:p w14:paraId="5295180F" w14:textId="77777777" w:rsidR="004B7D90" w:rsidRPr="00D76668" w:rsidRDefault="004B7D90" w:rsidP="00D76668">
            <w:pPr>
              <w:spacing w:beforeLines="0" w:before="0" w:afterLines="0" w:after="0"/>
              <w:jc w:val="center"/>
              <w:rPr>
                <w:rFonts w:eastAsia="宋体"/>
                <w:sz w:val="18"/>
              </w:rPr>
            </w:pPr>
            <w:r w:rsidRPr="00D76668">
              <w:rPr>
                <w:rFonts w:eastAsia="宋体"/>
                <w:sz w:val="18"/>
              </w:rPr>
              <w:t>方案</w:t>
            </w:r>
          </w:p>
        </w:tc>
        <w:tc>
          <w:tcPr>
            <w:tcW w:w="0" w:type="auto"/>
            <w:tcBorders>
              <w:top w:val="nil"/>
              <w:bottom w:val="single" w:sz="4" w:space="0" w:color="auto"/>
            </w:tcBorders>
            <w:vAlign w:val="center"/>
            <w:hideMark/>
          </w:tcPr>
          <w:p w14:paraId="3CC8D376" w14:textId="77777777" w:rsidR="004B7D90" w:rsidRPr="00D76668" w:rsidRDefault="004B7D90" w:rsidP="00D76668">
            <w:pPr>
              <w:spacing w:beforeLines="0" w:before="0" w:afterLines="0" w:after="0"/>
              <w:jc w:val="center"/>
              <w:rPr>
                <w:rFonts w:eastAsia="宋体"/>
                <w:sz w:val="18"/>
              </w:rPr>
            </w:pPr>
            <w:r w:rsidRPr="00D76668">
              <w:rPr>
                <w:rFonts w:eastAsia="宋体"/>
                <w:sz w:val="18"/>
              </w:rPr>
              <w:t>偏好模式</w:t>
            </w:r>
          </w:p>
        </w:tc>
        <w:tc>
          <w:tcPr>
            <w:tcW w:w="0" w:type="auto"/>
            <w:tcBorders>
              <w:top w:val="nil"/>
              <w:bottom w:val="single" w:sz="4" w:space="0" w:color="auto"/>
            </w:tcBorders>
            <w:vAlign w:val="center"/>
            <w:hideMark/>
          </w:tcPr>
          <w:p w14:paraId="7F6531CD"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工作面数</w:t>
            </w:r>
            <w:r w:rsidRPr="00D76668">
              <w:rPr>
                <w:rFonts w:eastAsia="宋体"/>
                <w:sz w:val="18"/>
              </w:rPr>
              <w:t>/</w:t>
            </w:r>
            <w:r w:rsidRPr="00D76668">
              <w:rPr>
                <w:rFonts w:eastAsia="宋体"/>
                <w:sz w:val="18"/>
              </w:rPr>
              <w:t>个</w:t>
            </w:r>
          </w:p>
        </w:tc>
        <w:tc>
          <w:tcPr>
            <w:tcW w:w="0" w:type="auto"/>
            <w:tcBorders>
              <w:top w:val="nil"/>
              <w:bottom w:val="single" w:sz="4" w:space="0" w:color="auto"/>
            </w:tcBorders>
            <w:vAlign w:val="center"/>
            <w:hideMark/>
          </w:tcPr>
          <w:p w14:paraId="683480CD" w14:textId="77777777" w:rsidR="004B7D90" w:rsidRPr="00D76668" w:rsidRDefault="004B7D90" w:rsidP="00D76668">
            <w:pPr>
              <w:spacing w:beforeLines="0" w:before="0" w:afterLines="0" w:after="0"/>
              <w:jc w:val="center"/>
              <w:rPr>
                <w:rFonts w:eastAsia="宋体"/>
                <w:sz w:val="18"/>
              </w:rPr>
            </w:pPr>
            <w:r w:rsidRPr="00D76668">
              <w:rPr>
                <w:rFonts w:eastAsia="宋体"/>
                <w:sz w:val="18"/>
              </w:rPr>
              <w:t>覆盖率</w:t>
            </w:r>
            <w:r w:rsidRPr="00D76668">
              <w:rPr>
                <w:rFonts w:eastAsia="宋体"/>
                <w:sz w:val="18"/>
              </w:rPr>
              <w:t>/%</w:t>
            </w:r>
          </w:p>
        </w:tc>
        <w:tc>
          <w:tcPr>
            <w:tcW w:w="0" w:type="auto"/>
            <w:tcBorders>
              <w:top w:val="nil"/>
              <w:bottom w:val="single" w:sz="4" w:space="0" w:color="auto"/>
            </w:tcBorders>
            <w:vAlign w:val="center"/>
            <w:hideMark/>
          </w:tcPr>
          <w:p w14:paraId="413E3813"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工程效率评分</w:t>
            </w:r>
          </w:p>
        </w:tc>
        <w:tc>
          <w:tcPr>
            <w:tcW w:w="0" w:type="auto"/>
            <w:tcBorders>
              <w:top w:val="nil"/>
              <w:bottom w:val="single" w:sz="4" w:space="0" w:color="auto"/>
            </w:tcBorders>
            <w:vAlign w:val="center"/>
            <w:hideMark/>
          </w:tcPr>
          <w:p w14:paraId="0AFA178F" w14:textId="77777777" w:rsidR="004B7D90" w:rsidRPr="00D76668" w:rsidRDefault="004B7D90" w:rsidP="00D76668">
            <w:pPr>
              <w:spacing w:beforeLines="0" w:before="0" w:afterLines="0" w:after="0"/>
              <w:jc w:val="center"/>
              <w:rPr>
                <w:rFonts w:eastAsia="宋体"/>
                <w:sz w:val="18"/>
              </w:rPr>
            </w:pPr>
            <w:r w:rsidRPr="00D76668">
              <w:rPr>
                <w:rFonts w:eastAsia="宋体"/>
                <w:sz w:val="18"/>
              </w:rPr>
              <w:t>资源回收评分</w:t>
            </w:r>
          </w:p>
        </w:tc>
        <w:tc>
          <w:tcPr>
            <w:tcW w:w="0" w:type="auto"/>
            <w:tcBorders>
              <w:top w:val="nil"/>
              <w:bottom w:val="single" w:sz="4" w:space="0" w:color="auto"/>
            </w:tcBorders>
            <w:vAlign w:val="center"/>
            <w:hideMark/>
          </w:tcPr>
          <w:p w14:paraId="37667695" w14:textId="77777777" w:rsidR="004B7D90" w:rsidRPr="00D76668" w:rsidRDefault="004B7D90" w:rsidP="00D76668">
            <w:pPr>
              <w:spacing w:beforeLines="0" w:before="0" w:afterLines="0" w:after="0"/>
              <w:jc w:val="center"/>
              <w:rPr>
                <w:rFonts w:eastAsia="宋体"/>
                <w:sz w:val="18"/>
              </w:rPr>
            </w:pPr>
            <w:r w:rsidRPr="00D76668">
              <w:rPr>
                <w:rFonts w:eastAsia="宋体"/>
                <w:sz w:val="18"/>
              </w:rPr>
              <w:t>风险综合得分</w:t>
            </w:r>
          </w:p>
        </w:tc>
        <w:tc>
          <w:tcPr>
            <w:tcW w:w="0" w:type="auto"/>
            <w:tcBorders>
              <w:top w:val="nil"/>
              <w:bottom w:val="single" w:sz="4" w:space="0" w:color="auto"/>
            </w:tcBorders>
            <w:vAlign w:val="center"/>
            <w:hideMark/>
          </w:tcPr>
          <w:p w14:paraId="70DFFD5B" w14:textId="77777777" w:rsidR="004B7D90" w:rsidRPr="00D76668" w:rsidRDefault="004B7D90" w:rsidP="00D76668">
            <w:pPr>
              <w:spacing w:beforeLines="0" w:before="0" w:afterLines="0" w:after="0"/>
              <w:jc w:val="center"/>
              <w:rPr>
                <w:rFonts w:eastAsia="宋体"/>
                <w:sz w:val="18"/>
              </w:rPr>
            </w:pPr>
            <w:r w:rsidRPr="00D76668">
              <w:rPr>
                <w:rFonts w:eastAsia="宋体"/>
                <w:sz w:val="18"/>
              </w:rPr>
              <w:t>ODI</w:t>
            </w:r>
            <w:r w:rsidRPr="00D76668">
              <w:rPr>
                <w:rFonts w:eastAsia="宋体"/>
                <w:sz w:val="18"/>
              </w:rPr>
              <w:t>均值</w:t>
            </w:r>
          </w:p>
        </w:tc>
        <w:tc>
          <w:tcPr>
            <w:tcW w:w="0" w:type="auto"/>
            <w:tcBorders>
              <w:top w:val="nil"/>
              <w:bottom w:val="single" w:sz="4" w:space="0" w:color="auto"/>
            </w:tcBorders>
            <w:vAlign w:val="center"/>
            <w:hideMark/>
          </w:tcPr>
          <w:p w14:paraId="5C0773FC" w14:textId="77777777" w:rsidR="004B7D90" w:rsidRPr="00D76668" w:rsidRDefault="004B7D90" w:rsidP="00D76668">
            <w:pPr>
              <w:spacing w:beforeLines="0" w:before="0" w:afterLines="0" w:after="0"/>
              <w:jc w:val="center"/>
              <w:rPr>
                <w:rFonts w:eastAsia="宋体"/>
                <w:sz w:val="18"/>
              </w:rPr>
            </w:pPr>
            <w:r w:rsidRPr="00D76668">
              <w:rPr>
                <w:rFonts w:eastAsia="宋体"/>
                <w:sz w:val="18"/>
              </w:rPr>
              <w:t>P90</w:t>
            </w:r>
          </w:p>
        </w:tc>
        <w:tc>
          <w:tcPr>
            <w:tcW w:w="0" w:type="auto"/>
            <w:tcBorders>
              <w:top w:val="nil"/>
              <w:bottom w:val="single" w:sz="4" w:space="0" w:color="auto"/>
            </w:tcBorders>
            <w:vAlign w:val="center"/>
            <w:hideMark/>
          </w:tcPr>
          <w:p w14:paraId="24F961FD" w14:textId="77777777" w:rsidR="004B7D90" w:rsidRPr="00D76668" w:rsidRDefault="004B7D90" w:rsidP="00D76668">
            <w:pPr>
              <w:spacing w:beforeLines="0" w:before="0" w:afterLines="0" w:after="0"/>
              <w:jc w:val="center"/>
              <w:rPr>
                <w:rFonts w:eastAsia="宋体"/>
                <w:sz w:val="18"/>
              </w:rPr>
            </w:pPr>
            <w:r w:rsidRPr="00D76668">
              <w:rPr>
                <w:rFonts w:eastAsia="宋体"/>
                <w:sz w:val="18"/>
              </w:rPr>
              <w:t>ODI</w:t>
            </w:r>
            <w:r w:rsidRPr="00D76668">
              <w:rPr>
                <w:rFonts w:eastAsia="宋体"/>
                <w:sz w:val="18"/>
              </w:rPr>
              <w:t>＞</w:t>
            </w:r>
            <w:r w:rsidRPr="00D76668">
              <w:rPr>
                <w:rFonts w:eastAsia="宋体"/>
                <w:sz w:val="18"/>
              </w:rPr>
              <w:t>0.70</w:t>
            </w:r>
            <w:r w:rsidRPr="00D76668">
              <w:rPr>
                <w:rFonts w:eastAsia="宋体"/>
                <w:sz w:val="18"/>
              </w:rPr>
              <w:t>比例</w:t>
            </w:r>
            <w:r w:rsidRPr="00D76668">
              <w:rPr>
                <w:rFonts w:eastAsia="宋体"/>
                <w:sz w:val="18"/>
              </w:rPr>
              <w:t>/%</w:t>
            </w:r>
          </w:p>
        </w:tc>
        <w:tc>
          <w:tcPr>
            <w:tcW w:w="0" w:type="auto"/>
            <w:tcBorders>
              <w:top w:val="nil"/>
              <w:bottom w:val="single" w:sz="4" w:space="0" w:color="auto"/>
            </w:tcBorders>
            <w:vAlign w:val="center"/>
            <w:hideMark/>
          </w:tcPr>
          <w:p w14:paraId="0E30FFC7" w14:textId="77777777" w:rsidR="004B7D90" w:rsidRPr="00D76668" w:rsidRDefault="004B7D90" w:rsidP="00D76668">
            <w:pPr>
              <w:spacing w:beforeLines="0" w:before="0" w:afterLines="0" w:after="0"/>
              <w:jc w:val="center"/>
              <w:rPr>
                <w:rFonts w:eastAsia="宋体"/>
                <w:sz w:val="18"/>
              </w:rPr>
            </w:pPr>
            <w:r w:rsidRPr="00D76668">
              <w:rPr>
                <w:rFonts w:eastAsia="宋体"/>
                <w:sz w:val="18"/>
              </w:rPr>
              <w:t>判定依据</w:t>
            </w:r>
          </w:p>
        </w:tc>
      </w:tr>
      <w:tr w:rsidR="004B7D90" w:rsidRPr="004B7D90" w14:paraId="01A2BE43" w14:textId="77777777" w:rsidTr="004B7D90">
        <w:trPr>
          <w:tblCellSpacing w:w="15" w:type="dxa"/>
          <w:jc w:val="center"/>
        </w:trPr>
        <w:tc>
          <w:tcPr>
            <w:tcW w:w="0" w:type="auto"/>
            <w:vAlign w:val="center"/>
            <w:hideMark/>
          </w:tcPr>
          <w:p w14:paraId="5D88830B" w14:textId="77777777" w:rsidR="004B7D90" w:rsidRPr="00D76668" w:rsidRDefault="004B7D90" w:rsidP="00D76668">
            <w:pPr>
              <w:spacing w:beforeLines="0" w:before="0" w:afterLines="0" w:after="0"/>
              <w:jc w:val="center"/>
              <w:rPr>
                <w:rFonts w:eastAsia="宋体"/>
                <w:sz w:val="18"/>
              </w:rPr>
            </w:pPr>
            <w:r w:rsidRPr="00D76668">
              <w:rPr>
                <w:rFonts w:eastAsia="宋体"/>
                <w:sz w:val="18"/>
              </w:rPr>
              <w:t>A</w:t>
            </w:r>
          </w:p>
        </w:tc>
        <w:tc>
          <w:tcPr>
            <w:tcW w:w="0" w:type="auto"/>
            <w:vAlign w:val="center"/>
            <w:hideMark/>
          </w:tcPr>
          <w:p w14:paraId="59182CB7"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工程效率优先</w:t>
            </w:r>
          </w:p>
        </w:tc>
        <w:tc>
          <w:tcPr>
            <w:tcW w:w="0" w:type="auto"/>
            <w:vAlign w:val="center"/>
            <w:hideMark/>
          </w:tcPr>
          <w:p w14:paraId="0F783BA7" w14:textId="77777777" w:rsidR="004B7D90" w:rsidRPr="00D76668" w:rsidRDefault="004B7D90" w:rsidP="00D76668">
            <w:pPr>
              <w:spacing w:beforeLines="0" w:before="0" w:afterLines="0" w:after="0"/>
              <w:jc w:val="center"/>
              <w:rPr>
                <w:rFonts w:eastAsia="宋体"/>
                <w:sz w:val="18"/>
              </w:rPr>
            </w:pPr>
            <w:r w:rsidRPr="00D76668">
              <w:rPr>
                <w:rFonts w:eastAsia="宋体"/>
                <w:sz w:val="18"/>
              </w:rPr>
              <w:t>5</w:t>
            </w:r>
          </w:p>
        </w:tc>
        <w:tc>
          <w:tcPr>
            <w:tcW w:w="0" w:type="auto"/>
            <w:vAlign w:val="center"/>
            <w:hideMark/>
          </w:tcPr>
          <w:p w14:paraId="129540F9" w14:textId="77777777" w:rsidR="004B7D90" w:rsidRPr="00D76668" w:rsidRDefault="004B7D90" w:rsidP="00D76668">
            <w:pPr>
              <w:spacing w:beforeLines="0" w:before="0" w:afterLines="0" w:after="0"/>
              <w:jc w:val="center"/>
              <w:rPr>
                <w:rFonts w:eastAsia="宋体"/>
                <w:sz w:val="18"/>
              </w:rPr>
            </w:pPr>
            <w:r w:rsidRPr="00D76668">
              <w:rPr>
                <w:rFonts w:eastAsia="宋体"/>
                <w:sz w:val="18"/>
              </w:rPr>
              <w:t>89.34</w:t>
            </w:r>
          </w:p>
        </w:tc>
        <w:tc>
          <w:tcPr>
            <w:tcW w:w="0" w:type="auto"/>
            <w:vAlign w:val="center"/>
            <w:hideMark/>
          </w:tcPr>
          <w:p w14:paraId="02EA58FE" w14:textId="77777777" w:rsidR="004B7D90" w:rsidRPr="00D76668" w:rsidRDefault="004B7D90" w:rsidP="00D76668">
            <w:pPr>
              <w:spacing w:beforeLines="0" w:before="0" w:afterLines="0" w:after="0"/>
              <w:jc w:val="center"/>
              <w:rPr>
                <w:rFonts w:eastAsia="宋体"/>
                <w:sz w:val="18"/>
              </w:rPr>
            </w:pPr>
            <w:r w:rsidRPr="00D76668">
              <w:rPr>
                <w:rFonts w:eastAsia="宋体"/>
                <w:sz w:val="18"/>
              </w:rPr>
              <w:t>87.82</w:t>
            </w:r>
          </w:p>
        </w:tc>
        <w:tc>
          <w:tcPr>
            <w:tcW w:w="0" w:type="auto"/>
            <w:vAlign w:val="center"/>
            <w:hideMark/>
          </w:tcPr>
          <w:p w14:paraId="7364B527"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798691CD"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3A946753"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0.4463</w:t>
            </w:r>
          </w:p>
        </w:tc>
        <w:tc>
          <w:tcPr>
            <w:tcW w:w="0" w:type="auto"/>
            <w:vAlign w:val="center"/>
            <w:hideMark/>
          </w:tcPr>
          <w:p w14:paraId="6A4CACBF" w14:textId="77777777" w:rsidR="004B7D90" w:rsidRPr="00D76668" w:rsidRDefault="004B7D90" w:rsidP="00D76668">
            <w:pPr>
              <w:spacing w:beforeLines="0" w:before="0" w:afterLines="0" w:after="0"/>
              <w:jc w:val="center"/>
              <w:rPr>
                <w:rFonts w:eastAsia="宋体"/>
                <w:sz w:val="18"/>
              </w:rPr>
            </w:pPr>
            <w:r w:rsidRPr="00D76668">
              <w:rPr>
                <w:rFonts w:eastAsia="宋体"/>
                <w:sz w:val="18"/>
              </w:rPr>
              <w:t>0.6407</w:t>
            </w:r>
          </w:p>
        </w:tc>
        <w:tc>
          <w:tcPr>
            <w:tcW w:w="0" w:type="auto"/>
            <w:vAlign w:val="center"/>
            <w:hideMark/>
          </w:tcPr>
          <w:p w14:paraId="1A8C142C"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w:t>
            </w:r>
          </w:p>
        </w:tc>
        <w:tc>
          <w:tcPr>
            <w:tcW w:w="0" w:type="auto"/>
            <w:vAlign w:val="center"/>
            <w:hideMark/>
          </w:tcPr>
          <w:p w14:paraId="0AEEAE56" w14:textId="77777777" w:rsidR="004B7D90" w:rsidRPr="00D76668" w:rsidRDefault="004B7D90" w:rsidP="00D76668">
            <w:pPr>
              <w:spacing w:beforeLines="0" w:before="0" w:afterLines="0" w:after="0"/>
              <w:jc w:val="center"/>
              <w:rPr>
                <w:rFonts w:eastAsia="宋体"/>
                <w:sz w:val="18"/>
              </w:rPr>
            </w:pPr>
            <w:r w:rsidRPr="00D76668">
              <w:rPr>
                <w:rFonts w:eastAsia="宋体"/>
                <w:sz w:val="18"/>
              </w:rPr>
              <w:t>工程效率分项排序最优</w:t>
            </w:r>
          </w:p>
        </w:tc>
      </w:tr>
      <w:tr w:rsidR="004B7D90" w:rsidRPr="004B7D90" w14:paraId="431AD1E8" w14:textId="77777777" w:rsidTr="004B7D90">
        <w:trPr>
          <w:tblCellSpacing w:w="15" w:type="dxa"/>
          <w:jc w:val="center"/>
        </w:trPr>
        <w:tc>
          <w:tcPr>
            <w:tcW w:w="0" w:type="auto"/>
            <w:vAlign w:val="center"/>
            <w:hideMark/>
          </w:tcPr>
          <w:p w14:paraId="5B69B979" w14:textId="77777777" w:rsidR="004B7D90" w:rsidRPr="00D76668" w:rsidRDefault="004B7D90" w:rsidP="00D76668">
            <w:pPr>
              <w:spacing w:beforeLines="0" w:before="0" w:afterLines="0" w:after="0"/>
              <w:jc w:val="center"/>
              <w:rPr>
                <w:rFonts w:eastAsia="宋体"/>
                <w:sz w:val="18"/>
              </w:rPr>
            </w:pPr>
            <w:r w:rsidRPr="00D76668">
              <w:rPr>
                <w:rFonts w:eastAsia="宋体"/>
                <w:sz w:val="18"/>
              </w:rPr>
              <w:t>B</w:t>
            </w:r>
          </w:p>
        </w:tc>
        <w:tc>
          <w:tcPr>
            <w:tcW w:w="0" w:type="auto"/>
            <w:vAlign w:val="center"/>
            <w:hideMark/>
          </w:tcPr>
          <w:p w14:paraId="01FD4C73" w14:textId="77777777" w:rsidR="004B7D90" w:rsidRPr="00D76668" w:rsidRDefault="004B7D90" w:rsidP="00D76668">
            <w:pPr>
              <w:spacing w:beforeLines="0" w:before="0" w:afterLines="0" w:after="0"/>
              <w:jc w:val="center"/>
              <w:rPr>
                <w:rFonts w:eastAsia="宋体"/>
                <w:sz w:val="18"/>
              </w:rPr>
            </w:pPr>
            <w:r w:rsidRPr="00D76668">
              <w:rPr>
                <w:rFonts w:eastAsia="宋体"/>
                <w:sz w:val="18"/>
              </w:rPr>
              <w:t>资源回收优先</w:t>
            </w:r>
          </w:p>
        </w:tc>
        <w:tc>
          <w:tcPr>
            <w:tcW w:w="0" w:type="auto"/>
            <w:vAlign w:val="center"/>
            <w:hideMark/>
          </w:tcPr>
          <w:p w14:paraId="6D6A8F86" w14:textId="77777777" w:rsidR="004B7D90" w:rsidRPr="00D76668" w:rsidRDefault="004B7D90" w:rsidP="00D76668">
            <w:pPr>
              <w:spacing w:beforeLines="0" w:before="0" w:afterLines="0" w:after="0"/>
              <w:jc w:val="center"/>
              <w:rPr>
                <w:rFonts w:eastAsia="宋体"/>
                <w:sz w:val="18"/>
              </w:rPr>
            </w:pPr>
            <w:r w:rsidRPr="00D76668">
              <w:rPr>
                <w:rFonts w:eastAsia="宋体"/>
                <w:sz w:val="18"/>
              </w:rPr>
              <w:t>9</w:t>
            </w:r>
          </w:p>
        </w:tc>
        <w:tc>
          <w:tcPr>
            <w:tcW w:w="0" w:type="auto"/>
            <w:vAlign w:val="center"/>
            <w:hideMark/>
          </w:tcPr>
          <w:p w14:paraId="2C10E6EB" w14:textId="77777777" w:rsidR="004B7D90" w:rsidRPr="00D76668" w:rsidRDefault="004B7D90" w:rsidP="00D76668">
            <w:pPr>
              <w:spacing w:beforeLines="0" w:before="0" w:afterLines="0" w:after="0"/>
              <w:jc w:val="center"/>
              <w:rPr>
                <w:rFonts w:eastAsia="宋体"/>
                <w:sz w:val="18"/>
              </w:rPr>
            </w:pPr>
            <w:r w:rsidRPr="00D76668">
              <w:rPr>
                <w:rFonts w:eastAsia="宋体"/>
                <w:sz w:val="18"/>
              </w:rPr>
              <w:t>98.52</w:t>
            </w:r>
          </w:p>
        </w:tc>
        <w:tc>
          <w:tcPr>
            <w:tcW w:w="0" w:type="auto"/>
            <w:vAlign w:val="center"/>
            <w:hideMark/>
          </w:tcPr>
          <w:p w14:paraId="1F778AAF"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48100FB9" w14:textId="77777777" w:rsidR="004B7D90" w:rsidRPr="00D76668" w:rsidRDefault="004B7D90" w:rsidP="00D76668">
            <w:pPr>
              <w:spacing w:beforeLines="0" w:before="0" w:afterLines="0" w:after="0"/>
              <w:jc w:val="center"/>
              <w:rPr>
                <w:rFonts w:eastAsia="宋体"/>
                <w:sz w:val="18"/>
              </w:rPr>
            </w:pPr>
            <w:r w:rsidRPr="00D76668">
              <w:rPr>
                <w:rFonts w:eastAsia="宋体"/>
                <w:sz w:val="18"/>
              </w:rPr>
              <w:t>89.76</w:t>
            </w:r>
          </w:p>
        </w:tc>
        <w:tc>
          <w:tcPr>
            <w:tcW w:w="0" w:type="auto"/>
            <w:vAlign w:val="center"/>
            <w:hideMark/>
          </w:tcPr>
          <w:p w14:paraId="2B38163B"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21B9B019"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0.4552</w:t>
            </w:r>
          </w:p>
        </w:tc>
        <w:tc>
          <w:tcPr>
            <w:tcW w:w="0" w:type="auto"/>
            <w:vAlign w:val="center"/>
            <w:hideMark/>
          </w:tcPr>
          <w:p w14:paraId="6BA580AD" w14:textId="77777777" w:rsidR="004B7D90" w:rsidRPr="00D76668" w:rsidRDefault="004B7D90" w:rsidP="00D76668">
            <w:pPr>
              <w:spacing w:beforeLines="0" w:before="0" w:afterLines="0" w:after="0"/>
              <w:jc w:val="center"/>
              <w:rPr>
                <w:rFonts w:eastAsia="宋体"/>
                <w:sz w:val="18"/>
              </w:rPr>
            </w:pPr>
            <w:r w:rsidRPr="00D76668">
              <w:rPr>
                <w:rFonts w:eastAsia="宋体"/>
                <w:sz w:val="18"/>
              </w:rPr>
              <w:t>0.6462</w:t>
            </w:r>
          </w:p>
        </w:tc>
        <w:tc>
          <w:tcPr>
            <w:tcW w:w="0" w:type="auto"/>
            <w:vAlign w:val="center"/>
            <w:hideMark/>
          </w:tcPr>
          <w:p w14:paraId="474665A2" w14:textId="77777777" w:rsidR="004B7D90" w:rsidRPr="00D76668" w:rsidRDefault="004B7D90" w:rsidP="00D76668">
            <w:pPr>
              <w:spacing w:beforeLines="0" w:before="0" w:afterLines="0" w:after="0"/>
              <w:jc w:val="center"/>
              <w:rPr>
                <w:rFonts w:eastAsia="宋体"/>
                <w:sz w:val="18"/>
              </w:rPr>
            </w:pPr>
            <w:r w:rsidRPr="00D76668">
              <w:rPr>
                <w:rFonts w:eastAsia="宋体"/>
                <w:sz w:val="18"/>
              </w:rPr>
              <w:t>0.56</w:t>
            </w:r>
          </w:p>
        </w:tc>
        <w:tc>
          <w:tcPr>
            <w:tcW w:w="0" w:type="auto"/>
            <w:vAlign w:val="center"/>
            <w:hideMark/>
          </w:tcPr>
          <w:p w14:paraId="72B5CA32" w14:textId="77777777" w:rsidR="004B7D90" w:rsidRPr="00D76668" w:rsidRDefault="004B7D90" w:rsidP="00D76668">
            <w:pPr>
              <w:spacing w:beforeLines="0" w:before="0" w:afterLines="0" w:after="0"/>
              <w:jc w:val="center"/>
              <w:rPr>
                <w:rFonts w:eastAsia="宋体"/>
                <w:sz w:val="18"/>
              </w:rPr>
            </w:pPr>
            <w:r w:rsidRPr="00D76668">
              <w:rPr>
                <w:rFonts w:eastAsia="宋体"/>
                <w:sz w:val="18"/>
              </w:rPr>
              <w:t>资源回收分项排序最优</w:t>
            </w:r>
          </w:p>
        </w:tc>
      </w:tr>
      <w:tr w:rsidR="004B7D90" w:rsidRPr="004B7D90" w14:paraId="755C167C" w14:textId="77777777" w:rsidTr="004B7D90">
        <w:trPr>
          <w:tblCellSpacing w:w="15" w:type="dxa"/>
          <w:jc w:val="center"/>
        </w:trPr>
        <w:tc>
          <w:tcPr>
            <w:tcW w:w="0" w:type="auto"/>
            <w:vAlign w:val="center"/>
            <w:hideMark/>
          </w:tcPr>
          <w:p w14:paraId="76F380ED" w14:textId="77777777" w:rsidR="004B7D90" w:rsidRPr="00D76668" w:rsidRDefault="004B7D90" w:rsidP="00D76668">
            <w:pPr>
              <w:spacing w:beforeLines="0" w:before="0" w:afterLines="0" w:after="0"/>
              <w:jc w:val="center"/>
              <w:rPr>
                <w:rFonts w:eastAsia="宋体"/>
                <w:sz w:val="18"/>
              </w:rPr>
            </w:pPr>
            <w:r w:rsidRPr="00D76668">
              <w:rPr>
                <w:rFonts w:eastAsia="宋体"/>
                <w:sz w:val="18"/>
              </w:rPr>
              <w:t>C</w:t>
            </w:r>
          </w:p>
        </w:tc>
        <w:tc>
          <w:tcPr>
            <w:tcW w:w="0" w:type="auto"/>
            <w:vAlign w:val="center"/>
            <w:hideMark/>
          </w:tcPr>
          <w:p w14:paraId="76A60785" w14:textId="77777777" w:rsidR="004B7D90" w:rsidRPr="00D76668" w:rsidRDefault="004B7D90" w:rsidP="00D76668">
            <w:pPr>
              <w:spacing w:beforeLines="0" w:before="0" w:afterLines="0" w:after="0"/>
              <w:jc w:val="center"/>
              <w:rPr>
                <w:rFonts w:eastAsia="宋体"/>
                <w:sz w:val="18"/>
              </w:rPr>
            </w:pPr>
            <w:r w:rsidRPr="00D76668">
              <w:rPr>
                <w:rFonts w:eastAsia="宋体"/>
                <w:sz w:val="18"/>
              </w:rPr>
              <w:t>联合判据下低扰动候选</w:t>
            </w:r>
          </w:p>
        </w:tc>
        <w:tc>
          <w:tcPr>
            <w:tcW w:w="0" w:type="auto"/>
            <w:vAlign w:val="center"/>
            <w:hideMark/>
          </w:tcPr>
          <w:p w14:paraId="5A7B6A3B" w14:textId="77777777" w:rsidR="004B7D90" w:rsidRPr="00D76668" w:rsidRDefault="004B7D90" w:rsidP="00D76668">
            <w:pPr>
              <w:spacing w:beforeLines="0" w:before="0" w:afterLines="0" w:after="0"/>
              <w:jc w:val="center"/>
              <w:rPr>
                <w:rFonts w:eastAsia="宋体"/>
                <w:sz w:val="18"/>
              </w:rPr>
            </w:pPr>
            <w:r w:rsidRPr="00D76668">
              <w:rPr>
                <w:rFonts w:eastAsia="宋体"/>
                <w:sz w:val="18"/>
              </w:rPr>
              <w:t>4</w:t>
            </w:r>
          </w:p>
        </w:tc>
        <w:tc>
          <w:tcPr>
            <w:tcW w:w="0" w:type="auto"/>
            <w:vAlign w:val="center"/>
            <w:hideMark/>
          </w:tcPr>
          <w:p w14:paraId="4BA74F72" w14:textId="77777777" w:rsidR="004B7D90" w:rsidRPr="00D76668" w:rsidRDefault="004B7D90" w:rsidP="00D76668">
            <w:pPr>
              <w:spacing w:beforeLines="0" w:before="0" w:afterLines="0" w:after="0"/>
              <w:jc w:val="center"/>
              <w:rPr>
                <w:rFonts w:eastAsia="宋体"/>
                <w:sz w:val="18"/>
              </w:rPr>
            </w:pPr>
            <w:r w:rsidRPr="00D76668">
              <w:rPr>
                <w:rFonts w:eastAsia="宋体"/>
                <w:sz w:val="18"/>
              </w:rPr>
              <w:t>80.67</w:t>
            </w:r>
          </w:p>
        </w:tc>
        <w:tc>
          <w:tcPr>
            <w:tcW w:w="0" w:type="auto"/>
            <w:vAlign w:val="center"/>
            <w:hideMark/>
          </w:tcPr>
          <w:p w14:paraId="6C9FA579"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439C03B9" w14:textId="77777777" w:rsidR="004B7D90" w:rsidRPr="00D76668" w:rsidRDefault="004B7D90" w:rsidP="00D76668">
            <w:pPr>
              <w:spacing w:beforeLines="0" w:before="0" w:afterLines="0" w:after="0"/>
              <w:jc w:val="center"/>
              <w:rPr>
                <w:rFonts w:eastAsia="宋体"/>
                <w:sz w:val="18"/>
              </w:rPr>
            </w:pPr>
            <w:r w:rsidRPr="00D76668">
              <w:rPr>
                <w:rFonts w:eastAsia="宋体"/>
                <w:sz w:val="18"/>
              </w:rPr>
              <w:t>—</w:t>
            </w:r>
          </w:p>
        </w:tc>
        <w:tc>
          <w:tcPr>
            <w:tcW w:w="0" w:type="auto"/>
            <w:vAlign w:val="center"/>
            <w:hideMark/>
          </w:tcPr>
          <w:p w14:paraId="5347B848"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0.4449</w:t>
            </w:r>
          </w:p>
        </w:tc>
        <w:tc>
          <w:tcPr>
            <w:tcW w:w="0" w:type="auto"/>
            <w:vAlign w:val="center"/>
            <w:hideMark/>
          </w:tcPr>
          <w:p w14:paraId="01758777" w14:textId="77777777" w:rsidR="004B7D90" w:rsidRPr="00D76668" w:rsidRDefault="004B7D90" w:rsidP="00D76668">
            <w:pPr>
              <w:spacing w:beforeLines="0" w:before="0" w:afterLines="0" w:after="0"/>
              <w:jc w:val="center"/>
              <w:rPr>
                <w:rFonts w:eastAsia="宋体"/>
                <w:sz w:val="18"/>
              </w:rPr>
            </w:pPr>
            <w:r w:rsidRPr="00D76668">
              <w:rPr>
                <w:rFonts w:eastAsia="宋体"/>
                <w:sz w:val="18"/>
              </w:rPr>
              <w:t>0.4416</w:t>
            </w:r>
          </w:p>
        </w:tc>
        <w:tc>
          <w:tcPr>
            <w:tcW w:w="0" w:type="auto"/>
            <w:vAlign w:val="center"/>
            <w:hideMark/>
          </w:tcPr>
          <w:p w14:paraId="14DA8386" w14:textId="77777777" w:rsidR="004B7D90" w:rsidRPr="00D76668" w:rsidRDefault="004B7D90" w:rsidP="00D76668">
            <w:pPr>
              <w:spacing w:beforeLines="0" w:before="0" w:afterLines="0" w:after="0"/>
              <w:jc w:val="center"/>
              <w:rPr>
                <w:rFonts w:eastAsia="宋体"/>
                <w:sz w:val="18"/>
              </w:rPr>
            </w:pPr>
            <w:r w:rsidRPr="00D76668">
              <w:rPr>
                <w:rFonts w:eastAsia="宋体"/>
                <w:sz w:val="18"/>
              </w:rPr>
              <w:t>0.6353</w:t>
            </w:r>
          </w:p>
        </w:tc>
        <w:tc>
          <w:tcPr>
            <w:tcW w:w="0" w:type="auto"/>
            <w:vAlign w:val="center"/>
            <w:hideMark/>
          </w:tcPr>
          <w:p w14:paraId="1DF4745D" w14:textId="77777777" w:rsidR="004B7D90" w:rsidRPr="00D76668" w:rsidRDefault="004B7D90" w:rsidP="00D76668">
            <w:pPr>
              <w:spacing w:beforeLines="0" w:before="0" w:afterLines="0" w:after="0"/>
              <w:jc w:val="center"/>
              <w:rPr>
                <w:rFonts w:eastAsia="宋体"/>
                <w:sz w:val="18"/>
              </w:rPr>
            </w:pPr>
            <w:r w:rsidRPr="00D76668">
              <w:rPr>
                <w:rFonts w:eastAsia="宋体"/>
                <w:sz w:val="18"/>
              </w:rPr>
              <w:t>1.22</w:t>
            </w:r>
          </w:p>
        </w:tc>
        <w:tc>
          <w:tcPr>
            <w:tcW w:w="0" w:type="auto"/>
            <w:vAlign w:val="center"/>
            <w:hideMark/>
          </w:tcPr>
          <w:p w14:paraId="4620DA1B" w14:textId="77777777" w:rsidR="004B7D90" w:rsidRPr="00D76668" w:rsidRDefault="004B7D90" w:rsidP="00D76668">
            <w:pPr>
              <w:spacing w:beforeLines="0" w:before="0" w:afterLines="0" w:after="0"/>
              <w:jc w:val="center"/>
              <w:rPr>
                <w:rFonts w:eastAsia="宋体"/>
                <w:sz w:val="18"/>
              </w:rPr>
            </w:pPr>
            <w:r w:rsidRPr="00D76668">
              <w:rPr>
                <w:rFonts w:eastAsia="宋体"/>
                <w:sz w:val="18"/>
              </w:rPr>
              <w:t>ODI</w:t>
            </w:r>
            <w:r w:rsidRPr="00D76668">
              <w:rPr>
                <w:rFonts w:eastAsia="宋体"/>
                <w:sz w:val="18"/>
              </w:rPr>
              <w:t>均值、</w:t>
            </w:r>
            <w:r w:rsidRPr="00D76668">
              <w:rPr>
                <w:rFonts w:eastAsia="宋体"/>
                <w:sz w:val="18"/>
              </w:rPr>
              <w:t>P90</w:t>
            </w:r>
            <w:r w:rsidRPr="00D76668">
              <w:rPr>
                <w:rFonts w:eastAsia="宋体"/>
                <w:sz w:val="18"/>
              </w:rPr>
              <w:t>和风险综合得分联合判定</w:t>
            </w:r>
          </w:p>
        </w:tc>
      </w:tr>
    </w:tbl>
    <w:p w14:paraId="28DAC752" w14:textId="536417D2"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r w:rsidRPr="004B7D90">
        <w:t>注：</w:t>
      </w:r>
      <w:r w:rsidRPr="004B7D90">
        <w:t>“—”</w:t>
      </w:r>
      <w:r w:rsidRPr="004B7D90">
        <w:t>表示该指标未作为对应偏好模式的主排序指标；风险综合得分越低，表示方案扰动风险越低。</w:t>
      </w:r>
    </w:p>
    <w:p w14:paraId="6D863820" w14:textId="77777777" w:rsidR="004B7D90" w:rsidRPr="004B7D90" w:rsidRDefault="004B7D90" w:rsidP="004B7D90">
      <w:pPr>
        <w:pStyle w:val="100"/>
        <w:ind w:firstLine="420"/>
      </w:pPr>
      <w:r w:rsidRPr="004B7D90">
        <w:t>由表</w:t>
      </w:r>
      <w:r w:rsidRPr="004B7D90">
        <w:t>3</w:t>
      </w:r>
      <w:r w:rsidRPr="004B7D90">
        <w:t>可知，工程效率优先方案</w:t>
      </w:r>
      <w:r w:rsidRPr="004B7D90">
        <w:t>A</w:t>
      </w:r>
      <w:r w:rsidRPr="004B7D90">
        <w:t>布置</w:t>
      </w:r>
      <w:r w:rsidRPr="004B7D90">
        <w:t>5</w:t>
      </w:r>
      <w:r w:rsidRPr="004B7D90">
        <w:t>个工作面，覆盖率为</w:t>
      </w:r>
      <w:r w:rsidRPr="004B7D90">
        <w:t>89.34%</w:t>
      </w:r>
      <w:r w:rsidRPr="004B7D90">
        <w:t>，工程效率评分为</w:t>
      </w:r>
      <w:r w:rsidRPr="004B7D90">
        <w:t>87.82</w:t>
      </w:r>
      <w:r w:rsidRPr="004B7D90">
        <w:t>；资源回收优先方案</w:t>
      </w:r>
      <w:r w:rsidRPr="004B7D90">
        <w:t>B</w:t>
      </w:r>
      <w:r w:rsidRPr="004B7D90">
        <w:t>布置</w:t>
      </w:r>
      <w:r w:rsidRPr="004B7D90">
        <w:t>9</w:t>
      </w:r>
      <w:r w:rsidRPr="004B7D90">
        <w:t>个工作面，覆盖率提高至</w:t>
      </w:r>
      <w:r w:rsidRPr="004B7D90">
        <w:t>98.52%</w:t>
      </w:r>
      <w:r w:rsidRPr="004B7D90">
        <w:t>，资源回收评分为</w:t>
      </w:r>
      <w:r w:rsidRPr="004B7D90">
        <w:t>89.76</w:t>
      </w:r>
      <w:r w:rsidRPr="004B7D90">
        <w:t>；低扰动候选方案</w:t>
      </w:r>
      <w:r w:rsidRPr="004B7D90">
        <w:t>C</w:t>
      </w:r>
      <w:r w:rsidRPr="004B7D90">
        <w:t>布置</w:t>
      </w:r>
      <w:r w:rsidRPr="004B7D90">
        <w:t>4</w:t>
      </w:r>
      <w:r w:rsidRPr="004B7D90">
        <w:t>个工作面，覆盖率为</w:t>
      </w:r>
      <w:r w:rsidRPr="004B7D90">
        <w:t>80.67%</w:t>
      </w:r>
      <w:r w:rsidRPr="004B7D90">
        <w:t>，风险综合得分为</w:t>
      </w:r>
      <w:r w:rsidRPr="004B7D90">
        <w:t>0.4449</w:t>
      </w:r>
      <w:r w:rsidRPr="004B7D90">
        <w:t>。</w:t>
      </w:r>
    </w:p>
    <w:p w14:paraId="51241BBC" w14:textId="77777777" w:rsidR="004B7D90" w:rsidRPr="004B7D90" w:rsidRDefault="004B7D90" w:rsidP="004B7D90">
      <w:pPr>
        <w:pStyle w:val="100"/>
        <w:ind w:firstLine="420"/>
      </w:pPr>
      <w:r w:rsidRPr="004B7D90">
        <w:t>在统一综合</w:t>
      </w:r>
      <w:r w:rsidRPr="004B7D90">
        <w:t>ODI</w:t>
      </w:r>
      <w:r w:rsidRPr="004B7D90">
        <w:t>场下，</w:t>
      </w:r>
      <w:r w:rsidRPr="004B7D90">
        <w:t>A</w:t>
      </w:r>
      <w:r w:rsidRPr="004B7D90">
        <w:t>、</w:t>
      </w:r>
      <w:r w:rsidRPr="004B7D90">
        <w:t>B</w:t>
      </w:r>
      <w:r w:rsidRPr="004B7D90">
        <w:t>、</w:t>
      </w:r>
      <w:r w:rsidRPr="004B7D90">
        <w:t>C</w:t>
      </w:r>
      <w:r w:rsidRPr="004B7D90">
        <w:t>方案的</w:t>
      </w:r>
      <w:r w:rsidRPr="004B7D90">
        <w:t>ODI</w:t>
      </w:r>
      <w:r w:rsidRPr="004B7D90">
        <w:t>均值分别为</w:t>
      </w:r>
      <w:r w:rsidRPr="004B7D90">
        <w:t>0.4463</w:t>
      </w:r>
      <w:r w:rsidRPr="004B7D90">
        <w:t>、</w:t>
      </w:r>
      <w:r w:rsidRPr="004B7D90">
        <w:t>0.4552</w:t>
      </w:r>
      <w:r w:rsidRPr="004B7D90">
        <w:t>和</w:t>
      </w:r>
      <w:r w:rsidRPr="004B7D90">
        <w:t>0.4416</w:t>
      </w:r>
      <w:r w:rsidRPr="004B7D90">
        <w:t>，</w:t>
      </w:r>
      <w:r w:rsidRPr="004B7D90">
        <w:t>90%</w:t>
      </w:r>
      <w:r w:rsidRPr="004B7D90">
        <w:t>分位数分别为</w:t>
      </w:r>
      <w:r w:rsidRPr="004B7D90">
        <w:t>0.6407</w:t>
      </w:r>
      <w:r w:rsidRPr="004B7D90">
        <w:t>、</w:t>
      </w:r>
      <w:r w:rsidRPr="004B7D90">
        <w:t>0.6462</w:t>
      </w:r>
      <w:r w:rsidRPr="004B7D90">
        <w:t>和</w:t>
      </w:r>
      <w:r w:rsidRPr="004B7D90">
        <w:t>0.6353</w:t>
      </w:r>
      <w:r w:rsidRPr="004B7D90">
        <w:t>，</w:t>
      </w:r>
      <w:r w:rsidRPr="004B7D90">
        <w:t>ODI</w:t>
      </w:r>
      <w:r w:rsidRPr="004B7D90">
        <w:t>＞</w:t>
      </w:r>
      <w:r w:rsidRPr="004B7D90">
        <w:t>0.70</w:t>
      </w:r>
      <w:r w:rsidRPr="004B7D90">
        <w:t>比例</w:t>
      </w:r>
      <w:r w:rsidRPr="004B7D90">
        <w:t>分别为</w:t>
      </w:r>
      <w:r w:rsidRPr="004B7D90">
        <w:t>0.44%</w:t>
      </w:r>
      <w:r w:rsidRPr="004B7D90">
        <w:t>、</w:t>
      </w:r>
      <w:r w:rsidRPr="004B7D90">
        <w:t>0.56%</w:t>
      </w:r>
      <w:r w:rsidRPr="004B7D90">
        <w:t>和</w:t>
      </w:r>
      <w:r w:rsidRPr="004B7D90">
        <w:t>1.22%</w:t>
      </w:r>
      <w:r w:rsidRPr="004B7D90">
        <w:t>。结果表明，</w:t>
      </w:r>
      <w:r w:rsidRPr="004B7D90">
        <w:t>C</w:t>
      </w:r>
      <w:r w:rsidRPr="004B7D90">
        <w:t>方案虽然覆盖率低于</w:t>
      </w:r>
      <w:r w:rsidRPr="004B7D90">
        <w:t>A</w:t>
      </w:r>
      <w:r w:rsidRPr="004B7D90">
        <w:t>、</w:t>
      </w:r>
      <w:r w:rsidRPr="004B7D90">
        <w:t>B</w:t>
      </w:r>
      <w:r w:rsidRPr="004B7D90">
        <w:t>方案，且在</w:t>
      </w:r>
      <w:r w:rsidRPr="004B7D90">
        <w:t>0.70</w:t>
      </w:r>
      <w:r w:rsidRPr="004B7D90">
        <w:t>阈值下的超阈值比例并非最低，但其</w:t>
      </w:r>
      <w:r w:rsidRPr="004B7D90">
        <w:t>ODI</w:t>
      </w:r>
      <w:r w:rsidRPr="004B7D90">
        <w:t>均值和</w:t>
      </w:r>
      <w:r w:rsidRPr="004B7D90">
        <w:t>90%</w:t>
      </w:r>
      <w:r w:rsidRPr="004B7D90">
        <w:t>分位数均为三者最低，表明其总体扰动水平和高值尾部风险相对较低。</w:t>
      </w:r>
    </w:p>
    <w:p w14:paraId="7148DBBA" w14:textId="1B5955EA" w:rsidR="004B7D90" w:rsidRPr="004B7D90" w:rsidRDefault="004B7D90" w:rsidP="004B7D90">
      <w:pPr>
        <w:pStyle w:val="100"/>
        <w:ind w:firstLine="420"/>
      </w:pPr>
      <w:r w:rsidRPr="004B7D90">
        <w:t>为进一步解释三类方案扰动统计差异的空间原因，将</w:t>
      </w:r>
      <w:r w:rsidRPr="004B7D90">
        <w:t>A</w:t>
      </w:r>
      <w:r w:rsidRPr="004B7D90">
        <w:t>、</w:t>
      </w:r>
      <w:r w:rsidRPr="004B7D90">
        <w:t>B</w:t>
      </w:r>
      <w:r w:rsidRPr="004B7D90">
        <w:t>、</w:t>
      </w:r>
      <w:r w:rsidRPr="004B7D90">
        <w:t>C</w:t>
      </w:r>
      <w:r w:rsidRPr="004B7D90">
        <w:t>方案工作面布局与高扰动区进行叠置分析，结果如</w:t>
      </w:r>
      <w:r w:rsidR="008419FD">
        <w:fldChar w:fldCharType="begin"/>
      </w:r>
      <w:r w:rsidR="008419FD">
        <w:instrText xml:space="preserve"> REF _Ref227925957 \h </w:instrText>
      </w:r>
      <w:r w:rsidR="008419FD">
        <w:fldChar w:fldCharType="separate"/>
      </w:r>
      <w:r w:rsidR="008419FD">
        <w:rPr>
          <w:rFonts w:hint="eastAsia"/>
        </w:rPr>
        <w:t>图</w:t>
      </w:r>
      <w:r w:rsidR="008419FD">
        <w:rPr>
          <w:noProof/>
        </w:rPr>
        <w:t>9</w:t>
      </w:r>
      <w:r w:rsidR="008419FD">
        <w:fldChar w:fldCharType="end"/>
      </w:r>
      <w:r w:rsidRPr="004B7D90">
        <w:t>所示。</w:t>
      </w:r>
    </w:p>
    <w:p w14:paraId="21A05F4C" w14:textId="77777777" w:rsidR="004B7D90" w:rsidRDefault="004B7D90" w:rsidP="004B7D90">
      <w:pPr>
        <w:pStyle w:val="aff"/>
        <w:sectPr w:rsidR="004B7D90" w:rsidSect="00A07DBF">
          <w:type w:val="continuous"/>
          <w:pgSz w:w="11906" w:h="16838"/>
          <w:pgMar w:top="1418" w:right="1134" w:bottom="1134" w:left="1134" w:header="720" w:footer="720" w:gutter="0"/>
          <w:cols w:num="2" w:space="720"/>
          <w:docGrid w:linePitch="598"/>
        </w:sectPr>
      </w:pPr>
    </w:p>
    <w:p w14:paraId="5D0C3AB0" w14:textId="77777777" w:rsidR="004B7D90" w:rsidRDefault="004B7D90" w:rsidP="004B7D90">
      <w:pPr>
        <w:pStyle w:val="aff"/>
      </w:pPr>
      <w:r>
        <w:rPr>
          <w:noProof/>
        </w:rPr>
        <w:drawing>
          <wp:inline distT="0" distB="0" distL="0" distR="0" wp14:anchorId="0C749FC0" wp14:editId="712132A2">
            <wp:extent cx="5778000" cy="1461669"/>
            <wp:effectExtent l="0" t="0" r="0" b="5715"/>
            <wp:docPr id="11497558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0371"/>
                    <a:stretch>
                      <a:fillRect/>
                    </a:stretch>
                  </pic:blipFill>
                  <pic:spPr bwMode="auto">
                    <a:xfrm>
                      <a:off x="0" y="0"/>
                      <a:ext cx="5778000" cy="1461669"/>
                    </a:xfrm>
                    <a:prstGeom prst="rect">
                      <a:avLst/>
                    </a:prstGeom>
                    <a:noFill/>
                    <a:ln>
                      <a:noFill/>
                    </a:ln>
                    <a:extLst>
                      <a:ext uri="{53640926-AAD7-44D8-BBD7-CCE9431645EC}">
                        <a14:shadowObscured xmlns:a14="http://schemas.microsoft.com/office/drawing/2010/main"/>
                      </a:ext>
                    </a:extLst>
                  </pic:spPr>
                </pic:pic>
              </a:graphicData>
            </a:graphic>
          </wp:inline>
        </w:drawing>
      </w:r>
    </w:p>
    <w:p w14:paraId="39346ADF" w14:textId="2F202655" w:rsidR="004B7D90" w:rsidRDefault="004B7D90" w:rsidP="008419FD">
      <w:pPr>
        <w:pStyle w:val="14"/>
      </w:pPr>
      <w:bookmarkStart w:id="9" w:name="_Ref22792595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419FD">
        <w:rPr>
          <w:noProof/>
        </w:rPr>
        <w:t>9</w:t>
      </w:r>
      <w:r>
        <w:fldChar w:fldCharType="end"/>
      </w:r>
      <w:bookmarkEnd w:id="9"/>
      <w:r>
        <w:rPr>
          <w:rFonts w:hint="eastAsia"/>
        </w:rPr>
        <w:t xml:space="preserve"> </w:t>
      </w:r>
      <w:r w:rsidRPr="009717C8">
        <w:t>A</w:t>
      </w:r>
      <w:r w:rsidRPr="009717C8">
        <w:t>、</w:t>
      </w:r>
      <w:r w:rsidRPr="009717C8">
        <w:t>B</w:t>
      </w:r>
      <w:r w:rsidRPr="009717C8">
        <w:t>、</w:t>
      </w:r>
      <w:r w:rsidRPr="009717C8">
        <w:t>C</w:t>
      </w:r>
      <w:r w:rsidRPr="009717C8">
        <w:t>候选方案工作面布局与高扰动区叠置对比图</w:t>
      </w:r>
    </w:p>
    <w:p w14:paraId="35D61724" w14:textId="4FA6F0A5" w:rsidR="004B7D90" w:rsidRPr="004B7D90" w:rsidRDefault="004B7D90" w:rsidP="008419FD">
      <w:pPr>
        <w:pStyle w:val="14"/>
        <w:rPr>
          <w:sz w:val="21"/>
        </w:rPr>
      </w:pPr>
      <w:r w:rsidRPr="009717C8">
        <w:t>Fig.</w:t>
      </w:r>
      <w:r w:rsidR="008419FD">
        <w:rPr>
          <w:rFonts w:hint="eastAsia"/>
        </w:rPr>
        <w:t>9</w:t>
      </w:r>
      <w:r w:rsidRPr="009717C8">
        <w:t xml:space="preserve"> Comparison of A, B and C candidate layouts overlaid with high-disturbance zone</w:t>
      </w:r>
    </w:p>
    <w:p w14:paraId="2074B68F" w14:textId="77777777" w:rsidR="004B7D90" w:rsidRDefault="004B7D90" w:rsidP="004B7D90">
      <w:pPr>
        <w:pStyle w:val="100"/>
        <w:ind w:firstLineChars="0" w:firstLine="0"/>
        <w:sectPr w:rsidR="004B7D90" w:rsidSect="004B7D90">
          <w:type w:val="continuous"/>
          <w:pgSz w:w="11906" w:h="16838"/>
          <w:pgMar w:top="1418" w:right="1134" w:bottom="1134" w:left="1134" w:header="720" w:footer="720" w:gutter="0"/>
          <w:cols w:space="720"/>
          <w:docGrid w:linePitch="598"/>
        </w:sectPr>
      </w:pPr>
    </w:p>
    <w:p w14:paraId="149A89DC" w14:textId="1B6581FA" w:rsidR="004B7D90" w:rsidRPr="004B7D90" w:rsidRDefault="004B7D90" w:rsidP="004B7D90">
      <w:pPr>
        <w:pStyle w:val="100"/>
        <w:ind w:firstLine="420"/>
      </w:pPr>
      <w:r w:rsidRPr="004B7D90">
        <w:t>由</w:t>
      </w:r>
      <w:r w:rsidR="008419FD">
        <w:fldChar w:fldCharType="begin"/>
      </w:r>
      <w:r w:rsidR="008419FD">
        <w:instrText xml:space="preserve"> REF _Ref227925957 \h </w:instrText>
      </w:r>
      <w:r w:rsidR="008419FD">
        <w:fldChar w:fldCharType="separate"/>
      </w:r>
      <w:r w:rsidR="008419FD">
        <w:rPr>
          <w:rFonts w:hint="eastAsia"/>
        </w:rPr>
        <w:t>图</w:t>
      </w:r>
      <w:r w:rsidR="008419FD">
        <w:rPr>
          <w:noProof/>
        </w:rPr>
        <w:t>9</w:t>
      </w:r>
      <w:r w:rsidR="008419FD">
        <w:fldChar w:fldCharType="end"/>
      </w:r>
      <w:r w:rsidRPr="004B7D90">
        <w:t>可见，</w:t>
      </w:r>
      <w:r w:rsidRPr="004B7D90">
        <w:t>A</w:t>
      </w:r>
      <w:r w:rsidRPr="004B7D90">
        <w:t>方案布局较为规整，工作面数量适中，体现出较好的工程组织特征；</w:t>
      </w:r>
      <w:r w:rsidRPr="004B7D90">
        <w:t>B</w:t>
      </w:r>
      <w:r w:rsidRPr="004B7D90">
        <w:t>方案覆盖范围最大，更多区域被纳入工作面布置，因此资源回收水平较高，但也增加了与中高扰动区接触的可能；</w:t>
      </w:r>
      <w:r w:rsidRPr="004B7D90">
        <w:t>C</w:t>
      </w:r>
      <w:r w:rsidRPr="004B7D90">
        <w:t>方案工作面数量较少，整体布置更倾向于避让高扰动敏感区，因此其</w:t>
      </w:r>
      <w:r w:rsidRPr="004B7D90">
        <w:t>ODI</w:t>
      </w:r>
      <w:r w:rsidRPr="004B7D90">
        <w:t>均值和</w:t>
      </w:r>
      <w:r w:rsidRPr="004B7D90">
        <w:t>90%</w:t>
      </w:r>
      <w:r w:rsidRPr="004B7D90">
        <w:t>分位数较低。该空间对比表明，</w:t>
      </w:r>
      <w:r w:rsidRPr="004B7D90">
        <w:t>ODI</w:t>
      </w:r>
      <w:r w:rsidRPr="004B7D90">
        <w:t>约束并不是简单缩小布置范围，而是改变了候选方案在高扰动区附近的排序和选择结果。</w:t>
      </w:r>
    </w:p>
    <w:p w14:paraId="07A77E6A" w14:textId="77777777" w:rsidR="004B7D90" w:rsidRPr="004B7D90" w:rsidRDefault="004B7D90" w:rsidP="004B7D90">
      <w:pPr>
        <w:pStyle w:val="100"/>
        <w:ind w:firstLine="420"/>
      </w:pPr>
      <w:r w:rsidRPr="004B7D90">
        <w:t>综合图</w:t>
      </w:r>
      <w:r w:rsidRPr="004B7D90">
        <w:t>8</w:t>
      </w:r>
      <w:r w:rsidRPr="004B7D90">
        <w:t>、表</w:t>
      </w:r>
      <w:r w:rsidRPr="004B7D90">
        <w:t>3</w:t>
      </w:r>
      <w:r w:rsidRPr="004B7D90">
        <w:t>和图</w:t>
      </w:r>
      <w:r w:rsidRPr="004B7D90">
        <w:t>9</w:t>
      </w:r>
      <w:r w:rsidRPr="004B7D90">
        <w:t>可知，</w:t>
      </w:r>
      <w:r w:rsidRPr="004B7D90">
        <w:t>A</w:t>
      </w:r>
      <w:r w:rsidRPr="004B7D90">
        <w:t>、</w:t>
      </w:r>
      <w:r w:rsidRPr="004B7D90">
        <w:t>B</w:t>
      </w:r>
      <w:r w:rsidRPr="004B7D90">
        <w:t>、</w:t>
      </w:r>
      <w:r w:rsidRPr="004B7D90">
        <w:t>C</w:t>
      </w:r>
      <w:r w:rsidRPr="004B7D90">
        <w:t>方案分别体现了工程效率、资源回收和扰动控制</w:t>
      </w:r>
      <w:r w:rsidRPr="004B7D90">
        <w:t>3</w:t>
      </w:r>
      <w:r w:rsidRPr="004B7D90">
        <w:t>种不同偏好。</w:t>
      </w:r>
      <w:r w:rsidRPr="004B7D90">
        <w:t>B</w:t>
      </w:r>
      <w:r w:rsidRPr="004B7D90">
        <w:t>方案在覆盖率方面优势明显，但扰动统计值相对较高；</w:t>
      </w:r>
      <w:r w:rsidRPr="004B7D90">
        <w:t>C</w:t>
      </w:r>
      <w:r w:rsidRPr="004B7D90">
        <w:t>方案牺牲了一定覆盖率，但降低了总体扰动水平和高值尾部风险。这说明采区规划中并不存在无代价的</w:t>
      </w:r>
      <w:r w:rsidRPr="004B7D90">
        <w:t>“</w:t>
      </w:r>
      <w:r w:rsidRPr="004B7D90">
        <w:t>高覆盖、低扰动</w:t>
      </w:r>
      <w:r w:rsidRPr="004B7D90">
        <w:t>”</w:t>
      </w:r>
      <w:r w:rsidRPr="004B7D90">
        <w:t>单一最优解，而需要在统一风险口径下对资源利用、工程组织和扰动控制进行综合权衡。</w:t>
      </w:r>
    </w:p>
    <w:p w14:paraId="5DD07483" w14:textId="77777777" w:rsidR="004B7D90" w:rsidRPr="004B7D90" w:rsidRDefault="004B7D90" w:rsidP="00DF00E8">
      <w:pPr>
        <w:pStyle w:val="12"/>
      </w:pPr>
      <w:r w:rsidRPr="004B7D90">
        <w:t xml:space="preserve">4.4 </w:t>
      </w:r>
      <w:r w:rsidRPr="004B7D90">
        <w:t>阈值与权重敏感性分析</w:t>
      </w:r>
    </w:p>
    <w:p w14:paraId="2112B383" w14:textId="77777777" w:rsidR="004B7D90" w:rsidRPr="004B7D90" w:rsidRDefault="004B7D90" w:rsidP="004B7D90">
      <w:pPr>
        <w:pStyle w:val="100"/>
        <w:ind w:firstLine="420"/>
      </w:pPr>
      <w:r w:rsidRPr="004B7D90">
        <w:t>为检验低扰动候选方案对统计阈值和权重设定的敏感性，进一步对</w:t>
      </w:r>
      <w:r w:rsidRPr="004B7D90">
        <w:t>A</w:t>
      </w:r>
      <w:r w:rsidRPr="004B7D90">
        <w:t>、</w:t>
      </w:r>
      <w:r w:rsidRPr="004B7D90">
        <w:t>B</w:t>
      </w:r>
      <w:r w:rsidRPr="004B7D90">
        <w:t>、</w:t>
      </w:r>
      <w:r w:rsidRPr="004B7D90">
        <w:t>C</w:t>
      </w:r>
      <w:r w:rsidRPr="004B7D90">
        <w:t>方案开展阈值敏感性和权重敏感性分析。阈值敏感性分析选取</w:t>
      </w:r>
      <w:r w:rsidRPr="004B7D90">
        <w:t>ODI</w:t>
      </w:r>
      <w:r w:rsidRPr="004B7D90">
        <w:t>阈值</w:t>
      </w:r>
      <w:r w:rsidRPr="004B7D90">
        <w:t>0.65</w:t>
      </w:r>
      <w:r w:rsidRPr="004B7D90">
        <w:t>、</w:t>
      </w:r>
      <w:r w:rsidRPr="004B7D90">
        <w:t>0.70</w:t>
      </w:r>
      <w:r w:rsidRPr="004B7D90">
        <w:t>、</w:t>
      </w:r>
      <w:r w:rsidRPr="004B7D90">
        <w:t>0.75</w:t>
      </w:r>
      <w:r w:rsidRPr="004B7D90">
        <w:t>和</w:t>
      </w:r>
      <w:r w:rsidRPr="004B7D90">
        <w:t>0.80</w:t>
      </w:r>
      <w:r w:rsidRPr="004B7D90">
        <w:t>，统计各方案的超阈值暴露比例；权重敏感性分析设置基准权重、地表沉陷分量增强、含水层扰动分量增强、上行开采分量增强及上行开采专项权重等情景，比较各方案风险综合得分变化。结果如图</w:t>
      </w:r>
      <w:r w:rsidRPr="004B7D90">
        <w:t>10</w:t>
      </w:r>
      <w:r w:rsidRPr="004B7D90">
        <w:t>和图</w:t>
      </w:r>
      <w:r w:rsidRPr="004B7D90">
        <w:t>11</w:t>
      </w:r>
      <w:r w:rsidRPr="004B7D90">
        <w:t>所示。</w:t>
      </w:r>
    </w:p>
    <w:p w14:paraId="416A61E9" w14:textId="77777777" w:rsidR="004B7D90" w:rsidRDefault="004B7D90" w:rsidP="004B7D90">
      <w:pPr>
        <w:pStyle w:val="100"/>
        <w:ind w:firstLineChars="0" w:firstLine="0"/>
      </w:pPr>
    </w:p>
    <w:p w14:paraId="256AC69C" w14:textId="73593C47" w:rsidR="004B7D90" w:rsidRDefault="004B7D90" w:rsidP="004B7D90">
      <w:pPr>
        <w:pStyle w:val="100"/>
        <w:ind w:firstLineChars="0" w:firstLine="0"/>
      </w:pPr>
      <w:r>
        <w:rPr>
          <w:noProof/>
        </w:rPr>
        <w:lastRenderedPageBreak/>
        <w:drawing>
          <wp:inline distT="0" distB="0" distL="0" distR="0" wp14:anchorId="0B5B198C" wp14:editId="40EFC356">
            <wp:extent cx="2827020" cy="1623060"/>
            <wp:effectExtent l="0" t="0" r="0" b="0"/>
            <wp:docPr id="13361904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7020" cy="1623060"/>
                    </a:xfrm>
                    <a:prstGeom prst="rect">
                      <a:avLst/>
                    </a:prstGeom>
                    <a:noFill/>
                    <a:ln>
                      <a:noFill/>
                    </a:ln>
                  </pic:spPr>
                </pic:pic>
              </a:graphicData>
            </a:graphic>
          </wp:inline>
        </w:drawing>
      </w:r>
    </w:p>
    <w:p w14:paraId="0C521449" w14:textId="77777777" w:rsidR="004B7D90" w:rsidRDefault="004B7D90" w:rsidP="004B7D90">
      <w:pPr>
        <w:pStyle w:val="14"/>
      </w:pPr>
      <w:bookmarkStart w:id="10" w:name="_Ref22776562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10"/>
      <w:r>
        <w:rPr>
          <w:rFonts w:hint="eastAsia"/>
        </w:rPr>
        <w:t xml:space="preserve"> </w:t>
      </w:r>
      <w:r w:rsidRPr="009717C8">
        <w:t>A</w:t>
      </w:r>
      <w:r w:rsidRPr="009717C8">
        <w:t>、</w:t>
      </w:r>
      <w:r w:rsidRPr="009717C8">
        <w:t>B</w:t>
      </w:r>
      <w:r w:rsidRPr="009717C8">
        <w:t>、</w:t>
      </w:r>
      <w:r w:rsidRPr="009717C8">
        <w:t>C</w:t>
      </w:r>
      <w:r w:rsidRPr="009717C8">
        <w:t>方案阈值敏感性分析图</w:t>
      </w:r>
    </w:p>
    <w:p w14:paraId="43E0DE2E" w14:textId="7DAF68DF" w:rsidR="004B7D90" w:rsidRDefault="004B7D90" w:rsidP="004B7D90">
      <w:pPr>
        <w:pStyle w:val="14"/>
      </w:pPr>
      <w:r w:rsidRPr="009717C8">
        <w:t>Fig.</w:t>
      </w:r>
      <w:r w:rsidR="008419FD">
        <w:rPr>
          <w:rFonts w:hint="eastAsia"/>
        </w:rPr>
        <w:t>10</w:t>
      </w:r>
      <w:r w:rsidRPr="009717C8">
        <w:t xml:space="preserve"> Threshold sensitivity analysis of schemes A, B and C</w:t>
      </w:r>
    </w:p>
    <w:p w14:paraId="24B86441" w14:textId="77777777" w:rsidR="004B7D90" w:rsidRDefault="004B7D90" w:rsidP="004B7D90">
      <w:pPr>
        <w:pStyle w:val="aff"/>
      </w:pPr>
      <w:r>
        <w:rPr>
          <w:rFonts w:hint="eastAsia"/>
          <w:noProof/>
        </w:rPr>
        <w:drawing>
          <wp:inline distT="0" distB="0" distL="0" distR="0" wp14:anchorId="49258BEA" wp14:editId="40756966">
            <wp:extent cx="2827020" cy="1325880"/>
            <wp:effectExtent l="0" t="0" r="0" b="7620"/>
            <wp:docPr id="3448137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7020" cy="1325880"/>
                    </a:xfrm>
                    <a:prstGeom prst="rect">
                      <a:avLst/>
                    </a:prstGeom>
                    <a:noFill/>
                    <a:ln>
                      <a:noFill/>
                    </a:ln>
                  </pic:spPr>
                </pic:pic>
              </a:graphicData>
            </a:graphic>
          </wp:inline>
        </w:drawing>
      </w:r>
    </w:p>
    <w:p w14:paraId="50EAC769" w14:textId="77777777" w:rsidR="004B7D90" w:rsidRDefault="004B7D90" w:rsidP="004B7D90">
      <w:pPr>
        <w:pStyle w:val="14"/>
      </w:pPr>
      <w:bookmarkStart w:id="11" w:name="_Ref22776574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11"/>
      <w:r>
        <w:rPr>
          <w:rFonts w:hint="eastAsia"/>
        </w:rPr>
        <w:t xml:space="preserve"> </w:t>
      </w:r>
      <w:r w:rsidRPr="009717C8">
        <w:t>A</w:t>
      </w:r>
      <w:r w:rsidRPr="009717C8">
        <w:t>、</w:t>
      </w:r>
      <w:r w:rsidRPr="009717C8">
        <w:t>B</w:t>
      </w:r>
      <w:r w:rsidRPr="009717C8">
        <w:t>、</w:t>
      </w:r>
      <w:r w:rsidRPr="009717C8">
        <w:t>C</w:t>
      </w:r>
      <w:r w:rsidRPr="009717C8">
        <w:t>方案权重敏感性分析图</w:t>
      </w:r>
    </w:p>
    <w:p w14:paraId="59F0F104" w14:textId="669952E4" w:rsidR="004B7D90" w:rsidRDefault="004B7D90" w:rsidP="004B7D90">
      <w:pPr>
        <w:pStyle w:val="14"/>
      </w:pPr>
      <w:r w:rsidRPr="009717C8">
        <w:t>Fig.</w:t>
      </w:r>
      <w:r w:rsidR="008419FD">
        <w:rPr>
          <w:rFonts w:hint="eastAsia"/>
        </w:rPr>
        <w:t>11</w:t>
      </w:r>
      <w:r w:rsidRPr="009717C8">
        <w:t xml:space="preserve"> </w:t>
      </w:r>
      <w:r w:rsidRPr="002711E2">
        <w:t>Weight sensitivity analysis of schemes A, B and C</w:t>
      </w:r>
    </w:p>
    <w:p w14:paraId="47A71DEE" w14:textId="2984141F" w:rsidR="00927E53" w:rsidRPr="00927E53" w:rsidRDefault="00927E53" w:rsidP="00927E53">
      <w:pPr>
        <w:pStyle w:val="100"/>
        <w:ind w:firstLine="420"/>
      </w:pPr>
      <w:r w:rsidRPr="00927E53">
        <w:t>由</w:t>
      </w:r>
      <w:r w:rsidRPr="00927E53">
        <w:fldChar w:fldCharType="begin"/>
      </w:r>
      <w:r w:rsidRPr="00927E53">
        <w:instrText xml:space="preserve"> REF _Ref227765621 \h </w:instrText>
      </w:r>
      <w:r>
        <w:instrText xml:space="preserve"> \* MERGEFORMAT </w:instrText>
      </w:r>
      <w:r w:rsidRPr="00927E53">
        <w:fldChar w:fldCharType="separate"/>
      </w:r>
      <w:r w:rsidRPr="00927E53">
        <w:t>图</w:t>
      </w:r>
      <w:r w:rsidRPr="00927E53">
        <w:t>10</w:t>
      </w:r>
      <w:r w:rsidRPr="00927E53">
        <w:fldChar w:fldCharType="end"/>
      </w:r>
      <w:r w:rsidRPr="00927E53">
        <w:t>可知，随着</w:t>
      </w:r>
      <w:r w:rsidRPr="00927E53">
        <w:t>ODI</w:t>
      </w:r>
      <w:r w:rsidRPr="00927E53">
        <w:t>阈值由</w:t>
      </w:r>
      <w:r w:rsidRPr="00927E53">
        <w:t>0.65</w:t>
      </w:r>
      <w:r w:rsidRPr="00927E53">
        <w:t>提高至</w:t>
      </w:r>
      <w:r w:rsidRPr="00927E53">
        <w:t>0.80</w:t>
      </w:r>
      <w:r w:rsidRPr="00927E53">
        <w:t>，三类方案的超阈值暴露比例整体降低，说明超阈值比例对阈值设定较为敏感。当阈值取</w:t>
      </w:r>
      <w:r w:rsidRPr="00927E53">
        <w:t>0.65</w:t>
      </w:r>
      <w:r w:rsidRPr="00927E53">
        <w:t>时，</w:t>
      </w:r>
      <w:r w:rsidRPr="00927E53">
        <w:t>A</w:t>
      </w:r>
      <w:r w:rsidRPr="00927E53">
        <w:t>、</w:t>
      </w:r>
      <w:r w:rsidRPr="00927E53">
        <w:t>B</w:t>
      </w:r>
      <w:r w:rsidRPr="00927E53">
        <w:t>、</w:t>
      </w:r>
      <w:r w:rsidRPr="00927E53">
        <w:t>C</w:t>
      </w:r>
      <w:r w:rsidRPr="00927E53">
        <w:t>方案的超限比例分别为</w:t>
      </w:r>
      <w:r w:rsidRPr="00927E53">
        <w:t>7.42%</w:t>
      </w:r>
      <w:r w:rsidRPr="00927E53">
        <w:t>、</w:t>
      </w:r>
      <w:r w:rsidRPr="00927E53">
        <w:t>9.09%</w:t>
      </w:r>
      <w:r w:rsidRPr="00927E53">
        <w:t>和</w:t>
      </w:r>
      <w:r w:rsidRPr="00927E53">
        <w:t>6.31%</w:t>
      </w:r>
      <w:r w:rsidRPr="00927E53">
        <w:t>；当阈值取</w:t>
      </w:r>
      <w:r w:rsidRPr="00927E53">
        <w:t>0.70</w:t>
      </w:r>
      <w:r w:rsidRPr="00927E53">
        <w:t>时，三者分别为</w:t>
      </w:r>
      <w:r w:rsidRPr="00927E53">
        <w:t>0.44%</w:t>
      </w:r>
      <w:r w:rsidRPr="00927E53">
        <w:t>、</w:t>
      </w:r>
      <w:r w:rsidRPr="00927E53">
        <w:t>0.56%</w:t>
      </w:r>
      <w:r w:rsidRPr="00927E53">
        <w:t>和</w:t>
      </w:r>
      <w:r w:rsidRPr="00927E53">
        <w:t>1.22%</w:t>
      </w:r>
      <w:r w:rsidRPr="00927E53">
        <w:t>。</w:t>
      </w:r>
      <w:r w:rsidRPr="00927E53">
        <w:t>C</w:t>
      </w:r>
      <w:r w:rsidRPr="00927E53">
        <w:t>方案并非在所有阈值下均具有最低超限比例，说明单一阈值下的超限率不能稳定代表方案扰动水平。</w:t>
      </w:r>
    </w:p>
    <w:p w14:paraId="71340B6D" w14:textId="4B04A594" w:rsidR="00927E53" w:rsidRPr="00927E53" w:rsidRDefault="00927E53" w:rsidP="00927E53">
      <w:pPr>
        <w:pStyle w:val="100"/>
        <w:ind w:firstLine="420"/>
      </w:pPr>
      <w:r w:rsidRPr="00927E53">
        <w:t>由</w:t>
      </w:r>
      <w:r w:rsidRPr="00927E53">
        <w:fldChar w:fldCharType="begin"/>
      </w:r>
      <w:r w:rsidRPr="00927E53">
        <w:instrText xml:space="preserve"> REF _Ref227765749 \h </w:instrText>
      </w:r>
      <w:r>
        <w:instrText xml:space="preserve"> \* MERGEFORMAT </w:instrText>
      </w:r>
      <w:r w:rsidRPr="00927E53">
        <w:fldChar w:fldCharType="separate"/>
      </w:r>
      <w:r w:rsidRPr="00927E53">
        <w:t>图</w:t>
      </w:r>
      <w:r w:rsidRPr="00927E53">
        <w:t>11</w:t>
      </w:r>
      <w:r w:rsidRPr="00927E53">
        <w:fldChar w:fldCharType="end"/>
      </w:r>
      <w:r w:rsidRPr="00927E53">
        <w:t>可知，不同权重组合会引起风险综合得分的小幅变化，但</w:t>
      </w:r>
      <w:r w:rsidRPr="00927E53">
        <w:t>C</w:t>
      </w:r>
      <w:r w:rsidRPr="00927E53">
        <w:t>方案在各权重情景下均保持较低得分。基准权重下，</w:t>
      </w:r>
      <w:r w:rsidRPr="00927E53">
        <w:t>A</w:t>
      </w:r>
      <w:r w:rsidRPr="00927E53">
        <w:t>、</w:t>
      </w:r>
      <w:r w:rsidRPr="00927E53">
        <w:t>B</w:t>
      </w:r>
      <w:r w:rsidRPr="00927E53">
        <w:t>、</w:t>
      </w:r>
      <w:r w:rsidRPr="00927E53">
        <w:t>C</w:t>
      </w:r>
      <w:r w:rsidRPr="00927E53">
        <w:t>方案风险综合得分分别为</w:t>
      </w:r>
      <w:r w:rsidRPr="00927E53">
        <w:t>0.4481</w:t>
      </w:r>
      <w:r w:rsidRPr="00927E53">
        <w:t>、</w:t>
      </w:r>
      <w:r w:rsidRPr="00927E53">
        <w:t>0.4546</w:t>
      </w:r>
      <w:r w:rsidRPr="00927E53">
        <w:t>和</w:t>
      </w:r>
      <w:r w:rsidRPr="00927E53">
        <w:t>0.4449</w:t>
      </w:r>
      <w:r w:rsidRPr="00927E53">
        <w:t>；在上行开采专项权重</w:t>
      </w:r>
      <w:r w:rsidRPr="00927E53">
        <w:t>0.15/0.25/0.60</w:t>
      </w:r>
      <w:r w:rsidRPr="00927E53">
        <w:t>条件下，三者分别为</w:t>
      </w:r>
      <w:r w:rsidRPr="00927E53">
        <w:t>0.4505</w:t>
      </w:r>
      <w:r w:rsidRPr="00927E53">
        <w:t>、</w:t>
      </w:r>
      <w:r w:rsidRPr="00927E53">
        <w:t>0.4564</w:t>
      </w:r>
      <w:r w:rsidRPr="00927E53">
        <w:t>和</w:t>
      </w:r>
      <w:r w:rsidRPr="00927E53">
        <w:t>0.4498</w:t>
      </w:r>
      <w:r w:rsidRPr="00927E53">
        <w:t>。该结果表明，在当前样例和候选方案集合范围内，</w:t>
      </w:r>
      <w:r w:rsidRPr="00927E53">
        <w:t>C</w:t>
      </w:r>
      <w:r w:rsidRPr="00927E53">
        <w:t>方案的低扰动特征具有一定稳定性。</w:t>
      </w:r>
    </w:p>
    <w:p w14:paraId="74A737E0" w14:textId="77777777" w:rsidR="00927E53" w:rsidRPr="00927E53" w:rsidRDefault="00927E53" w:rsidP="00927E53">
      <w:pPr>
        <w:pStyle w:val="100"/>
        <w:ind w:firstLine="420"/>
      </w:pPr>
      <w:r w:rsidRPr="00927E53">
        <w:t>综合阈值和权重敏感性结果可知，低扰动方案不宜仅依据某一固定阈值下的超限比例确定，而应结合</w:t>
      </w:r>
      <w:r w:rsidRPr="00927E53">
        <w:t>ODI</w:t>
      </w:r>
      <w:r w:rsidRPr="00927E53">
        <w:t>均值、</w:t>
      </w:r>
      <w:r w:rsidRPr="00927E53">
        <w:t>90%</w:t>
      </w:r>
      <w:r w:rsidRPr="00927E53">
        <w:t>分位数和风险综合得分进行判定。对于采区规划而言，超阈值比例可以反映高扰动区暴露情况，但</w:t>
      </w:r>
      <w:r w:rsidRPr="00927E53">
        <w:t>ODI</w:t>
      </w:r>
      <w:r w:rsidRPr="00927E53">
        <w:t>均值和</w:t>
      </w:r>
      <w:r w:rsidRPr="00927E53">
        <w:t>90%</w:t>
      </w:r>
      <w:r w:rsidRPr="00927E53">
        <w:t>分位数更能反映方案整体扰动水平及高值尾部风险。多指标联合判断有助于降低单一阈值选择对方案优选结果的影响。</w:t>
      </w:r>
    </w:p>
    <w:p w14:paraId="1359F004" w14:textId="77777777" w:rsidR="004B7D90" w:rsidRPr="004B7D90" w:rsidRDefault="004B7D90" w:rsidP="004B7D90">
      <w:pPr>
        <w:pStyle w:val="11"/>
      </w:pPr>
      <w:r w:rsidRPr="004B7D90">
        <w:t xml:space="preserve">5 </w:t>
      </w:r>
      <w:r w:rsidRPr="004B7D90">
        <w:t>结论</w:t>
      </w:r>
    </w:p>
    <w:p w14:paraId="02BB9F86" w14:textId="77777777" w:rsidR="00927E53" w:rsidRPr="00927E53" w:rsidRDefault="00927E53" w:rsidP="00927E53">
      <w:pPr>
        <w:pStyle w:val="100"/>
        <w:ind w:firstLine="420"/>
      </w:pPr>
      <w:r w:rsidRPr="00927E53">
        <w:t>1</w:t>
      </w:r>
      <w:r w:rsidRPr="00927E53">
        <w:t>）针对传统采区规划中工作面布置主要依赖</w:t>
      </w:r>
      <w:r w:rsidRPr="00927E53">
        <w:t>边界条件、设计经验和后置风险校核，容易造成方案反复调整的问题，提出了多场景覆岩扰动约束下采区规划方法。该方法将地表沉陷、含水层扰动和上行开采等覆岩扰动风险由方案形成后的校核环节前移至工作面布置方案生成与筛选阶段，使风险约束能够在采区规划初期参与方案形成。</w:t>
      </w:r>
    </w:p>
    <w:p w14:paraId="72E392DF" w14:textId="77777777" w:rsidR="00927E53" w:rsidRPr="00927E53" w:rsidRDefault="00927E53" w:rsidP="00927E53">
      <w:pPr>
        <w:pStyle w:val="100"/>
        <w:ind w:firstLine="420"/>
      </w:pPr>
      <w:r w:rsidRPr="00927E53">
        <w:t>2</w:t>
      </w:r>
      <w:r w:rsidRPr="00927E53">
        <w:t>）构建了面向采区规划的地质建模、扰动评价和方案筛选方法。通过采区边界、煤柱约束和钻孔样点构建有效布置域与连续参数场，为工作面布置提供空间基础；通过综合覆岩扰动指数统一表达地表沉陷、含水层扰动和上行开采等多场景风险，为工作面布置提供扰动约束底图；通过工程效率、资源回收和扰动控制指标，实现不同工作面布置方案的多目标比选。</w:t>
      </w:r>
    </w:p>
    <w:p w14:paraId="1F8661E3" w14:textId="77777777" w:rsidR="00927E53" w:rsidRPr="00927E53" w:rsidRDefault="00927E53" w:rsidP="00927E53">
      <w:pPr>
        <w:pStyle w:val="100"/>
        <w:ind w:firstLine="420"/>
      </w:pPr>
      <w:r w:rsidRPr="00927E53">
        <w:t>3</w:t>
      </w:r>
      <w:r w:rsidRPr="00927E53">
        <w:t>）形成了多场景约束采区规划计算流程。该流程以采区边界、钻孔样点、煤柱参数、工作面设计参数和扰动权重为基础输入，依次完成有效布置域生成、煤层厚度连续参数场构建、综合</w:t>
      </w:r>
      <w:r w:rsidRPr="00927E53">
        <w:t>ODI</w:t>
      </w:r>
      <w:r w:rsidRPr="00927E53">
        <w:t>场计算、工作面候选方案生成、多目标评价和成果输出。该流程能够将离散地质资料、多场景扰动评价结果和工作面布置对象组织到统一空间基础上，为采区规划阶段的多方案生成与筛选提供计算路径。</w:t>
      </w:r>
    </w:p>
    <w:p w14:paraId="01660907" w14:textId="77777777" w:rsidR="00927E53" w:rsidRPr="00927E53" w:rsidRDefault="00927E53" w:rsidP="00927E53">
      <w:pPr>
        <w:pStyle w:val="100"/>
        <w:ind w:firstLine="420"/>
      </w:pPr>
      <w:r w:rsidRPr="00927E53">
        <w:t>4</w:t>
      </w:r>
      <w:r w:rsidRPr="00927E53">
        <w:t>）敏东研究区工程应用结果表明，综合</w:t>
      </w:r>
      <w:r w:rsidRPr="00927E53">
        <w:t>ODI</w:t>
      </w:r>
      <w:r w:rsidRPr="00927E53">
        <w:t>场能够识别采区内部高扰动敏感区。研究区综合</w:t>
      </w:r>
      <w:r w:rsidRPr="00927E53">
        <w:t>ODI</w:t>
      </w:r>
      <w:r w:rsidRPr="00927E53">
        <w:t>场采用</w:t>
      </w:r>
      <w:r w:rsidRPr="00927E53">
        <w:t>80×56</w:t>
      </w:r>
      <w:r w:rsidRPr="00927E53">
        <w:t>网格，共</w:t>
      </w:r>
      <w:r w:rsidRPr="00927E53">
        <w:t>4480</w:t>
      </w:r>
      <w:r w:rsidRPr="00927E53">
        <w:t>个栅格，</w:t>
      </w:r>
      <w:r w:rsidRPr="00927E53">
        <w:t>ODI</w:t>
      </w:r>
      <w:r w:rsidRPr="00927E53">
        <w:t>均值为</w:t>
      </w:r>
      <w:r w:rsidRPr="00927E53">
        <w:t>0.4669</w:t>
      </w:r>
      <w:r w:rsidRPr="00927E53">
        <w:t>，</w:t>
      </w:r>
      <w:r w:rsidRPr="00927E53">
        <w:t>90%</w:t>
      </w:r>
      <w:r w:rsidRPr="00927E53">
        <w:t>分位数为</w:t>
      </w:r>
      <w:r w:rsidRPr="00927E53">
        <w:t>0.7474</w:t>
      </w:r>
      <w:r w:rsidRPr="00927E53">
        <w:t>，</w:t>
      </w:r>
      <w:r w:rsidRPr="00927E53">
        <w:t>ODI</w:t>
      </w:r>
      <w:r w:rsidRPr="00927E53">
        <w:t>＞</w:t>
      </w:r>
      <w:r w:rsidRPr="00927E53">
        <w:t>0.70</w:t>
      </w:r>
      <w:r w:rsidRPr="00927E53">
        <w:t>区域占</w:t>
      </w:r>
      <w:r w:rsidRPr="00927E53">
        <w:t>15.89%</w:t>
      </w:r>
      <w:r w:rsidRPr="00927E53">
        <w:t>。在相同边界、参数场和</w:t>
      </w:r>
      <w:r w:rsidRPr="00927E53">
        <w:t>ODI</w:t>
      </w:r>
      <w:r w:rsidRPr="00927E53">
        <w:t>场条件下，工程效率优先方案</w:t>
      </w:r>
      <w:r w:rsidRPr="00927E53">
        <w:t>A</w:t>
      </w:r>
      <w:r w:rsidRPr="00927E53">
        <w:t>、资源回收优先方案</w:t>
      </w:r>
      <w:r w:rsidRPr="00927E53">
        <w:t>B</w:t>
      </w:r>
      <w:r w:rsidRPr="00927E53">
        <w:t>和低扰动候选方案</w:t>
      </w:r>
      <w:r w:rsidRPr="00927E53">
        <w:t>C</w:t>
      </w:r>
      <w:r w:rsidRPr="00927E53">
        <w:t>的覆盖率分别为</w:t>
      </w:r>
      <w:r w:rsidRPr="00927E53">
        <w:t>89.34%</w:t>
      </w:r>
      <w:r w:rsidRPr="00927E53">
        <w:t>、</w:t>
      </w:r>
      <w:r w:rsidRPr="00927E53">
        <w:t>98.52%</w:t>
      </w:r>
      <w:r w:rsidRPr="00927E53">
        <w:t>和</w:t>
      </w:r>
      <w:r w:rsidRPr="00927E53">
        <w:t>80.67%</w:t>
      </w:r>
      <w:r w:rsidRPr="00927E53">
        <w:t>，</w:t>
      </w:r>
      <w:r w:rsidRPr="00927E53">
        <w:t>ODI</w:t>
      </w:r>
      <w:r w:rsidRPr="00927E53">
        <w:t>均值分别为</w:t>
      </w:r>
      <w:r w:rsidRPr="00927E53">
        <w:t>0.4463</w:t>
      </w:r>
      <w:r w:rsidRPr="00927E53">
        <w:t>、</w:t>
      </w:r>
      <w:r w:rsidRPr="00927E53">
        <w:t>0.4552</w:t>
      </w:r>
      <w:r w:rsidRPr="00927E53">
        <w:t>和</w:t>
      </w:r>
      <w:r w:rsidRPr="00927E53">
        <w:t>0.4416</w:t>
      </w:r>
      <w:r w:rsidRPr="00927E53">
        <w:t>，</w:t>
      </w:r>
      <w:r w:rsidRPr="00927E53">
        <w:t>90%</w:t>
      </w:r>
      <w:r w:rsidRPr="00927E53">
        <w:t>分位数分别为</w:t>
      </w:r>
      <w:r w:rsidRPr="00927E53">
        <w:t>0.6407</w:t>
      </w:r>
      <w:r w:rsidRPr="00927E53">
        <w:t>、</w:t>
      </w:r>
      <w:r w:rsidRPr="00927E53">
        <w:t>0.6462</w:t>
      </w:r>
      <w:r w:rsidRPr="00927E53">
        <w:t>和</w:t>
      </w:r>
      <w:r w:rsidRPr="00927E53">
        <w:t>0.6353</w:t>
      </w:r>
      <w:r w:rsidRPr="00927E53">
        <w:t>。结果说明，资源覆盖与扰动控制之间存在明显权衡，低扰动方案应结合</w:t>
      </w:r>
      <w:r w:rsidRPr="00927E53">
        <w:t>ODI</w:t>
      </w:r>
      <w:r w:rsidRPr="00927E53">
        <w:t>均值、</w:t>
      </w:r>
      <w:r w:rsidRPr="00927E53">
        <w:t>90%</w:t>
      </w:r>
      <w:r w:rsidRPr="00927E53">
        <w:t>分位数和风险综合得分共同判定。</w:t>
      </w:r>
    </w:p>
    <w:p w14:paraId="4274F090" w14:textId="77777777" w:rsidR="00927E53" w:rsidRPr="00927E53" w:rsidRDefault="00927E53" w:rsidP="00927E53">
      <w:pPr>
        <w:pStyle w:val="100"/>
        <w:ind w:firstLine="420"/>
      </w:pPr>
      <w:r w:rsidRPr="00927E53">
        <w:t>5</w:t>
      </w:r>
      <w:r w:rsidRPr="00927E53">
        <w:t>）阈值与权重敏感性分析表明，单一阈值下的超阈值比例不能稳定代表方案扰动水平。</w:t>
      </w:r>
      <w:r w:rsidRPr="00927E53">
        <w:t>C</w:t>
      </w:r>
      <w:r w:rsidRPr="00927E53">
        <w:t>方案并非在所有阈值下均具有最低超限比例，但其</w:t>
      </w:r>
      <w:r w:rsidRPr="00927E53">
        <w:t>ODI</w:t>
      </w:r>
      <w:r w:rsidRPr="00927E53">
        <w:t>均值、</w:t>
      </w:r>
      <w:r w:rsidRPr="00927E53">
        <w:t>90%</w:t>
      </w:r>
      <w:r w:rsidRPr="00927E53">
        <w:t>分位数和风险综合得分整体较低，且在不同权重情景下保持较好的稳定性。后续仍需结合现场参数标定、生产系统约束耦合和多矿区案例，对方法适用性进一步验证。</w:t>
      </w:r>
    </w:p>
    <w:p w14:paraId="7E52FE41" w14:textId="4BDCA49F"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12" w:name="REF_00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xml:space="preserve">, WANG Baoli, et al. Review on improvements to the safety level of coal mines by applying </w:t>
      </w:r>
      <w:r w:rsidRPr="00351EC4">
        <w:lastRenderedPageBreak/>
        <w:t>intelligent coal mining[J]. Sustainability, 2022, 14(24): 16400. DOI: 10.3390/su142416400.</w:t>
      </w:r>
      <w:bookmarkEnd w:id="12"/>
    </w:p>
    <w:p w14:paraId="4A686C72" w14:textId="77777777" w:rsidR="00351EC4" w:rsidRPr="00351EC4" w:rsidRDefault="00351EC4" w:rsidP="00351EC4">
      <w:pPr>
        <w:pStyle w:val="17"/>
      </w:pPr>
      <w:bookmarkStart w:id="13" w:name="REF_00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13"/>
    </w:p>
    <w:p w14:paraId="231538D1" w14:textId="77777777" w:rsidR="00351EC4" w:rsidRPr="00351EC4" w:rsidRDefault="00351EC4" w:rsidP="00351EC4">
      <w:pPr>
        <w:pStyle w:val="17"/>
      </w:pPr>
      <w:bookmarkStart w:id="14" w:name="REF_00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14"/>
    </w:p>
    <w:p w14:paraId="003176E2" w14:textId="77777777" w:rsidR="00351EC4" w:rsidRPr="00351EC4" w:rsidRDefault="00351EC4" w:rsidP="00351EC4">
      <w:pPr>
        <w:pStyle w:val="17"/>
      </w:pPr>
      <w:bookmarkStart w:id="15"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15"/>
    </w:p>
    <w:p w14:paraId="04AA5E1F" w14:textId="77777777" w:rsidR="00351EC4" w:rsidRPr="00351EC4" w:rsidRDefault="00351EC4" w:rsidP="00351EC4">
      <w:pPr>
        <w:pStyle w:val="17"/>
      </w:pPr>
      <w:bookmarkStart w:id="16" w:name="REF_005"/>
      <w:r w:rsidRPr="00351EC4">
        <w:t>[5]</w:t>
      </w:r>
      <w:r w:rsidRPr="00351EC4">
        <w:tab/>
      </w:r>
      <w:r w:rsidRPr="00351EC4">
        <w:t>王国法</w:t>
      </w:r>
      <w:r w:rsidRPr="00351EC4">
        <w:t xml:space="preserve">, </w:t>
      </w:r>
      <w:r w:rsidRPr="00351EC4">
        <w:t>杜毅博</w:t>
      </w:r>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16"/>
    </w:p>
    <w:p w14:paraId="16E99093" w14:textId="77777777" w:rsidR="00351EC4" w:rsidRPr="00351EC4" w:rsidRDefault="00351EC4" w:rsidP="00351EC4">
      <w:pPr>
        <w:pStyle w:val="17"/>
      </w:pPr>
      <w:bookmarkStart w:id="17" w:name="REF_006"/>
      <w:r w:rsidRPr="00351EC4">
        <w:t>[6]</w:t>
      </w:r>
      <w:r w:rsidRPr="00351EC4">
        <w:tab/>
      </w:r>
      <w:r w:rsidRPr="00351EC4">
        <w:t>王国法</w:t>
      </w:r>
      <w:r w:rsidRPr="00351EC4">
        <w:t xml:space="preserve">, </w:t>
      </w:r>
      <w:r w:rsidRPr="00351EC4">
        <w:t>任怀伟</w:t>
      </w:r>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17"/>
    </w:p>
    <w:p w14:paraId="195C19ED" w14:textId="77777777" w:rsidR="00351EC4" w:rsidRPr="00351EC4" w:rsidRDefault="00351EC4" w:rsidP="00351EC4">
      <w:pPr>
        <w:pStyle w:val="17"/>
      </w:pPr>
      <w:bookmarkStart w:id="18" w:name="REF_007"/>
      <w:r w:rsidRPr="00351EC4">
        <w:t>[7]</w:t>
      </w:r>
      <w:r w:rsidRPr="00351EC4">
        <w:tab/>
      </w:r>
      <w:r w:rsidRPr="00351EC4">
        <w:t>李首滨</w:t>
      </w:r>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18"/>
    </w:p>
    <w:p w14:paraId="7D5B676F" w14:textId="77777777" w:rsidR="00351EC4" w:rsidRPr="00351EC4" w:rsidRDefault="00351EC4" w:rsidP="00351EC4">
      <w:pPr>
        <w:pStyle w:val="17"/>
      </w:pPr>
      <w:bookmarkStart w:id="19" w:name="REF_008"/>
      <w:r w:rsidRPr="00351EC4">
        <w:t>[8]</w:t>
      </w:r>
      <w:r w:rsidRPr="00351EC4">
        <w:tab/>
      </w:r>
      <w:r w:rsidRPr="00351EC4">
        <w:t>王存飞</w:t>
      </w:r>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19"/>
    </w:p>
    <w:p w14:paraId="369BF6B6" w14:textId="77777777" w:rsidR="00351EC4" w:rsidRPr="00351EC4" w:rsidRDefault="00351EC4" w:rsidP="00351EC4">
      <w:pPr>
        <w:pStyle w:val="17"/>
      </w:pPr>
      <w:bookmarkStart w:id="20" w:name="REF_009"/>
      <w:r w:rsidRPr="00351EC4">
        <w:t>[9]</w:t>
      </w:r>
      <w:r w:rsidRPr="00351EC4">
        <w:tab/>
      </w:r>
      <w:r w:rsidRPr="00351EC4">
        <w:t>程建远</w:t>
      </w:r>
      <w:r w:rsidRPr="00351EC4">
        <w:t xml:space="preserve">, </w:t>
      </w:r>
      <w:r w:rsidRPr="00351EC4">
        <w:t>朱梦博</w:t>
      </w:r>
      <w:r w:rsidRPr="00351EC4">
        <w:t xml:space="preserve">, </w:t>
      </w:r>
      <w:r w:rsidRPr="00351EC4">
        <w:t>王云宏</w:t>
      </w:r>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20"/>
    </w:p>
    <w:p w14:paraId="18547D36" w14:textId="77777777" w:rsidR="00351EC4" w:rsidRPr="00351EC4" w:rsidRDefault="00351EC4" w:rsidP="00351EC4">
      <w:pPr>
        <w:pStyle w:val="17"/>
      </w:pPr>
      <w:bookmarkStart w:id="21" w:name="REF_010"/>
      <w:r w:rsidRPr="00351EC4">
        <w:t>[10]</w:t>
      </w:r>
      <w:r w:rsidRPr="00351EC4">
        <w:tab/>
      </w:r>
      <w:r w:rsidRPr="00351EC4">
        <w:t>刘万里</w:t>
      </w:r>
      <w:r w:rsidRPr="00351EC4">
        <w:t xml:space="preserve">, </w:t>
      </w:r>
      <w:r w:rsidRPr="00351EC4">
        <w:t>张学亮</w:t>
      </w:r>
      <w:r w:rsidRPr="00351EC4">
        <w:t xml:space="preserve">, </w:t>
      </w:r>
      <w:r w:rsidRPr="00351EC4">
        <w:t>王世博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21"/>
    </w:p>
    <w:p w14:paraId="7C5432F7" w14:textId="77777777" w:rsidR="00351EC4" w:rsidRPr="00351EC4" w:rsidRDefault="00351EC4" w:rsidP="00351EC4">
      <w:pPr>
        <w:pStyle w:val="17"/>
      </w:pPr>
      <w:bookmarkStart w:id="22" w:name="REF_0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22"/>
    </w:p>
    <w:p w14:paraId="45343055" w14:textId="77777777" w:rsidR="00351EC4" w:rsidRPr="00351EC4" w:rsidRDefault="00351EC4" w:rsidP="00351EC4">
      <w:pPr>
        <w:pStyle w:val="17"/>
      </w:pPr>
      <w:bookmarkStart w:id="23"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23"/>
    </w:p>
    <w:p w14:paraId="7E2EF76E" w14:textId="77777777" w:rsidR="00351EC4" w:rsidRPr="00351EC4" w:rsidRDefault="00351EC4" w:rsidP="00351EC4">
      <w:pPr>
        <w:pStyle w:val="17"/>
      </w:pPr>
      <w:bookmarkStart w:id="24" w:name="REF_0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24"/>
    </w:p>
    <w:p w14:paraId="6AD72CE5" w14:textId="77777777" w:rsidR="00351EC4" w:rsidRPr="00351EC4" w:rsidRDefault="00351EC4" w:rsidP="00351EC4">
      <w:pPr>
        <w:pStyle w:val="17"/>
      </w:pPr>
      <w:bookmarkStart w:id="25"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25"/>
    </w:p>
    <w:p w14:paraId="5BE249CC" w14:textId="77777777" w:rsidR="00351EC4" w:rsidRPr="00351EC4" w:rsidRDefault="00351EC4" w:rsidP="00351EC4">
      <w:pPr>
        <w:pStyle w:val="17"/>
      </w:pPr>
      <w:bookmarkStart w:id="26" w:name="REF_0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26"/>
    </w:p>
    <w:p w14:paraId="1335F3A6" w14:textId="77777777" w:rsidR="00351EC4" w:rsidRPr="00351EC4" w:rsidRDefault="00351EC4" w:rsidP="00351EC4">
      <w:pPr>
        <w:pStyle w:val="17"/>
      </w:pPr>
      <w:bookmarkStart w:id="27"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27"/>
    </w:p>
    <w:p w14:paraId="17D0E74C" w14:textId="77777777" w:rsidR="00351EC4" w:rsidRPr="00351EC4" w:rsidRDefault="00351EC4" w:rsidP="00351EC4">
      <w:pPr>
        <w:pStyle w:val="17"/>
      </w:pPr>
      <w:bookmarkStart w:id="28" w:name="REF_017"/>
      <w:r w:rsidRPr="00351EC4">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28"/>
    </w:p>
    <w:p w14:paraId="444606BB" w14:textId="77777777" w:rsidR="00351EC4" w:rsidRPr="00351EC4" w:rsidRDefault="00351EC4" w:rsidP="00351EC4">
      <w:pPr>
        <w:pStyle w:val="17"/>
      </w:pPr>
      <w:bookmarkStart w:id="29"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29"/>
    </w:p>
    <w:p w14:paraId="4D7D0FA5" w14:textId="77777777" w:rsidR="00351EC4" w:rsidRPr="00351EC4" w:rsidRDefault="00351EC4" w:rsidP="00351EC4">
      <w:pPr>
        <w:pStyle w:val="17"/>
      </w:pPr>
      <w:bookmarkStart w:id="30" w:name="REF_0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30"/>
    </w:p>
    <w:p w14:paraId="51CE135E" w14:textId="77777777" w:rsidR="00351EC4" w:rsidRPr="00351EC4" w:rsidRDefault="00351EC4" w:rsidP="00351EC4">
      <w:pPr>
        <w:pStyle w:val="17"/>
      </w:pPr>
      <w:bookmarkStart w:id="31"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31"/>
    </w:p>
    <w:p w14:paraId="69C9E299" w14:textId="77777777" w:rsidR="00351EC4" w:rsidRPr="00351EC4" w:rsidRDefault="00351EC4" w:rsidP="00351EC4">
      <w:pPr>
        <w:pStyle w:val="17"/>
      </w:pPr>
      <w:bookmarkStart w:id="32" w:name="REF_021"/>
      <w:r w:rsidRPr="00351EC4">
        <w:t>[21]</w:t>
      </w:r>
      <w:r w:rsidRPr="00351EC4">
        <w:tab/>
        <w:t>KRATZSCH Helmut. Strata movement at the mining horizon[M]//Mining Subsidence Engineering. Berlin, , Heidelberg: Springer, 1983: 7-40. DOI: 10.1007/978-3-642-81923-0_2.</w:t>
      </w:r>
      <w:bookmarkEnd w:id="32"/>
    </w:p>
    <w:p w14:paraId="0107058A" w14:textId="77777777" w:rsidR="00351EC4" w:rsidRPr="00351EC4" w:rsidRDefault="00351EC4" w:rsidP="00351EC4">
      <w:pPr>
        <w:pStyle w:val="17"/>
      </w:pPr>
      <w:bookmarkStart w:id="33"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干旱矿区采动顶板导水裂隙的演化规律及保水采煤意义</w:t>
      </w:r>
      <w:r w:rsidRPr="00351EC4">
        <w:t xml:space="preserve">[J]. </w:t>
      </w:r>
      <w:r w:rsidRPr="00351EC4">
        <w:t>煤炭学报</w:t>
      </w:r>
      <w:r w:rsidRPr="00351EC4">
        <w:t>, 2019, 44(3): 767-776. DOI: 10.13225/j.cnki.jccs.2018.6041.</w:t>
      </w:r>
      <w:bookmarkEnd w:id="33"/>
    </w:p>
    <w:p w14:paraId="056C3F93" w14:textId="77777777" w:rsidR="00351EC4" w:rsidRPr="00351EC4" w:rsidRDefault="00351EC4" w:rsidP="00351EC4">
      <w:pPr>
        <w:pStyle w:val="17"/>
      </w:pPr>
      <w:bookmarkStart w:id="34"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r w:rsidRPr="00351EC4">
        <w:t>采动覆岩导水裂隙主通道分布模型及其水流动特性</w:t>
      </w:r>
      <w:r w:rsidRPr="00351EC4">
        <w:t xml:space="preserve">[J]. </w:t>
      </w:r>
      <w:r w:rsidRPr="00351EC4">
        <w:t>煤炭学报</w:t>
      </w:r>
      <w:r w:rsidRPr="00351EC4">
        <w:t>, 2019, 44(12): 3719-3728. DOI: 10.13225/j.cnki.jccs.SH19.0446.</w:t>
      </w:r>
      <w:bookmarkEnd w:id="34"/>
    </w:p>
    <w:p w14:paraId="24CFA5F9" w14:textId="77777777" w:rsidR="00351EC4" w:rsidRPr="00351EC4" w:rsidRDefault="00351EC4" w:rsidP="00351EC4">
      <w:pPr>
        <w:pStyle w:val="17"/>
      </w:pPr>
      <w:bookmarkStart w:id="35" w:name="REF_024"/>
      <w:r w:rsidRPr="00351EC4">
        <w:t>[24]</w:t>
      </w:r>
      <w:r w:rsidRPr="00351EC4">
        <w:tab/>
      </w:r>
      <w:r w:rsidRPr="00351EC4">
        <w:t>郭文兵</w:t>
      </w:r>
      <w:r w:rsidRPr="00351EC4">
        <w:t xml:space="preserve">, </w:t>
      </w:r>
      <w:r w:rsidRPr="00351EC4">
        <w:t>娄高中</w:t>
      </w:r>
      <w:r w:rsidRPr="00351EC4">
        <w:t xml:space="preserve">. </w:t>
      </w:r>
      <w:r w:rsidRPr="00351EC4">
        <w:t>覆岩破坏充分采动程度定义及判别方法</w:t>
      </w:r>
      <w:r w:rsidRPr="00351EC4">
        <w:t xml:space="preserve">[J]. </w:t>
      </w:r>
      <w:r w:rsidRPr="00351EC4">
        <w:t>煤炭学报</w:t>
      </w:r>
      <w:r w:rsidRPr="00351EC4">
        <w:t>, 2019, 44(3): 755-766. DOI: 10.13225/j.cnki.jccs.2018.6038.</w:t>
      </w:r>
      <w:bookmarkEnd w:id="35"/>
    </w:p>
    <w:p w14:paraId="4D1F0FF0" w14:textId="77777777" w:rsidR="00351EC4" w:rsidRPr="00351EC4" w:rsidRDefault="00351EC4" w:rsidP="00351EC4">
      <w:pPr>
        <w:pStyle w:val="17"/>
      </w:pPr>
      <w:bookmarkStart w:id="36"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36"/>
    </w:p>
    <w:p w14:paraId="3BB359DE" w14:textId="77777777" w:rsidR="00351EC4" w:rsidRPr="00351EC4" w:rsidRDefault="00351EC4" w:rsidP="00351EC4">
      <w:pPr>
        <w:pStyle w:val="17"/>
      </w:pPr>
      <w:bookmarkStart w:id="37"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37"/>
    </w:p>
    <w:p w14:paraId="6A8B7C8D" w14:textId="77777777" w:rsidR="00351EC4" w:rsidRPr="00351EC4" w:rsidRDefault="00351EC4" w:rsidP="00351EC4">
      <w:pPr>
        <w:pStyle w:val="17"/>
      </w:pPr>
      <w:bookmarkStart w:id="38"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深部煤层非充分采动下覆岩裂隙场可视化探测研究</w:t>
      </w:r>
      <w:r w:rsidRPr="00351EC4">
        <w:t xml:space="preserve">[J]. </w:t>
      </w:r>
      <w:r w:rsidRPr="00351EC4">
        <w:t>煤炭科学技术</w:t>
      </w:r>
      <w:r w:rsidRPr="00351EC4">
        <w:t>, 2020, 48(3): 197-204. DOI: 10.13199/j.cnki.cst.2020.03.024.</w:t>
      </w:r>
      <w:bookmarkEnd w:id="38"/>
    </w:p>
    <w:p w14:paraId="04362470" w14:textId="77777777" w:rsidR="00351EC4" w:rsidRPr="00351EC4" w:rsidRDefault="00351EC4" w:rsidP="00351EC4">
      <w:pPr>
        <w:pStyle w:val="17"/>
      </w:pPr>
      <w:bookmarkStart w:id="39"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39"/>
    </w:p>
    <w:p w14:paraId="2C208FCA" w14:textId="77777777" w:rsidR="00351EC4" w:rsidRPr="00351EC4" w:rsidRDefault="00351EC4" w:rsidP="00351EC4">
      <w:pPr>
        <w:pStyle w:val="17"/>
      </w:pPr>
      <w:bookmarkStart w:id="40" w:name="REF_029"/>
      <w:r w:rsidRPr="00351EC4">
        <w:t>[29]</w:t>
      </w:r>
      <w:r w:rsidRPr="00351EC4">
        <w:tab/>
      </w:r>
      <w:r w:rsidRPr="00351EC4">
        <w:t>张玉军</w:t>
      </w:r>
      <w:r w:rsidRPr="00351EC4">
        <w:t xml:space="preserve">, </w:t>
      </w:r>
      <w:r w:rsidRPr="00351EC4">
        <w:t>宋业杰</w:t>
      </w:r>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40"/>
    </w:p>
    <w:p w14:paraId="78390D93" w14:textId="77777777" w:rsidR="00351EC4" w:rsidRPr="00351EC4" w:rsidRDefault="00351EC4" w:rsidP="00351EC4">
      <w:pPr>
        <w:pStyle w:val="17"/>
      </w:pPr>
      <w:bookmarkStart w:id="41" w:name="REF_030"/>
      <w:r w:rsidRPr="00351EC4">
        <w:t>[30]</w:t>
      </w:r>
      <w:r w:rsidRPr="00351EC4">
        <w:tab/>
      </w:r>
      <w:r w:rsidRPr="00351EC4">
        <w:t>董书宁</w:t>
      </w:r>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41"/>
    </w:p>
    <w:p w14:paraId="3FCAAE66" w14:textId="77777777" w:rsidR="00351EC4" w:rsidRPr="00351EC4" w:rsidRDefault="00351EC4" w:rsidP="00351EC4">
      <w:pPr>
        <w:pStyle w:val="17"/>
      </w:pPr>
      <w:bookmarkStart w:id="42" w:name="REF_031"/>
      <w:r w:rsidRPr="00351EC4">
        <w:t>[31]</w:t>
      </w:r>
      <w:r w:rsidRPr="00351EC4">
        <w:tab/>
      </w:r>
      <w:r w:rsidRPr="00351EC4">
        <w:t>范立民</w:t>
      </w:r>
      <w:r w:rsidRPr="00351EC4">
        <w:t xml:space="preserve">, </w:t>
      </w:r>
      <w:r w:rsidRPr="00351EC4">
        <w:t>马雄德</w:t>
      </w:r>
      <w:r w:rsidRPr="00351EC4">
        <w:t xml:space="preserve">, </w:t>
      </w:r>
      <w:r w:rsidRPr="00351EC4">
        <w:t>蒋泽泉</w:t>
      </w:r>
      <w:r w:rsidRPr="00351EC4">
        <w:t xml:space="preserve">, </w:t>
      </w:r>
      <w:r w:rsidRPr="00351EC4">
        <w:t>等</w:t>
      </w:r>
      <w:r w:rsidRPr="00351EC4">
        <w:t xml:space="preserve">. </w:t>
      </w:r>
      <w:r w:rsidRPr="00351EC4">
        <w:t>保水采煤研究</w:t>
      </w:r>
      <w:r w:rsidRPr="00351EC4">
        <w:t>30</w:t>
      </w:r>
      <w:r w:rsidRPr="00351EC4">
        <w:t>年回顾与展望</w:t>
      </w:r>
      <w:r w:rsidRPr="00351EC4">
        <w:t xml:space="preserve">[J]. </w:t>
      </w:r>
      <w:r w:rsidRPr="00351EC4">
        <w:t>煤炭科学技术</w:t>
      </w:r>
      <w:r w:rsidRPr="00351EC4">
        <w:t>, 2019, 47(7): 1-30. DOI: 10.13199/j.cnki.cst.2019.07.001.</w:t>
      </w:r>
      <w:bookmarkEnd w:id="42"/>
    </w:p>
    <w:p w14:paraId="5D914B68" w14:textId="77777777" w:rsidR="00351EC4" w:rsidRPr="00351EC4" w:rsidRDefault="00351EC4" w:rsidP="00351EC4">
      <w:pPr>
        <w:pStyle w:val="17"/>
      </w:pPr>
      <w:bookmarkStart w:id="43" w:name="REF_032"/>
      <w:r w:rsidRPr="00351EC4">
        <w:t>[32]</w:t>
      </w:r>
      <w:r w:rsidRPr="00351EC4">
        <w:tab/>
      </w:r>
      <w:r w:rsidRPr="00351EC4">
        <w:t>许家林</w:t>
      </w:r>
      <w:r w:rsidRPr="00351EC4">
        <w:t xml:space="preserve">, </w:t>
      </w:r>
      <w:r w:rsidRPr="00351EC4">
        <w:t>朱卫兵</w:t>
      </w:r>
      <w:r w:rsidRPr="00351EC4">
        <w:t xml:space="preserve">, </w:t>
      </w:r>
      <w:r w:rsidRPr="00351EC4">
        <w:t>王晓振</w:t>
      </w:r>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43"/>
    </w:p>
    <w:p w14:paraId="2A06B225" w14:textId="77777777" w:rsidR="00351EC4" w:rsidRPr="00351EC4" w:rsidRDefault="00351EC4" w:rsidP="00351EC4">
      <w:pPr>
        <w:pStyle w:val="17"/>
      </w:pPr>
      <w:bookmarkStart w:id="44" w:name="REF_033"/>
      <w:r w:rsidRPr="00351EC4">
        <w:lastRenderedPageBreak/>
        <w:t>[33]</w:t>
      </w:r>
      <w:r w:rsidRPr="00351EC4">
        <w:tab/>
      </w:r>
      <w:r w:rsidRPr="00351EC4">
        <w:t>郭小铭</w:t>
      </w:r>
      <w:r w:rsidRPr="00351EC4">
        <w:t xml:space="preserve">, </w:t>
      </w:r>
      <w:r w:rsidRPr="00351EC4">
        <w:t>董书宁</w:t>
      </w:r>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44"/>
    </w:p>
    <w:p w14:paraId="5DECF55B" w14:textId="77777777" w:rsidR="00351EC4" w:rsidRPr="00351EC4" w:rsidRDefault="00351EC4" w:rsidP="00351EC4">
      <w:pPr>
        <w:pStyle w:val="17"/>
      </w:pPr>
      <w:bookmarkStart w:id="45" w:name="REF_0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45"/>
    </w:p>
    <w:p w14:paraId="668D7B93" w14:textId="77777777" w:rsidR="00351EC4" w:rsidRPr="00351EC4" w:rsidRDefault="00351EC4" w:rsidP="00351EC4">
      <w:pPr>
        <w:pStyle w:val="17"/>
      </w:pPr>
      <w:bookmarkStart w:id="46" w:name="REF_035"/>
      <w:r w:rsidRPr="00351EC4">
        <w:t>[35]</w:t>
      </w:r>
      <w:r w:rsidRPr="00351EC4">
        <w:tab/>
        <w:t xml:space="preserve">SHAN Yang, KE Li, XIANG Jun, et al. Multi-objective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46"/>
    </w:p>
    <w:p w14:paraId="5CCA963C" w14:textId="77777777" w:rsidR="00351EC4" w:rsidRPr="00351EC4" w:rsidRDefault="00351EC4" w:rsidP="00351EC4">
      <w:pPr>
        <w:pStyle w:val="17"/>
      </w:pPr>
      <w:bookmarkStart w:id="47" w:name="REF_0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47"/>
    </w:p>
    <w:p w14:paraId="62F261D9" w14:textId="77777777" w:rsidR="00351EC4" w:rsidRPr="00351EC4" w:rsidRDefault="00351EC4" w:rsidP="00351EC4">
      <w:pPr>
        <w:pStyle w:val="17"/>
      </w:pPr>
      <w:bookmarkStart w:id="48" w:name="REF_037"/>
      <w:r w:rsidRPr="00351EC4">
        <w:t>[37]</w:t>
      </w:r>
      <w:r w:rsidRPr="00351EC4">
        <w:tab/>
        <w:t>NESBITT Peter, BLAKE Lewis R., LAMAS Patricio, et al. Underground mine scheduling under uncertainty[J]. European Journal of Operational Research, 2021, 294(1): 340-352. DOI: 10.1016/j.ejor.2021.01.011.</w:t>
      </w:r>
      <w:bookmarkEnd w:id="48"/>
    </w:p>
    <w:p w14:paraId="07A0AACF" w14:textId="77777777" w:rsidR="00351EC4" w:rsidRPr="00351EC4" w:rsidRDefault="00351EC4" w:rsidP="00351EC4">
      <w:pPr>
        <w:pStyle w:val="17"/>
      </w:pPr>
      <w:bookmarkStart w:id="49"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49"/>
    </w:p>
    <w:p w14:paraId="39C58D08" w14:textId="77777777" w:rsidR="00351EC4" w:rsidRPr="00351EC4" w:rsidRDefault="00351EC4" w:rsidP="00351EC4">
      <w:pPr>
        <w:pStyle w:val="17"/>
      </w:pPr>
      <w:bookmarkStart w:id="50"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50"/>
    </w:p>
    <w:p w14:paraId="6AC050D5" w14:textId="77777777" w:rsidR="00351EC4" w:rsidRPr="00351EC4" w:rsidRDefault="00351EC4" w:rsidP="00351EC4">
      <w:pPr>
        <w:pStyle w:val="17"/>
      </w:pPr>
      <w:bookmarkStart w:id="51"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51"/>
    </w:p>
    <w:p w14:paraId="6EE9EEEA" w14:textId="77777777" w:rsidR="00351EC4" w:rsidRPr="00351EC4" w:rsidRDefault="00351EC4" w:rsidP="00351EC4">
      <w:pPr>
        <w:pStyle w:val="17"/>
      </w:pPr>
      <w:bookmarkStart w:id="52" w:name="REF_041"/>
      <w:r w:rsidRPr="00351EC4">
        <w:t>[41]</w:t>
      </w:r>
      <w:r w:rsidRPr="00351EC4">
        <w:tab/>
        <w:t xml:space="preserve">QU </w:t>
      </w:r>
      <w:proofErr w:type="spellStart"/>
      <w:r w:rsidRPr="00351EC4">
        <w:t>Juncong</w:t>
      </w:r>
      <w:proofErr w:type="spellEnd"/>
      <w:r w:rsidRPr="00351EC4">
        <w:t xml:space="preserve">, KIZIL Mehmet S., YAHYAEI Mohsen, et al. Digital twins in the minerals industry: a comprehensive review[J]. Mining </w:t>
      </w:r>
      <w:r w:rsidRPr="00351EC4">
        <w:t>Technology, 2023, 132(4): 267-289. DOI: 10.1080/25726668.2023.2257479.</w:t>
      </w:r>
      <w:bookmarkEnd w:id="52"/>
    </w:p>
    <w:p w14:paraId="1F7F8AA9" w14:textId="77777777" w:rsidR="00351EC4" w:rsidRPr="00351EC4" w:rsidRDefault="00351EC4" w:rsidP="00351EC4">
      <w:pPr>
        <w:pStyle w:val="17"/>
      </w:pPr>
      <w:bookmarkStart w:id="53" w:name="REF_0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53"/>
    </w:p>
    <w:p w14:paraId="7AF72E69" w14:textId="77777777" w:rsidR="00351EC4" w:rsidRPr="00351EC4" w:rsidRDefault="00351EC4" w:rsidP="00351EC4">
      <w:pPr>
        <w:pStyle w:val="17"/>
      </w:pPr>
      <w:bookmarkStart w:id="54" w:name="REF_0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54"/>
    </w:p>
    <w:p w14:paraId="77BC7B1C" w14:textId="77777777" w:rsidR="00351EC4" w:rsidRPr="00351EC4" w:rsidRDefault="00351EC4" w:rsidP="00351EC4">
      <w:pPr>
        <w:pStyle w:val="17"/>
      </w:pPr>
      <w:bookmarkStart w:id="55" w:name="REF_0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55"/>
    </w:p>
    <w:p w14:paraId="14CBE2E0" w14:textId="77777777" w:rsidR="00351EC4" w:rsidRPr="00351EC4" w:rsidRDefault="00351EC4" w:rsidP="00351EC4">
      <w:pPr>
        <w:pStyle w:val="17"/>
      </w:pPr>
      <w:bookmarkStart w:id="56"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56"/>
    </w:p>
    <w:p w14:paraId="6CCB6F08" w14:textId="77777777" w:rsidR="00351EC4" w:rsidRPr="00351EC4" w:rsidRDefault="00351EC4" w:rsidP="00351EC4">
      <w:pPr>
        <w:pStyle w:val="17"/>
      </w:pPr>
      <w:bookmarkStart w:id="57"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煤矿分布式地下水库渗流场分析及优化调度</w:t>
      </w:r>
      <w:r w:rsidRPr="00351EC4">
        <w:t xml:space="preserve">[J]. </w:t>
      </w:r>
      <w:r w:rsidRPr="00351EC4">
        <w:t>煤炭学报</w:t>
      </w:r>
      <w:r w:rsidRPr="00351EC4">
        <w:t>, 2019, 44(12): 3693-3699. DOI: 10.13225/j.cnki.jccs.SH19.1167.</w:t>
      </w:r>
      <w:bookmarkEnd w:id="57"/>
    </w:p>
    <w:p w14:paraId="536F86EF" w14:textId="77777777" w:rsidR="00351EC4" w:rsidRPr="00351EC4" w:rsidRDefault="00351EC4" w:rsidP="00351EC4">
      <w:pPr>
        <w:pStyle w:val="17"/>
      </w:pPr>
      <w:bookmarkStart w:id="58"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58"/>
    </w:p>
    <w:p w14:paraId="78985091" w14:textId="77777777" w:rsidR="00351EC4" w:rsidRPr="00351EC4" w:rsidRDefault="00351EC4" w:rsidP="00351EC4">
      <w:pPr>
        <w:pStyle w:val="17"/>
      </w:pPr>
      <w:bookmarkStart w:id="59"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59"/>
    </w:p>
    <w:p w14:paraId="0657D167" w14:textId="77777777" w:rsidR="00351EC4" w:rsidRPr="00351EC4" w:rsidRDefault="00351EC4" w:rsidP="00351EC4">
      <w:pPr>
        <w:pStyle w:val="17"/>
      </w:pPr>
      <w:bookmarkStart w:id="60"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60"/>
    </w:p>
    <w:p w14:paraId="7209004E" w14:textId="77777777" w:rsidR="00351EC4" w:rsidRPr="00351EC4" w:rsidRDefault="00351EC4" w:rsidP="00351EC4">
      <w:pPr>
        <w:pStyle w:val="17"/>
      </w:pPr>
      <w:bookmarkStart w:id="61"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61"/>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hint="eastAsia"/>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08D45" w14:textId="77777777" w:rsidR="000E3342" w:rsidRDefault="000E3342" w:rsidP="00461D3E">
      <w:r>
        <w:separator/>
      </w:r>
    </w:p>
  </w:endnote>
  <w:endnote w:type="continuationSeparator" w:id="0">
    <w:p w14:paraId="3FF6906C" w14:textId="77777777" w:rsidR="000E3342" w:rsidRDefault="000E3342"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49CD" w14:textId="77777777" w:rsidR="000E3342" w:rsidRDefault="000E3342" w:rsidP="00461D3E">
      <w:r>
        <w:separator/>
      </w:r>
    </w:p>
  </w:footnote>
  <w:footnote w:type="continuationSeparator" w:id="0">
    <w:p w14:paraId="3550AA32" w14:textId="77777777" w:rsidR="000E3342" w:rsidRDefault="000E3342"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06F50"/>
    <w:rsid w:val="00015110"/>
    <w:rsid w:val="00016896"/>
    <w:rsid w:val="00020E1C"/>
    <w:rsid w:val="00021A7E"/>
    <w:rsid w:val="00026578"/>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D5463"/>
    <w:rsid w:val="000E1681"/>
    <w:rsid w:val="000E3131"/>
    <w:rsid w:val="000E3342"/>
    <w:rsid w:val="000E5F3E"/>
    <w:rsid w:val="000F094A"/>
    <w:rsid w:val="000F0DB4"/>
    <w:rsid w:val="000F224D"/>
    <w:rsid w:val="000F5D29"/>
    <w:rsid w:val="000F70E1"/>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2D06"/>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34C5"/>
    <w:rsid w:val="001F46DF"/>
    <w:rsid w:val="00202363"/>
    <w:rsid w:val="002030C1"/>
    <w:rsid w:val="00210CE2"/>
    <w:rsid w:val="002114BD"/>
    <w:rsid w:val="00214BA0"/>
    <w:rsid w:val="00217C00"/>
    <w:rsid w:val="002201A9"/>
    <w:rsid w:val="002255A2"/>
    <w:rsid w:val="002270C4"/>
    <w:rsid w:val="00232EF5"/>
    <w:rsid w:val="00235E71"/>
    <w:rsid w:val="002376A5"/>
    <w:rsid w:val="00243011"/>
    <w:rsid w:val="0024334E"/>
    <w:rsid w:val="0024363D"/>
    <w:rsid w:val="00243AFF"/>
    <w:rsid w:val="00246620"/>
    <w:rsid w:val="00250A9F"/>
    <w:rsid w:val="00251090"/>
    <w:rsid w:val="00251574"/>
    <w:rsid w:val="0025360D"/>
    <w:rsid w:val="00254206"/>
    <w:rsid w:val="00256A2C"/>
    <w:rsid w:val="00256B91"/>
    <w:rsid w:val="00257BB0"/>
    <w:rsid w:val="00261737"/>
    <w:rsid w:val="002644E8"/>
    <w:rsid w:val="0026472A"/>
    <w:rsid w:val="002711E2"/>
    <w:rsid w:val="00273FD7"/>
    <w:rsid w:val="00275AA8"/>
    <w:rsid w:val="00277A82"/>
    <w:rsid w:val="00280366"/>
    <w:rsid w:val="00281072"/>
    <w:rsid w:val="0029344C"/>
    <w:rsid w:val="0029351E"/>
    <w:rsid w:val="0029648E"/>
    <w:rsid w:val="002A11C0"/>
    <w:rsid w:val="002A19C7"/>
    <w:rsid w:val="002A3BCC"/>
    <w:rsid w:val="002A3F07"/>
    <w:rsid w:val="002A423C"/>
    <w:rsid w:val="002A5A9D"/>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68AC"/>
    <w:rsid w:val="00341B04"/>
    <w:rsid w:val="00341CAA"/>
    <w:rsid w:val="00346E14"/>
    <w:rsid w:val="003477D1"/>
    <w:rsid w:val="00350E11"/>
    <w:rsid w:val="00350E56"/>
    <w:rsid w:val="00351EC4"/>
    <w:rsid w:val="003527A6"/>
    <w:rsid w:val="00352BEA"/>
    <w:rsid w:val="0035485F"/>
    <w:rsid w:val="003575AE"/>
    <w:rsid w:val="003653D5"/>
    <w:rsid w:val="003678F2"/>
    <w:rsid w:val="00367C4C"/>
    <w:rsid w:val="003717F7"/>
    <w:rsid w:val="00372527"/>
    <w:rsid w:val="0037397B"/>
    <w:rsid w:val="00374454"/>
    <w:rsid w:val="003747C3"/>
    <w:rsid w:val="0037651B"/>
    <w:rsid w:val="003767A7"/>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2D27"/>
    <w:rsid w:val="003B6C7F"/>
    <w:rsid w:val="003C1FF9"/>
    <w:rsid w:val="003C48A0"/>
    <w:rsid w:val="003D074C"/>
    <w:rsid w:val="003D0797"/>
    <w:rsid w:val="003D416D"/>
    <w:rsid w:val="003D5D3E"/>
    <w:rsid w:val="003E3332"/>
    <w:rsid w:val="003E3751"/>
    <w:rsid w:val="003F17C1"/>
    <w:rsid w:val="003F477A"/>
    <w:rsid w:val="003F595F"/>
    <w:rsid w:val="003F67DC"/>
    <w:rsid w:val="003F72D3"/>
    <w:rsid w:val="00405278"/>
    <w:rsid w:val="004056D8"/>
    <w:rsid w:val="00412CBF"/>
    <w:rsid w:val="00421776"/>
    <w:rsid w:val="0042675C"/>
    <w:rsid w:val="00427253"/>
    <w:rsid w:val="004373AF"/>
    <w:rsid w:val="004460C7"/>
    <w:rsid w:val="004507A0"/>
    <w:rsid w:val="00456741"/>
    <w:rsid w:val="00457570"/>
    <w:rsid w:val="004615A4"/>
    <w:rsid w:val="00461D3E"/>
    <w:rsid w:val="00464360"/>
    <w:rsid w:val="00470E53"/>
    <w:rsid w:val="0047338F"/>
    <w:rsid w:val="004746E7"/>
    <w:rsid w:val="004864E4"/>
    <w:rsid w:val="00490F36"/>
    <w:rsid w:val="00490F8C"/>
    <w:rsid w:val="00491F01"/>
    <w:rsid w:val="00491F62"/>
    <w:rsid w:val="004954BD"/>
    <w:rsid w:val="004A118E"/>
    <w:rsid w:val="004A1FAD"/>
    <w:rsid w:val="004A29A7"/>
    <w:rsid w:val="004A699A"/>
    <w:rsid w:val="004B50B8"/>
    <w:rsid w:val="004B54C2"/>
    <w:rsid w:val="004B7D90"/>
    <w:rsid w:val="004C0EEE"/>
    <w:rsid w:val="004C0F25"/>
    <w:rsid w:val="004C4850"/>
    <w:rsid w:val="004D01F4"/>
    <w:rsid w:val="004D065A"/>
    <w:rsid w:val="004E0591"/>
    <w:rsid w:val="004E4545"/>
    <w:rsid w:val="004F1DE8"/>
    <w:rsid w:val="004F40A1"/>
    <w:rsid w:val="004F556C"/>
    <w:rsid w:val="00500687"/>
    <w:rsid w:val="00506CD4"/>
    <w:rsid w:val="005105E6"/>
    <w:rsid w:val="00513BE5"/>
    <w:rsid w:val="00514798"/>
    <w:rsid w:val="00516020"/>
    <w:rsid w:val="00516057"/>
    <w:rsid w:val="00517764"/>
    <w:rsid w:val="00521E39"/>
    <w:rsid w:val="00523B17"/>
    <w:rsid w:val="00524009"/>
    <w:rsid w:val="00531AEA"/>
    <w:rsid w:val="00532CD5"/>
    <w:rsid w:val="00534160"/>
    <w:rsid w:val="005356E9"/>
    <w:rsid w:val="0054152E"/>
    <w:rsid w:val="00543716"/>
    <w:rsid w:val="00545D38"/>
    <w:rsid w:val="00551567"/>
    <w:rsid w:val="0055182C"/>
    <w:rsid w:val="00552D46"/>
    <w:rsid w:val="00556823"/>
    <w:rsid w:val="005635AD"/>
    <w:rsid w:val="00564284"/>
    <w:rsid w:val="00567136"/>
    <w:rsid w:val="00572E2E"/>
    <w:rsid w:val="00573E87"/>
    <w:rsid w:val="00577773"/>
    <w:rsid w:val="00580D65"/>
    <w:rsid w:val="00581409"/>
    <w:rsid w:val="0058168B"/>
    <w:rsid w:val="00584924"/>
    <w:rsid w:val="00585C35"/>
    <w:rsid w:val="00586603"/>
    <w:rsid w:val="005920A9"/>
    <w:rsid w:val="00592BDF"/>
    <w:rsid w:val="00593E28"/>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35BA5"/>
    <w:rsid w:val="006368C7"/>
    <w:rsid w:val="0064101C"/>
    <w:rsid w:val="006411B9"/>
    <w:rsid w:val="00644893"/>
    <w:rsid w:val="00644E0C"/>
    <w:rsid w:val="006536A9"/>
    <w:rsid w:val="00653A8F"/>
    <w:rsid w:val="00655631"/>
    <w:rsid w:val="00655AB3"/>
    <w:rsid w:val="0066034F"/>
    <w:rsid w:val="0066339D"/>
    <w:rsid w:val="00664392"/>
    <w:rsid w:val="00671096"/>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96138"/>
    <w:rsid w:val="007A2087"/>
    <w:rsid w:val="007A3D13"/>
    <w:rsid w:val="007B3AA3"/>
    <w:rsid w:val="007C2A0A"/>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19FD"/>
    <w:rsid w:val="0084217F"/>
    <w:rsid w:val="0084705F"/>
    <w:rsid w:val="0084722C"/>
    <w:rsid w:val="0084749A"/>
    <w:rsid w:val="0085005A"/>
    <w:rsid w:val="008522E8"/>
    <w:rsid w:val="00855284"/>
    <w:rsid w:val="0085562B"/>
    <w:rsid w:val="00862D63"/>
    <w:rsid w:val="0086423B"/>
    <w:rsid w:val="00872BFA"/>
    <w:rsid w:val="00874C14"/>
    <w:rsid w:val="00874FDE"/>
    <w:rsid w:val="0087572E"/>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0623"/>
    <w:rsid w:val="008D4178"/>
    <w:rsid w:val="008D5B0E"/>
    <w:rsid w:val="008E247D"/>
    <w:rsid w:val="008E2ED0"/>
    <w:rsid w:val="008F2042"/>
    <w:rsid w:val="008F39E6"/>
    <w:rsid w:val="008F3B06"/>
    <w:rsid w:val="0091220B"/>
    <w:rsid w:val="009130EB"/>
    <w:rsid w:val="00913156"/>
    <w:rsid w:val="00913AC3"/>
    <w:rsid w:val="0092199D"/>
    <w:rsid w:val="00925C6D"/>
    <w:rsid w:val="00927E53"/>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7C8"/>
    <w:rsid w:val="00971C15"/>
    <w:rsid w:val="00972B6E"/>
    <w:rsid w:val="00975A1A"/>
    <w:rsid w:val="00976B74"/>
    <w:rsid w:val="009810DF"/>
    <w:rsid w:val="0098111B"/>
    <w:rsid w:val="00985945"/>
    <w:rsid w:val="0099470A"/>
    <w:rsid w:val="009A3286"/>
    <w:rsid w:val="009A3D73"/>
    <w:rsid w:val="009A6AEA"/>
    <w:rsid w:val="009B2978"/>
    <w:rsid w:val="009B7F28"/>
    <w:rsid w:val="009C06F7"/>
    <w:rsid w:val="009C4A00"/>
    <w:rsid w:val="009D0D79"/>
    <w:rsid w:val="009D1E28"/>
    <w:rsid w:val="009D3060"/>
    <w:rsid w:val="009D42EF"/>
    <w:rsid w:val="009D77C8"/>
    <w:rsid w:val="009E0D42"/>
    <w:rsid w:val="009E792C"/>
    <w:rsid w:val="009F0E19"/>
    <w:rsid w:val="009F1274"/>
    <w:rsid w:val="009F5FB1"/>
    <w:rsid w:val="009F5FDD"/>
    <w:rsid w:val="00A07DBF"/>
    <w:rsid w:val="00A10272"/>
    <w:rsid w:val="00A1398A"/>
    <w:rsid w:val="00A13B3B"/>
    <w:rsid w:val="00A202FB"/>
    <w:rsid w:val="00A26188"/>
    <w:rsid w:val="00A313C6"/>
    <w:rsid w:val="00A330EE"/>
    <w:rsid w:val="00A43BE5"/>
    <w:rsid w:val="00A4476A"/>
    <w:rsid w:val="00A565F4"/>
    <w:rsid w:val="00A75119"/>
    <w:rsid w:val="00A77E90"/>
    <w:rsid w:val="00A8054D"/>
    <w:rsid w:val="00A8389E"/>
    <w:rsid w:val="00A86782"/>
    <w:rsid w:val="00A87581"/>
    <w:rsid w:val="00A904B5"/>
    <w:rsid w:val="00A90B4F"/>
    <w:rsid w:val="00A96424"/>
    <w:rsid w:val="00AA2548"/>
    <w:rsid w:val="00AA3DC3"/>
    <w:rsid w:val="00AA3FE2"/>
    <w:rsid w:val="00AA4B25"/>
    <w:rsid w:val="00AB2708"/>
    <w:rsid w:val="00AB2E6E"/>
    <w:rsid w:val="00AB2F3A"/>
    <w:rsid w:val="00AB73D7"/>
    <w:rsid w:val="00AD08C0"/>
    <w:rsid w:val="00AD42AB"/>
    <w:rsid w:val="00AD4816"/>
    <w:rsid w:val="00AD5594"/>
    <w:rsid w:val="00AD6A09"/>
    <w:rsid w:val="00AE49CC"/>
    <w:rsid w:val="00AE4D88"/>
    <w:rsid w:val="00AF0B7E"/>
    <w:rsid w:val="00AF23CC"/>
    <w:rsid w:val="00AF2681"/>
    <w:rsid w:val="00AF2A70"/>
    <w:rsid w:val="00AF596B"/>
    <w:rsid w:val="00AF5CA3"/>
    <w:rsid w:val="00B062E8"/>
    <w:rsid w:val="00B12D4D"/>
    <w:rsid w:val="00B16220"/>
    <w:rsid w:val="00B236DD"/>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5A06"/>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D3A38"/>
    <w:rsid w:val="00BE3C2D"/>
    <w:rsid w:val="00BE4503"/>
    <w:rsid w:val="00BE45FB"/>
    <w:rsid w:val="00BE6D17"/>
    <w:rsid w:val="00BF4E5A"/>
    <w:rsid w:val="00C0094F"/>
    <w:rsid w:val="00C043BF"/>
    <w:rsid w:val="00C14274"/>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38B5"/>
    <w:rsid w:val="00CA5821"/>
    <w:rsid w:val="00CA717F"/>
    <w:rsid w:val="00CB0ACE"/>
    <w:rsid w:val="00CB4E31"/>
    <w:rsid w:val="00CB553C"/>
    <w:rsid w:val="00CB5879"/>
    <w:rsid w:val="00CD312F"/>
    <w:rsid w:val="00CE0FA9"/>
    <w:rsid w:val="00CE3EA7"/>
    <w:rsid w:val="00CE5EE1"/>
    <w:rsid w:val="00CE6A33"/>
    <w:rsid w:val="00CF5D08"/>
    <w:rsid w:val="00D027BE"/>
    <w:rsid w:val="00D16E8F"/>
    <w:rsid w:val="00D31697"/>
    <w:rsid w:val="00D34B5C"/>
    <w:rsid w:val="00D35E1C"/>
    <w:rsid w:val="00D40942"/>
    <w:rsid w:val="00D53B28"/>
    <w:rsid w:val="00D55663"/>
    <w:rsid w:val="00D56577"/>
    <w:rsid w:val="00D64A14"/>
    <w:rsid w:val="00D66A12"/>
    <w:rsid w:val="00D708AE"/>
    <w:rsid w:val="00D74019"/>
    <w:rsid w:val="00D74982"/>
    <w:rsid w:val="00D75E60"/>
    <w:rsid w:val="00D76668"/>
    <w:rsid w:val="00D8094F"/>
    <w:rsid w:val="00D81AE9"/>
    <w:rsid w:val="00D81F89"/>
    <w:rsid w:val="00D84105"/>
    <w:rsid w:val="00D90229"/>
    <w:rsid w:val="00D928FE"/>
    <w:rsid w:val="00DA0094"/>
    <w:rsid w:val="00DA3048"/>
    <w:rsid w:val="00DB2EED"/>
    <w:rsid w:val="00DB398F"/>
    <w:rsid w:val="00DC0073"/>
    <w:rsid w:val="00DC0125"/>
    <w:rsid w:val="00DC1140"/>
    <w:rsid w:val="00DC3694"/>
    <w:rsid w:val="00DD19B2"/>
    <w:rsid w:val="00DD780E"/>
    <w:rsid w:val="00DE3CD8"/>
    <w:rsid w:val="00DF00E8"/>
    <w:rsid w:val="00DF3743"/>
    <w:rsid w:val="00DF3A7B"/>
    <w:rsid w:val="00DF53F7"/>
    <w:rsid w:val="00E00EC0"/>
    <w:rsid w:val="00E0212D"/>
    <w:rsid w:val="00E02FA8"/>
    <w:rsid w:val="00E0389D"/>
    <w:rsid w:val="00E041F5"/>
    <w:rsid w:val="00E06AD0"/>
    <w:rsid w:val="00E06FCA"/>
    <w:rsid w:val="00E0718E"/>
    <w:rsid w:val="00E13470"/>
    <w:rsid w:val="00E2187A"/>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0531"/>
    <w:rsid w:val="00EC4EA7"/>
    <w:rsid w:val="00EC7A1C"/>
    <w:rsid w:val="00ED29A2"/>
    <w:rsid w:val="00ED47B1"/>
    <w:rsid w:val="00EE5A68"/>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6D33"/>
    <w:rsid w:val="00F36DC3"/>
    <w:rsid w:val="00F41E99"/>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3E3F"/>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14</Pages>
  <Words>11448</Words>
  <Characters>17630</Characters>
  <Application>Microsoft Office Word</Application>
  <DocSecurity>0</DocSecurity>
  <PresentationFormat/>
  <Lines>801</Lines>
  <Paragraphs>392</Paragraphs>
  <Slides>0</Slides>
  <Notes>0</Notes>
  <HiddenSlides>0</HiddenSlides>
  <MMClips>0</MMClips>
  <ScaleCrop>false</ScaleCrop>
  <Manager/>
  <Company>芳向电脑工作室</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20</cp:revision>
  <cp:lastPrinted>2026-04-22T08:43:00Z</cp:lastPrinted>
  <dcterms:created xsi:type="dcterms:W3CDTF">2026-04-24T02:01:00Z</dcterms:created>
  <dcterms:modified xsi:type="dcterms:W3CDTF">2026-04-28T16:49:00Z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UseMTPrefs">
    <vt:lpwstr>1</vt:lpwstr>
  </property>
  <property fmtid="{D5CDD505-2E9C-101B-9397-08002B2CF9AE}" pid="5" name="MTEquationSection">
    <vt:lpwstr>1</vt:lpwstr>
  </property>
  <property fmtid="{D5CDD505-2E9C-101B-9397-08002B2CF9AE}" pid="6" name="MTWinEqns">
    <vt:bool>true</vt:bool>
  </property>
</Properties>
</file>