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44004" w14:textId="77777777" w:rsidR="007E22B6" w:rsidRDefault="00D76BC3">
      <w:pPr>
        <w:pStyle w:val="02"/>
        <w:jc w:val="center"/>
        <w:rPr>
          <w:lang w:eastAsia="zh-CN"/>
        </w:rPr>
      </w:pPr>
      <w:r>
        <w:rPr>
          <w:rFonts w:ascii="宋体" w:hAnsi="宋体" w:eastAsia="宋体"/>
        </w:rPr>
        <w:t>覆岩扰动约束下采区协同规划方法</w:t>
      </w:r>
    </w:p>
    <w:p w14:paraId="2B3892B3" w14:textId="77777777" w:rsidR="007E22B6" w:rsidRDefault="00000000">
      <w:pPr>
        <w:pStyle w:val="03"/>
        <w:jc w:val="center"/>
        <w:rPr>
          <w:lang w:eastAsia="zh-CN"/>
        </w:rPr>
      </w:pPr>
      <w:r>
        <w:rPr>
          <w:rFonts w:ascii="宋体" w:hAnsi="宋体" w:eastAsia="宋体"/>
        </w:rPr>
        <w:t>李杨</w:t>
      </w:r>
      <w:r>
        <w:rPr>
          <w:rFonts w:ascii="宋体" w:hAnsi="宋体" w:eastAsia="宋体"/>
          <w:vertAlign w:val="superscript"/>
        </w:rPr>
        <w:t>1</w:t>
      </w:r>
      <w:r>
        <w:rPr>
          <w:rFonts w:ascii="宋体" w:hAnsi="宋体" w:eastAsia="宋体"/>
        </w:rPr>
        <w:t>，</w:t>
      </w:r>
      <w:r>
        <w:rPr>
          <w:rFonts w:ascii="宋体" w:hAnsi="宋体" w:eastAsia="宋体"/>
        </w:rPr>
        <w:t>王楠</w:t>
      </w:r>
      <w:r>
        <w:rPr>
          <w:rFonts w:ascii="宋体" w:hAnsi="宋体" w:eastAsia="宋体"/>
          <w:vertAlign w:val="superscript"/>
        </w:rPr>
        <w:t>1</w:t>
      </w:r>
      <w:r>
        <w:rPr>
          <w:rFonts w:ascii="宋体" w:hAnsi="宋体" w:eastAsia="宋体"/>
        </w:rPr>
        <w:t>，</w:t>
      </w:r>
      <w:r>
        <w:rPr>
          <w:rFonts w:ascii="宋体" w:hAnsi="宋体" w:eastAsia="宋体"/>
        </w:rPr>
        <w:t>刘浩天</w:t>
      </w:r>
      <w:r>
        <w:rPr>
          <w:rFonts w:ascii="宋体" w:hAnsi="宋体" w:eastAsia="宋体"/>
          <w:vertAlign w:val="superscript"/>
        </w:rPr>
        <w:t>1</w:t>
      </w:r>
    </w:p>
    <w:p w14:paraId="3460AE2D" w14:textId="77777777" w:rsidR="007E22B6" w:rsidRDefault="00000000">
      <w:pPr>
        <w:pStyle w:val="04"/>
        <w:jc w:val="center"/>
        <w:rPr>
          <w:lang w:eastAsia="zh-CN"/>
        </w:rPr>
      </w:pPr>
      <w:r>
        <w:rPr>
          <w:rFonts w:ascii="宋体" w:hAnsi="宋体" w:eastAsia="宋体"/>
        </w:rPr>
        <w:t>（1. 中国矿业大学（北京） 能源与矿业学院，北京 100083）</w:t>
      </w:r>
    </w:p>
    <w:p w14:paraId="7C06C352" w14:textId="77777777" w:rsidR="007E22B6" w:rsidRDefault="00000000">
      <w:pPr>
        <w:pStyle w:val="05"/>
        <w:spacing w:after="60"/>
        <w:rPr>
          <w:lang w:eastAsia="zh-CN"/>
        </w:rPr>
      </w:pPr>
      <w:r>
        <w:t>摘要：针对采区规划中离散地质信息难以连续参与空间布置、多场景覆岩扰动风险约束口径不统一、规划结果与采掘接续及经济评价衔接不足等问题，提出一种覆岩扰动约束下的采区多目标协同规划方法。该方法以采区边界、钻孔样点和设计参数为基础，首先构建有效布置域和连续参数场，将离散煤层厚度、瓦斯含量、涌水量等输入转换为可参与规划求解的空间约束；随后引入overburden disturbance index（覆岩扰动指数，ODI），将地表沉陷、含水层扰动和上行开采等异构风险统一组织为同尺度指标，并以ODI均值、高分位值和超限暴露比例描述方案级扰动特征；在此基础上，建立兼顾工程效率、资源覆盖和扰动控制的候选方案评价口径，形成工作面、推进长度、布置面积和ODI统计量等可复核对象，并将规划结果继续传递至采掘接续和工程经济评价入口。以敏东研究区导出数据进行验证，基础数据包含28个钻孔样点和15个边界点，边界多边形面积为5872308.08 m²；在有效规划域面积5399414.60 m²内，工程效率优先方案生成5个工作面，布置面积4823901.28 m²，有效覆盖率为89.34%，推进长度合计15662.02 m，最短推进长度2680.32 m，工程效率评分为87.82。资源回收优先方案覆盖率为91.20%，资源回收评分为89.76；覆岩扰动控制口径下ODI均值为0.3872，P90为0.7414，ODI&gt;0.70样点比例为14.25%。接续导出结果表明，5个工作面可形成136个月的月度接续序列，并可进一步传递至净现金流测算。结果表明，该方法能够在统一空间参照和统一风险口径下完成参数场构建、风险前置约束、规划对象生成和后续评价输入组织，可为采区规划中的多目标权衡和结果传递提供可复核的方法框架；当前结果主要用于验证方法链贯通能力，工程定案仍需结合实矿尺度、参数标定、现场约束和经济参数进一步校核。</w:t>
      </w:r>
    </w:p>
    <w:p w14:paraId="2A800BDD" w14:textId="77777777" w:rsidR="007E22B6" w:rsidRDefault="00000000">
      <w:pPr>
        <w:pStyle w:val="05"/>
        <w:spacing w:after="60"/>
        <w:rPr>
          <w:lang w:eastAsia="zh-CN"/>
        </w:rPr>
      </w:pPr>
      <w:r>
        <w:rPr>
          <w:rFonts w:ascii="宋体" w:hAnsi="宋体" w:eastAsia="宋体"/>
        </w:rPr>
        <w:t>关键词：覆岩扰动指数；采区规划；多目标协同规划；风险前置约束；连续参数场；采掘接续；工程经济评价</w:t>
      </w:r>
    </w:p>
    <w:p w14:paraId="0D53E67E" w14:textId="77777777" w:rsidR="007E22B6" w:rsidRDefault="00000000">
      <w:pPr>
        <w:pStyle w:val="05"/>
        <w:spacing w:after="60"/>
        <w:rPr>
          <w:lang w:eastAsia="zh-CN"/>
        </w:rPr>
      </w:pPr>
      <w:r>
        <w:rPr>
          <w:rFonts w:ascii="宋体" w:hAnsi="宋体" w:eastAsia="宋体"/>
        </w:rPr>
        <w:t>中图分类号：TD822    文献标志码：A</w:t>
      </w:r>
    </w:p>
    <w:p w14:paraId="66BE3501" w14:textId="77777777" w:rsidR="007E22B6" w:rsidRDefault="00000000">
      <w:pPr>
        <w:pStyle w:val="06"/>
        <w:spacing w:after="60"/>
        <w:jc w:val="center"/>
        <w:rPr>
          <w:lang w:eastAsia="zh-CN"/>
        </w:rPr>
      </w:pPr>
      <w:r>
        <w:rPr>
          <w:rFonts w:ascii="Times New Roman" w:hAnsi="Times New Roman" w:eastAsia="宋体"/>
        </w:rPr>
        <w:t>Collaborative planning method for mining districts constrained by overburden disturbance</w:t>
      </w:r>
    </w:p>
    <w:p w14:paraId="2A046146" w14:textId="77777777" w:rsidR="007E22B6" w:rsidRDefault="00DE4743">
      <w:pPr>
        <w:pStyle w:val="07"/>
        <w:spacing w:before="40" w:after="40"/>
        <w:jc w:val="center"/>
      </w:pPr>
      <w:r>
        <w:rPr>
          <w:rFonts w:ascii="Times New Roman" w:hAnsi="Times New Roman" w:eastAsia="宋体"/>
        </w:rPr>
        <w:t>LI Yang</w:t>
      </w:r>
      <w:r>
        <w:rPr>
          <w:rFonts w:ascii="Times New Roman" w:hAnsi="Times New Roman" w:eastAsia="宋体"/>
          <w:vertAlign w:val="superscript"/>
        </w:rPr>
        <w:t>1</w:t>
      </w:r>
      <w:r>
        <w:rPr>
          <w:rFonts w:ascii="Times New Roman" w:hAnsi="Times New Roman" w:eastAsia="宋体"/>
        </w:rPr>
        <w:t>，</w:t>
      </w:r>
      <w:r>
        <w:rPr>
          <w:rFonts w:ascii="Times New Roman" w:hAnsi="Times New Roman" w:eastAsia="宋体"/>
        </w:rPr>
        <w:t>WANG Nan</w:t>
      </w:r>
      <w:r>
        <w:rPr>
          <w:rFonts w:ascii="Times New Roman" w:hAnsi="Times New Roman" w:eastAsia="宋体"/>
          <w:vertAlign w:val="superscript"/>
        </w:rPr>
        <w:t>1</w:t>
      </w:r>
      <w:r>
        <w:rPr>
          <w:rFonts w:ascii="Times New Roman" w:hAnsi="Times New Roman" w:eastAsia="宋体"/>
        </w:rPr>
        <w:t>，</w:t>
      </w:r>
      <w:r>
        <w:rPr>
          <w:rFonts w:ascii="Times New Roman" w:hAnsi="Times New Roman" w:eastAsia="宋体"/>
        </w:rPr>
        <w:t>LIU Haotian</w:t>
      </w:r>
      <w:r>
        <w:rPr>
          <w:rFonts w:ascii="Times New Roman" w:hAnsi="Times New Roman" w:eastAsia="宋体"/>
          <w:vertAlign w:val="superscript"/>
        </w:rPr>
        <w:t>1</w:t>
      </w:r>
    </w:p>
    <w:p w14:paraId="05148237" w14:textId="77777777" w:rsidR="007E22B6" w:rsidRDefault="00000000">
      <w:pPr>
        <w:pStyle w:val="08"/>
        <w:spacing w:after="40"/>
        <w:jc w:val="center"/>
      </w:pPr>
      <w:r>
        <w:rPr>
          <w:rFonts w:ascii="Times New Roman" w:hAnsi="Times New Roman" w:eastAsia="宋体"/>
        </w:rPr>
        <w:t>(1. School of Energy and Mining Engineering, China University of Mining and Technology-Beijing, Beijing 100083, China)</w:t>
      </w:r>
    </w:p>
    <w:p w14:paraId="7ED42BE7" w14:textId="77777777" w:rsidR="007E22B6" w:rsidRDefault="00000000">
      <w:pPr>
        <w:pStyle w:val="09"/>
        <w:spacing w:after="40"/>
        <w:jc w:val="center"/>
      </w:pPr>
      <w:r>
        <w:t>Abstract: To address the difficulty of incorporating discrete geological information into continuous spatial layout, the inconsistent expression of multi-scenario overburden disturbance constraints, and the weak connection between planning results, mining succession and economic evaluation, a multi-objective collaborative planning method constrained by overburden disturbance is proposed for mining districts. Boundary data, borehole samples and design parameters are used to construct an effective layout domain and continuous parameter fields, so that discrete inputs such as coal thickness, gas content and water inflow can be converted into spatial constraints for planning. An overburden disturbance index (ODI) is then introduced to organize surface subsidence, aquifer disturbance and upward-mining-related risks into a unified indicator. The mean ODI value, high-percentile value and exceedance ratio are used to describe scheme-level disturbance characteristics. A candidate-scheme evaluation framework considering engineering efficiency, resource coverage and disturbance control is established, and planning objects including working faces, advancing lengths, layout areas and ODI statistics are generated and transferred to mining-succession and engineering economic evaluation inputs. The exported data of the Mindong study area are used for validation. The input data include 28 borehole samples and 15 boundary vertices, and the calculated boundary polygon area is 5872308.08 m². Within an effective planning domain of 5399414.60 m², the engineering-efficiency-oriented scheme generates 5 working faces, with a layout area of 4823901.28 m², an effective coverage ratio of 89.34%, a total advancing length of 15662.02 m, a minimum advancing length of 2680.32 m and an engineering-efficiency score of 87.82. The resource-recovery-oriented scheme gives a coverage ratio of 91.20% and a recovery score of 89.76. Under the disturbance-control criterion, the mean ODI is 0.3872, the P90 value is 0.7414, and the proportion of samples with ODI greater than 0.70 is 14.25%. The exported succession results further form a 136-month monthly production sequence for 5 working faces and can be transferred to net-cash-flow calculation. The results show that parameter-field construction, forward risk constraint, planning-object generation and downstream evaluation input organization can be completed under a unified spatial and risk-evaluation framework. The current results mainly verify the connectivity of the method chain, and engineering implementation still requires further checks using real-mine scale data, parameter calibration, field constraints and economic parameters.</w:t>
      </w:r>
    </w:p>
    <w:p w14:paraId="2CA53867" w14:textId="77777777" w:rsidR="00DE4743" w:rsidRDefault="00000000">
      <w:pPr>
        <w:pStyle w:val="09"/>
        <w:spacing w:after="60"/>
      </w:pPr>
      <w:r>
        <w:rPr>
          <w:rFonts w:ascii="Times New Roman" w:hAnsi="Times New Roman" w:eastAsia="宋体"/>
        </w:rPr>
        <w:t>Keywords: overburden disturbance index; mining district planning; multi-objective collaborative planning; risk pre-constraint; continuous parameter field; mining succession; engineering economic evaluation</w:t>
      </w:r>
    </w:p>
    <w:p w14:paraId="59718814" w14:textId="77777777" w:rsidR="006B0BC3" w:rsidRDefault="00000000" w:rsidP="00DE4743">
      <w:pPr>
        <w:pStyle w:val="18"/>
        <w:spacing w:after="60"/>
        <w:sectPr w:rsidR="006B0BC3" w:rsidSect="009330B5">
          <w:pgSz w:w="11906" w:h="16838"/>
          <w:pgMar w:top="1417" w:right="1134" w:bottom="1417" w:left="1134" w:header="720" w:footer="720" w:gutter="0"/>
          <w:cols w:space="425"/>
          <w:docGrid w:linePitch="360"/>
        </w:sectPr>
      </w:pPr>
      <w:r>
        <w:t>收稿日期：    修回日期：    责任编辑：</w:t>
      </w:r>
      <w:r>
        <w:br/>
      </w:r>
      <w:r>
        <w:t>基金项目：无。</w:t>
      </w:r>
      <w:r>
        <w:br/>
      </w:r>
      <w:r>
        <w:t>作者简介：李杨（1982—），男，河北唐山人，教授，博士，研究方向为矿业工程。</w:t>
      </w:r>
      <w:r>
        <w:br/>
      </w:r>
      <w:r>
        <w:t>通信作者：刘浩天（2001—），男，河北唐山人，博士研究生，研究方向为矿业工程。Tel：17692508100，E-mail：gqt2500103011@student.cumtb.edu.cn。</w:t>
      </w:r>
    </w:p>
    <w:p w14:paraId="737E5E19" w14:textId="77777777" w:rsidR="007E22B6" w:rsidRDefault="007E22B6">
      <w:pPr/>
    </w:p>
    <w:p w14:paraId="51ECE86E" w14:textId="77777777" w:rsidR="007E22B6" w:rsidRPr="00A046E0" w:rsidRDefault="00000000" w:rsidP="00A046E0">
      <w:pPr>
        <w:pStyle w:val="11"/>
        <w:rPr>
          <w:rFonts w:ascii="宋体" w:hAnsi="宋体" w:hint="eastAsia"/>
          <w:lang w:eastAsia="zh-CN"/>
        </w:rPr>
      </w:pPr>
      <w:r>
        <w:rPr>
          <w:rFonts w:ascii="宋体" w:hAnsi="宋体" w:eastAsia="宋体"/>
        </w:rPr>
        <w:t>0 引言</w:t>
      </w:r>
    </w:p>
    <w:p w14:paraId="089DADD7" w14:textId="77777777" w:rsidR="00D76BC3" w:rsidRDefault="00D76BC3" w:rsidP="00D76BC3">
      <w:pPr>
        <w:pStyle w:val="10"/>
        <w:spacing w:after="40"/>
        <w:ind w:firstLine="420"/>
        <w:rPr>
          <w:lang w:eastAsia="zh-CN"/>
        </w:rPr>
      </w:pPr>
      <w:r>
        <w:rPr>
          <w:rFonts w:ascii="宋体" w:hAnsi="宋体" w:eastAsia="宋体"/>
        </w:rP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w:t>
      </w:r>
      <w:r>
        <w:rPr>
          <w:rFonts w:ascii="宋体" w:hAnsi="宋体" w:eastAsia="宋体"/>
          <w:vertAlign w:val="superscript"/>
        </w:rPr>
        <w:t>[1-3]</w:t>
      </w:r>
      <w:r>
        <w:rPr>
          <w:rFonts w:ascii="宋体" w:hAnsi="宋体" w:eastAsia="宋体"/>
        </w:rPr>
        <w:t>。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因此，面向采区规划全过程构建统一的数据组织、风险约束与方案决策方法，已成为煤矿规划设计由经验驱动向数据驱动和协同决策转变的重要需求。</w:t>
      </w:r>
    </w:p>
    <w:p w14:paraId="2422B779" w14:textId="77777777" w:rsidR="00D76BC3" w:rsidRDefault="00D76BC3" w:rsidP="00D76BC3">
      <w:pPr>
        <w:pStyle w:val="10"/>
        <w:spacing w:after="40"/>
        <w:ind w:firstLine="420"/>
        <w:rPr>
          <w:lang w:eastAsia="zh-CN"/>
        </w:rPr>
      </w:pPr>
      <w:r>
        <w:rPr>
          <w:rFonts w:ascii="宋体" w:hAnsi="宋体" w:eastAsia="宋体"/>
        </w:rPr>
        <w:t>围绕采动覆岩响应、地表沉陷、导水裂隙带发育、含水层受扰及上行开采可行性等问题，已有研究从采动应力重分布、裂隙演化规律、覆岩失稳机理与沉陷预测等方面开展了大量探索，为采区规划中的风险识别与安全控制提供了重要理论基础</w:t>
      </w:r>
      <w:r>
        <w:rPr>
          <w:rFonts w:ascii="宋体" w:hAnsi="宋体" w:eastAsia="宋体"/>
          <w:vertAlign w:val="superscript"/>
        </w:rPr>
        <w:t>[4-10]</w:t>
      </w:r>
      <w:r>
        <w:rPr>
          <w:rFonts w:ascii="宋体" w:hAnsi="宋体" w:eastAsia="宋体"/>
        </w:rPr>
        <w:t>。与此同时，地下矿山布置优化、多目标规划及生产调度研究表明，候选方案生成、目标排序和多方案比较能够提升规划决策质量</w:t>
      </w:r>
      <w:r>
        <w:rPr>
          <w:rFonts w:ascii="宋体" w:hAnsi="宋体" w:eastAsia="宋体"/>
          <w:vertAlign w:val="superscript"/>
        </w:rPr>
        <w:t>[11-15]</w:t>
      </w:r>
      <w:r>
        <w:rPr>
          <w:rFonts w:ascii="宋体" w:hAnsi="宋体" w:eastAsia="宋体"/>
        </w:rPr>
        <w:t>。近年来，数字孪生、矿山地质建模和过程管理技术的发展，也使采区边界、钻孔、分层和生产状态在统一数据空间中的组织与维护成为可能</w:t>
      </w:r>
      <w:r>
        <w:rPr>
          <w:rFonts w:ascii="宋体" w:hAnsi="宋体" w:eastAsia="宋体"/>
          <w:vertAlign w:val="superscript"/>
        </w:rPr>
        <w:t>[16-18]</w:t>
      </w:r>
      <w:r>
        <w:rPr>
          <w:rFonts w:ascii="宋体" w:hAnsi="宋体" w:eastAsia="宋体"/>
        </w:rPr>
        <w:t>；矿山经济评价方法则由静态收益核算逐步扩展到考虑风险扰动的现金流和净现值分析框架</w:t>
      </w:r>
      <w:r>
        <w:rPr>
          <w:rFonts w:ascii="宋体" w:hAnsi="宋体" w:eastAsia="宋体"/>
          <w:vertAlign w:val="superscript"/>
        </w:rPr>
        <w:t>[19-21]</w:t>
      </w:r>
      <w:r>
        <w:rPr>
          <w:rFonts w:ascii="宋体" w:hAnsi="宋体" w:eastAsia="宋体"/>
        </w:rPr>
        <w:t>。总体来看，现有研究已分别在风险表征、布局优化和数据管理等方面取得较多成果，为采区智能规划提供了方法储备。</w:t>
      </w:r>
    </w:p>
    <w:p w14:paraId="62E5506E" w14:textId="77777777" w:rsidR="00D76BC3" w:rsidRDefault="00D76BC3" w:rsidP="00D76BC3">
      <w:pPr>
        <w:pStyle w:val="10"/>
        <w:spacing w:after="40"/>
        <w:ind w:firstLine="420"/>
        <w:rPr>
          <w:lang w:eastAsia="zh-CN"/>
        </w:rPr>
      </w:pPr>
      <w:r>
        <w:rPr>
          <w:rFonts w:ascii="宋体" w:hAnsi="宋体" w:eastAsia="宋体"/>
        </w:rPr>
        <w:t>然而，现有工作在采区规划应用层面仍存在明显不足。其一，钻孔和分层信息本质上属于离散样本和属性集合，如何将其转化为可直接参与空间布置和方案筛选的连续参数场，现有研究讨论仍不充分。其二，地表沉陷、含水层扰动和上行开采等风险场景具有不同量纲、不同判据和不同分析尺度，多数研究仍聚焦于单一风险场景或单一判据，尚难形成可在规划阶段统一参与方案比较的约束表达。其三，已有布局优化研究多强调某一阶段的几何求解或算法排序，对于规划结果如何继续进入采掘接续组织、参数调控和工程经济评价环节讨论不足，导致“规划—校核—评价”之间仍存在明显割裂。上述问题决定了现有研究尚未形成真正面向采区规划设计的一体化决策链，难以支撑风险前置控制、多目标权衡和下游连续决策的协同实施。</w:t>
      </w:r>
    </w:p>
    <w:p w14:paraId="124B8400" w14:textId="77777777" w:rsidR="00D76BC3" w:rsidRDefault="00D76BC3" w:rsidP="00D76BC3">
      <w:pPr>
        <w:pStyle w:val="10"/>
        <w:spacing w:after="40"/>
        <w:ind w:firstLine="420"/>
        <w:rPr>
          <w:lang w:eastAsia="zh-CN"/>
        </w:rPr>
      </w:pPr>
      <w:r>
        <w:rPr>
          <w:rFonts w:ascii="宋体" w:hAnsi="宋体" w:eastAsia="宋体"/>
        </w:rP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7613A706" w14:textId="77777777" w:rsidR="00D76BC3" w:rsidRDefault="00D76BC3" w:rsidP="00D76BC3">
      <w:pPr>
        <w:pStyle w:val="10"/>
        <w:spacing w:after="40"/>
        <w:ind w:firstLine="420"/>
        <w:rPr>
          <w:lang w:eastAsia="zh-CN"/>
        </w:rPr>
      </w:pPr>
      <w:r>
        <w:rPr>
          <w:rFonts w:ascii="宋体" w:hAnsi="宋体" w:eastAsia="宋体"/>
        </w:rPr>
        <w:t>基于此，本文提出一种基于覆岩扰动指数（overburden disturbance index，ODI）约束的采区多目标协同规划方法。方法主线包括：构建有效布置域与连续参数场，将离散钻孔和边界信息转化为可计算约束；建立ODI统一风险口径，使地表沉陷、含水层扰动和上行开采等风险能够在同一尺度下参与规划；在工程效率、资源覆盖和扰动控制之间进行多目标权衡，形成可复核的工作面与巷道布局结果；最后，将规划结果作为后续采掘接续和经济评价的上游输入。本文强调的是样例条件下方法链和对象链的贯通性，不将当前结果扩展为真实矿井条件下的普适最优结论。</w:t>
      </w:r>
    </w:p>
    <w:p w14:paraId="6AFB85C4" w14:textId="77777777" w:rsidR="009330B5" w:rsidRDefault="00D76BC3" w:rsidP="00D76BC3">
      <w:pPr>
        <w:pStyle w:val="10"/>
        <w:spacing w:after="40"/>
        <w:ind w:firstLine="420"/>
        <w:rPr>
          <w:lang w:eastAsia="zh-CN"/>
        </w:rPr>
      </w:pPr>
      <w:r>
        <w:rPr>
          <w:rFonts w:ascii="宋体" w:hAnsi="宋体" w:eastAsia="宋体"/>
        </w:rPr>
        <w:t>本文主要开展以下工作：构建采区有效布置域与连续参数场，建立多场景 ODI 风险统一表达方法；构建面向工程效率、资源回收与覆岩扰动控制的多目标协同规划模型，形成多模式候选方案生成、筛选与比选机制；结合研究区案例，对参数场构建结果、ODI 风险分布、结构化规划结果与ODI风险统计结果进行分析。研究结果可为采区规划中的多目标权衡、风险前置控制与方案比选提供统一的计算框架和技术路径。</w:t>
      </w:r>
    </w:p>
    <w:p w14:paraId="2D2AEFD8" w14:textId="77777777" w:rsidR="009330B5" w:rsidRDefault="009330B5">
      <w:pPr>
        <w:spacing w:before="120" w:after="60"/>
        <w:rPr>
          <w:rFonts w:ascii="黑体" w:eastAsia="黑体" w:hAnsi="黑体" w:hint="eastAsia"/>
          <w:b/>
          <w:sz w:val="26"/>
          <w:lang w:eastAsia="zh-CN"/>
        </w:rPr>
      </w:pPr>
    </w:p>
    <w:p w14:paraId="633FF2F4" w14:textId="77777777" w:rsidR="007E22B6" w:rsidRDefault="00000000" w:rsidP="00A046E0">
      <w:pPr>
        <w:pStyle w:val="11"/>
        <w:rPr>
          <w:lang w:eastAsia="zh-CN"/>
        </w:rPr>
      </w:pPr>
      <w:r>
        <w:rPr>
          <w:rFonts w:ascii="宋体" w:hAnsi="宋体" w:eastAsia="宋体"/>
        </w:rPr>
        <w:t>1 基于覆岩扰动指数约束的采区多目标协同规划方法</w:t>
      </w:r>
    </w:p>
    <w:p w14:paraId="27587167" w14:textId="77777777" w:rsidR="007E22B6" w:rsidRDefault="00000000" w:rsidP="00A046E0">
      <w:pPr>
        <w:pStyle w:val="12"/>
        <w:rPr>
          <w:lang w:eastAsia="zh-CN"/>
        </w:rPr>
      </w:pPr>
      <w:r>
        <w:rPr>
          <w:rFonts w:ascii="宋体" w:hAnsi="宋体" w:eastAsia="宋体"/>
        </w:rPr>
        <w:t>1.1 覆岩扰动约束机理与 ODI 统一表达</w:t>
      </w:r>
    </w:p>
    <w:p w14:paraId="07035270" w14:textId="77777777" w:rsidR="00E05130" w:rsidRPr="00E05130" w:rsidRDefault="009330B5" w:rsidP="00E05130">
      <w:pPr>
        <w:pStyle w:val="10"/>
        <w:spacing w:after="40"/>
        <w:ind w:firstLine="420"/>
        <w:rPr>
          <w:lang w:eastAsia="zh-CN"/>
        </w:rPr>
      </w:pPr>
      <w:r>
        <w:rPr>
          <w:rFonts w:ascii="宋体" w:hAnsi="宋体" w:eastAsia="宋体"/>
        </w:rPr>
        <w:t>采区规划的本质是在几何可实施性、资源回收与覆岩扰动控制之间寻求可接受折中。当采动引起的覆岩变形、裂隙发育和应力重分布超过安全阈值时，工作面布置范围、推进方式及回采参数将受到明显约束；反之，若一味采取保守布局，虽然有利于扰动控制，却可能压缩可采空间、降低资源回收水平并削弱生产组织效率。因此，采区规划并不是单纯的几何布局问题，而是一个受覆岩扰动约束驱动的多目标协同决策问题。图1可将该关系概括为“采区规划决策变量—覆岩扰动响应特征—规划决策约束结果”的传递链，即规划变量通过布置方式、尺度参数与推进组织影响覆岩扰动的空间分布、强度水平和演化特征，扰动响应再反向作用于空间约束、强度约束和过程约束，最终参与规划方案的形成与筛选。</w:t>
      </w:r>
    </w:p>
    <w:p w14:paraId="257E5A3F" w14:textId="0CC718D7" w:rsidR="00195275" w:rsidRDefault="00DC435D">
      <w:pPr>
        <w:jc w:val="center"/>
        <w:rPr>
          <w:lang w:eastAsia="zh-CN"/>
        </w:rPr>
      </w:pPr>
      <w:r>
        <w:rPr>
          <w:rFonts w:ascii="宋体" w:hAnsi="宋体" w:eastAsia="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cx="2788920" cy="1367898">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7B58E844" w14:textId="77777777" w:rsidR="00195275" w:rsidRDefault="00000000">
      <w:pPr>
        <w:pStyle w:val="14"/>
        <w:jc w:val="center"/>
        <w:rPr>
          <w:lang w:eastAsia="zh-CN"/>
        </w:rPr>
      </w:pPr>
      <w:r>
        <w:t>图1 覆岩扰动约束机理示意图</w:t>
      </w:r>
      <w:r>
        <w:br/>
      </w:r>
      <w:r>
        <w:t>Fig.1 Schematic diagram of the overburden disturbance constraint mechanism</w:t>
      </w:r>
    </w:p>
    <w:p w14:paraId="1CD3808D" w14:textId="77777777" w:rsidR="00E05130" w:rsidRDefault="009330B5" w:rsidP="00E05130">
      <w:pPr>
        <w:pStyle w:val="10"/>
        <w:spacing w:after="40"/>
        <w:ind w:firstLine="420"/>
        <w:rPr>
          <w:lang w:eastAsia="zh-CN"/>
        </w:rPr>
      </w:pPr>
      <w:r>
        <w:rPr>
          <w:rFonts w:ascii="宋体" w:hAnsi="宋体" w:eastAsia="宋体"/>
        </w:rPr>
        <w:t>对规划域内任意位置x，ODI可表示为</w:t>
      </w:r>
    </w:p>
    <w:p w14:paraId="78F760D5" w14:textId="77777777" w:rsidR="00D76BC3" w:rsidRDefault="00000000">
      <w:pPr>
        <w:pStyle w:val="16"/>
        <w:tabs>
          <w:tab w:pos="8504" w:val="right"/>
        </w:tabs>
        <w:jc w:val="center"/>
        <w:rPr>
          <w:lang w:eastAsia="zh-CN"/>
        </w:rPr>
      </w:pPr>
      <m:oMath>
        <m:r>
          <m:rPr>
            <m:sty m:val="p"/>
          </m:rPr>
          <m:t>ODI</m:t>
        </m:r>
        <m:r>
          <m:t>(x)=</m:t>
        </m:r>
        <m:nary>
          <m:naryPr>
            <m:chr m:val="∑"/>
            <m:limLoc m:val="subSup"/>
            <m:grow m:val="1"/>
            <m:subHide m:val="off"/>
            <m:supHide m:val="off"/>
          </m:naryPr>
          <m:sub>
            <m:r>
              <m:t>i=1</m:t>
            </m:r>
          </m:sub>
          <m:sup>
            <m:r>
              <m:t>n</m:t>
            </m:r>
          </m:sup>
          <m:e>
            <m:sSub>
              <m:e>
                <m:r>
                  <m:t>w</m:t>
                </m:r>
              </m:e>
              <m:sub>
                <m:r>
                  <m:t>i</m:t>
                </m:r>
              </m:sub>
            </m:sSub>
          </m:e>
        </m:nary>
        <m:sSub>
          <m:e>
            <m:r>
              <m:t>x</m:t>
            </m:r>
          </m:e>
          <m:sub>
            <m:r>
              <m:t>i</m:t>
            </m:r>
          </m:sub>
        </m:sSub>
      </m:oMath>
      <w:r>
        <w:tab/>
      </w:r>
      <w:r>
        <w:t>（1）</w:t>
      </w:r>
    </w:p>
    <w:p w14:paraId="454AD3C0" w14:textId="77777777" w:rsidR="00E05130" w:rsidRDefault="00E05130" w:rsidP="009330B5">
      <w:pPr>
        <w:pStyle w:val="10"/>
        <w:spacing w:after="40"/>
        <w:rPr>
          <w:lang w:eastAsia="zh-CN"/>
        </w:rPr>
      </w:pPr>
      <w:r>
        <w:rPr>
          <w:rFonts w:ascii="宋体" w:hAnsi="宋体" w:eastAsia="宋体"/>
        </w:rPr>
        <w:t>并满足</w:t>
      </w:r>
    </w:p>
    <w:p w14:paraId="62AA36B4" w14:textId="77777777" w:rsidR="009330B5" w:rsidRPr="00E05130" w:rsidRDefault="00000000" w:rsidP="009330B5">
      <w:pPr>
        <w:pStyle w:val="16"/>
        <w:tabs>
          <w:tab w:pos="8504" w:val="right"/>
        </w:tabs>
        <w:spacing w:after="40"/>
        <w:jc w:val="center"/>
        <w:rPr>
          <w:lang w:eastAsia="zh-CN"/>
        </w:rPr>
      </w:pPr>
      <m:oMath>
        <m:r>
          <m:t>0≤</m:t>
        </m:r>
        <m:sSub>
          <m:e>
            <m:r>
              <m:t>x</m:t>
            </m:r>
          </m:e>
          <m:sub>
            <m:r>
              <m:t>i</m:t>
            </m:r>
          </m:sub>
        </m:sSub>
        <m:r>
          <m:t>≤1,</m:t>
        </m:r>
        <m:nary>
          <m:naryPr>
            <m:chr m:val="∑"/>
            <m:limLoc m:val="subSup"/>
            <m:grow m:val="1"/>
            <m:subHide m:val="off"/>
            <m:supHide m:val="off"/>
          </m:naryPr>
          <m:sub>
            <m:r>
              <m:t>i=1</m:t>
            </m:r>
          </m:sub>
          <m:sup>
            <m:r>
              <m:t>n</m:t>
            </m:r>
          </m:sup>
          <m:e>
            <m:sSub>
              <m:e>
                <m:r>
                  <m:t>w</m:t>
                </m:r>
              </m:e>
              <m:sub>
                <m:r>
                  <m:t>i</m:t>
                </m:r>
              </m:sub>
            </m:sSub>
          </m:e>
        </m:nary>
        <m:r>
          <m:t>=1,</m:t>
        </m:r>
        <m:sSub>
          <m:e>
            <m:r>
              <m:t>w</m:t>
            </m:r>
          </m:e>
          <m:sub>
            <m:r>
              <m:t>i</m:t>
            </m:r>
          </m:sub>
        </m:sSub>
        <m:r>
          <m:t>≥0</m:t>
        </m:r>
      </m:oMath>
      <w:r>
        <w:tab/>
      </w:r>
      <w:r>
        <w:t>（2）</w:t>
      </w:r>
    </w:p>
    <w:p w14:paraId="37017BF2" w14:textId="77777777" w:rsidR="009330B5" w:rsidRPr="009330B5" w:rsidRDefault="009330B5" w:rsidP="009330B5">
      <w:pPr>
        <w:pStyle w:val="10"/>
        <w:spacing w:after="40"/>
        <w:ind w:firstLine="420"/>
        <w:rPr>
          <w:lang w:eastAsia="zh-CN"/>
        </w:rPr>
      </w:pPr>
      <w:r>
        <w:rPr>
          <w:rFonts w:ascii="宋体" w:hAnsi="宋体" w:eastAsia="宋体"/>
        </w:rPr>
        <w:t>式中，ODI为覆岩扰动指数；x_i为第i类风险因子的归一化指标值；w_i为相应权重；n为纳入计算的风险因子数量。</w:t>
      </w:r>
    </w:p>
    <w:p w14:paraId="4EFCC39C" w14:textId="77777777" w:rsidR="009330B5" w:rsidRDefault="009330B5" w:rsidP="009330B5">
      <w:pPr>
        <w:pStyle w:val="10"/>
        <w:spacing w:after="40"/>
        <w:ind w:firstLine="420"/>
        <w:rPr>
          <w:lang w:eastAsia="zh-CN"/>
        </w:rPr>
      </w:pPr>
      <w:r>
        <w:rPr>
          <w:rFonts w:ascii="宋体" w:hAnsi="宋体" w:eastAsia="宋体"/>
        </w:rPr>
        <w:t>进一步定义候选方案π的ODI统计指标为</w:t>
      </w:r>
    </w:p>
    <w:p w14:paraId="51E92990" w14:textId="77777777" w:rsidR="009330B5" w:rsidRPr="009330B5" w:rsidRDefault="00000000" w:rsidP="009330B5">
      <w:pPr>
        <w:pStyle w:val="16"/>
        <w:tabs>
          <w:tab w:pos="8504" w:val="right"/>
        </w:tabs>
        <w:spacing w:after="40"/>
        <w:ind/>
        <w:jc w:val="center"/>
        <w:rPr>
          <w:lang w:eastAsia="zh-CN"/>
        </w:rPr>
      </w:pPr>
      <m:oMath>
        <m:sSub>
          <m:e>
            <m:acc>
              <m:accPr>
                <m:chr m:val="―"/>
              </m:accPr>
              <m:e>
                <m:r>
                  <m:rPr>
                    <m:sty m:val="p"/>
                  </m:rPr>
                  <m:t>ODI</m:t>
                </m:r>
              </m:e>
            </m:acc>
          </m:e>
          <m:sub>
            <m:r>
              <m:t>π</m:t>
            </m:r>
          </m:sub>
        </m:sSub>
        <m:r>
          <m:t>=</m:t>
        </m:r>
        <m:sSub>
          <m:e>
            <m:r>
              <m:rPr>
                <m:sty m:val="p"/>
              </m:rPr>
              <m:t>mean</m:t>
            </m:r>
          </m:e>
          <m:sub>
            <m:r>
              <m:t>x∈</m:t>
            </m:r>
            <m:sSub>
              <m:e>
                <m:r>
                  <m:t>A</m:t>
                </m:r>
              </m:e>
              <m:sub>
                <m:r>
                  <m:t>π</m:t>
                </m:r>
              </m:sub>
            </m:sSub>
          </m:sub>
        </m:sSub>
        <m:r>
          <m:t>{</m:t>
        </m:r>
        <m:r>
          <m:rPr>
            <m:sty m:val="p"/>
          </m:rPr>
          <m:t>ODI</m:t>
        </m:r>
        <m:r>
          <m:t>(x)}</m:t>
        </m:r>
      </m:oMath>
      <w:r>
        <w:tab/>
      </w:r>
      <w:r>
        <w:t>（3）</w:t>
      </w:r>
    </w:p>
    <w:p w14:paraId="78EC56BF" w14:textId="77777777" w:rsidR="009330B5" w:rsidRPr="009330B5" w:rsidRDefault="00000000" w:rsidP="009330B5">
      <w:pPr>
        <w:pStyle w:val="16"/>
        <w:tabs>
          <w:tab w:pos="8504" w:val="right"/>
        </w:tabs>
        <w:spacing w:after="40"/>
        <w:ind/>
        <w:jc w:val="center"/>
        <w:rPr>
          <w:lang w:eastAsia="zh-CN"/>
        </w:rPr>
      </w:pPr>
      <m:oMath>
        <m:r>
          <m:t>P</m:t>
        </m:r>
        <m:sSub>
          <m:e>
            <m:r>
              <m:t>90</m:t>
            </m:r>
          </m:e>
          <m:sub>
            <m:r>
              <m:t>π</m:t>
            </m:r>
          </m:sub>
        </m:sSub>
        <m:r>
          <m:t>=</m:t>
        </m:r>
        <m:sSub>
          <m:e>
            <m:r>
              <m:t>Q</m:t>
            </m:r>
          </m:e>
          <m:sub>
            <m:r>
              <m:t>0.90</m:t>
            </m:r>
          </m:sub>
        </m:sSub>
        <m:r>
          <m:t>{</m:t>
        </m:r>
        <m:r>
          <m:rPr>
            <m:sty m:val="p"/>
          </m:rPr>
          <m:t>ODI</m:t>
        </m:r>
        <m:r>
          <m:t>(x)∣x∈</m:t>
        </m:r>
        <m:sSub>
          <m:e>
            <m:r>
              <m:t>A</m:t>
            </m:r>
          </m:e>
          <m:sub>
            <m:r>
              <m:t>π</m:t>
            </m:r>
          </m:sub>
        </m:sSub>
        <m:r>
          <m:t>}</m:t>
        </m:r>
      </m:oMath>
      <w:r>
        <w:tab/>
      </w:r>
      <w:r>
        <w:t>（4）</w:t>
      </w:r>
    </w:p>
    <w:p w14:paraId="1DC8CAA2" w14:textId="77777777" w:rsidR="009330B5" w:rsidRDefault="009330B5" w:rsidP="009330B5">
      <w:pPr>
        <w:spacing w:after="40"/>
        <w:ind w:firstLine="420"/>
        <w:rPr>
          <w:lang w:eastAsia="zh-CN"/>
        </w:rPr>
      </w:pPr>
    </w:p>
    <w:p w14:paraId="3B127C66" w14:textId="77777777" w:rsidR="009330B5" w:rsidRPr="009330B5" w:rsidRDefault="00000000" w:rsidP="009330B5">
      <w:pPr>
        <w:pStyle w:val="16"/>
        <w:tabs>
          <w:tab w:pos="8504" w:val="right"/>
        </w:tabs>
        <w:spacing w:after="40"/>
        <w:ind/>
        <w:jc w:val="center"/>
        <w:rPr>
          <w:lang w:eastAsia="zh-CN"/>
        </w:rPr>
      </w:pPr>
      <m:oMath>
        <m:sSub>
          <m:e>
            <m:r>
              <m:t>E</m:t>
            </m:r>
          </m:e>
          <m:sub>
            <m:r>
              <m:t>π</m:t>
            </m:r>
          </m:sub>
        </m:sSub>
        <m:r>
          <m:t>=N(</m:t>
        </m:r>
        <m:r>
          <m:rPr>
            <m:sty m:val="p"/>
          </m:rPr>
          <m:t>ODI</m:t>
        </m:r>
        <m:r>
          <m:t>(x)&gt;</m:t>
        </m:r>
        <m:sSub>
          <m:e>
            <m:r>
              <m:t>T</m:t>
            </m:r>
          </m:e>
          <m:sub>
            <m:r>
              <m:rPr>
                <m:sty m:val="p"/>
              </m:rPr>
              <m:t>ODI</m:t>
            </m:r>
          </m:sub>
        </m:sSub>
        <m:r>
          <m:t>)/</m:t>
        </m:r>
        <m:sSub>
          <m:e>
            <m:r>
              <m:t>N</m:t>
            </m:r>
          </m:e>
          <m:sub>
            <m:r>
              <m:t>π</m:t>
            </m:r>
          </m:sub>
        </m:sSub>
      </m:oMath>
      <w:r>
        <w:tab/>
      </w:r>
      <w:r>
        <w:t>（5）</w:t>
      </w:r>
    </w:p>
    <w:p w14:paraId="4F3B1CD6" w14:textId="77777777" w:rsidR="009330B5" w:rsidRDefault="009330B5" w:rsidP="009330B5">
      <w:pPr>
        <w:pStyle w:val="10"/>
        <w:spacing w:after="40"/>
        <w:ind w:firstLine="420"/>
        <w:rPr>
          <w:lang w:eastAsia="zh-CN"/>
        </w:rPr>
      </w:pPr>
      <w:r>
        <w:t>式中，π为候选规划方案；A_π为方案π对应的布置区域；ODI均值为方案区域内ODI的平均水平；Q_0.90为90%分位数；N_π为方案区域内参与统计的栅格数；N(ODI&gt;T_ODI)为超过扰动控制阈值的栅格数；E_π为超阈值暴露比例。上述统计量用于把风险场从图层表达转化为方案级评价指标。</w:t>
      </w:r>
    </w:p>
    <w:p w14:paraId="29CE1808" w14:textId="77777777" w:rsidR="009330B5" w:rsidRDefault="009330B5">
      <w:pPr>
        <w:spacing w:before="120" w:after="60"/>
        <w:rPr>
          <w:rFonts w:ascii="宋体" w:hAnsi="宋体" w:hint="eastAsia"/>
          <w:b/>
          <w:sz w:val="22"/>
          <w:lang w:eastAsia="zh-CN"/>
        </w:rPr>
      </w:pPr>
    </w:p>
    <w:p w14:paraId="627CC006" w14:textId="77777777" w:rsidR="007E22B6" w:rsidRDefault="00000000" w:rsidP="00A046E0">
      <w:pPr>
        <w:pStyle w:val="12"/>
        <w:rPr>
          <w:lang w:eastAsia="zh-CN"/>
        </w:rPr>
      </w:pPr>
      <w:r>
        <w:rPr>
          <w:rFonts w:ascii="宋体" w:hAnsi="宋体" w:eastAsia="宋体"/>
        </w:rPr>
        <w:t>1.2 有效布置域与连续参数场构建</w:t>
      </w:r>
    </w:p>
    <w:p w14:paraId="66DF8D34" w14:textId="77777777" w:rsidR="009330B5" w:rsidRPr="009330B5" w:rsidRDefault="009330B5" w:rsidP="009330B5">
      <w:pPr>
        <w:pStyle w:val="10"/>
        <w:spacing w:after="40"/>
        <w:ind w:firstLine="420"/>
        <w:rPr>
          <w:lang w:eastAsia="zh-CN"/>
        </w:rPr>
      </w:pPr>
      <w:r>
        <w:rPr>
          <w:rFonts w:ascii="宋体" w:hAnsi="宋体" w:eastAsia="宋体"/>
        </w:rPr>
        <w:t>采区规划首先面临输入对象异构的问题。采区边界属于几何约束对象，钻孔数据具有离散采样特征，分层信息和设计参数则表现为具有工程语义的属性集合。若缺少统一组织方式，这些对象很难同时进入同一套规划流程。为此，本文以研究区边界、钻孔、分层和设计参数为基础，构建采区规划参数体系，并在统一空间参照下完成几何边界处理、参数映射和候选方案生成。表1汇总了“数据输入—参数体系构建—采区规划输出”的主要参数与约束条件，说明采区规划并不是直接对原始边界做简单布置，而是需要经过边界合法性校核、有效布置域提取、尺度参数输入和评价指标联动等环节，才能形成可参与方案生成与优选的统一参数体系。</w:t>
      </w:r>
    </w:p>
    <w:p w14:paraId="2938FABB" w14:textId="77777777" w:rsidR="009330B5" w:rsidRDefault="009330B5" w:rsidP="009330B5">
      <w:pPr>
        <w:pStyle w:val="10"/>
        <w:spacing w:after="40"/>
        <w:ind w:firstLine="420"/>
        <w:rPr>
          <w:lang w:eastAsia="zh-CN"/>
        </w:rPr>
      </w:pPr>
      <w:r>
        <w:rPr>
          <w:rFonts w:ascii="宋体" w:hAnsi="宋体" w:eastAsia="宋体"/>
        </w:rPr>
        <w:t>设原始采区边界为Ω_0，边界煤柱约束、区段煤柱约束及保护对象约束对应的缓冲集合分别为B_b、B_s和D_p，则有效布置域可写为</w:t>
      </w:r>
    </w:p>
    <w:p w14:paraId="09F78E8F" w14:textId="77777777" w:rsidR="009330B5" w:rsidRPr="009330B5" w:rsidRDefault="00000000" w:rsidP="009330B5">
      <w:pPr>
        <w:pStyle w:val="16"/>
        <w:tabs>
          <w:tab w:pos="8504" w:val="right"/>
        </w:tabs>
        <w:spacing w:after="40"/>
        <w:ind/>
        <w:jc w:val="center"/>
        <w:rPr>
          <w:lang w:eastAsia="zh-CN"/>
        </w:rPr>
      </w:pPr>
      <m:oMath>
        <m:sSub>
          <m:e>
            <m:r>
              <m:t>Ω</m:t>
            </m:r>
          </m:e>
          <m:sub>
            <m:r>
              <m:t>e</m:t>
            </m:r>
          </m:sub>
        </m:sSub>
        <m:r>
          <m:t>=</m:t>
        </m:r>
        <m:sSub>
          <m:e>
            <m:r>
              <m:t>Ω</m:t>
            </m:r>
          </m:e>
          <m:sub>
            <m:r>
              <m:t>0</m:t>
            </m:r>
          </m:sub>
        </m:sSub>
        <m:r>
          <m:t>⧵(</m:t>
        </m:r>
        <m:sSub>
          <m:e>
            <m:r>
              <m:t>B</m:t>
            </m:r>
          </m:e>
          <m:sub>
            <m:r>
              <m:t>b</m:t>
            </m:r>
          </m:sub>
        </m:sSub>
        <m:r>
          <m:t>∪</m:t>
        </m:r>
        <m:sSub>
          <m:e>
            <m:r>
              <m:t>B</m:t>
            </m:r>
          </m:e>
          <m:sub>
            <m:r>
              <m:t>s</m:t>
            </m:r>
          </m:sub>
        </m:sSub>
        <m:r>
          <m:t>∪</m:t>
        </m:r>
        <m:sSub>
          <m:e>
            <m:r>
              <m:t>D</m:t>
            </m:r>
          </m:e>
          <m:sub>
            <m:r>
              <m:t>p</m:t>
            </m:r>
          </m:sub>
        </m:sSub>
        <m:r>
          <m:t>)</m:t>
        </m:r>
      </m:oMath>
      <w:r>
        <w:tab/>
      </w:r>
      <w:r>
        <w:t>（6）</w:t>
      </w:r>
    </w:p>
    <w:p w14:paraId="7924C762" w14:textId="77777777" w:rsidR="009330B5" w:rsidRPr="009330B5" w:rsidRDefault="009330B5" w:rsidP="009330B5">
      <w:pPr>
        <w:pStyle w:val="10"/>
        <w:spacing w:after="40"/>
        <w:ind w:firstLine="420"/>
        <w:rPr>
          <w:lang w:eastAsia="zh-CN"/>
        </w:rPr>
      </w:pPr>
      <w:r>
        <w:t>式中，Ω_0为原始采区边界，B_b为边界煤柱宽度，B_s为区段煤柱宽度，D_p为局部保护距离，Ω_e为经约束内缩和几何合法性处理后的有效布置域。若内缩后出现多连通域或局部狭长畸变，则保留主连通区域并采用降级内缩策略，以保证后续工作面布置具有几何可解性。</w:t>
      </w:r>
    </w:p>
    <w:p w14:paraId="1301E6BA" w14:textId="77777777" w:rsidR="009330B5" w:rsidRPr="009330B5" w:rsidRDefault="009330B5" w:rsidP="009330B5">
      <w:pPr>
        <w:pStyle w:val="10"/>
        <w:spacing w:after="40"/>
        <w:ind w:firstLine="420"/>
        <w:rPr>
          <w:lang w:eastAsia="zh-CN"/>
        </w:rPr>
      </w:pPr>
      <w:r>
        <w:rPr>
          <w:rFonts w:ascii="宋体" w:hAnsi="宋体" w:eastAsia="宋体"/>
        </w:rPr>
        <w:t>对给定样点集合，煤层厚度等参数场可表示为</w:t>
      </w:r>
    </w:p>
    <w:p w14:paraId="4AFD253E" w14:textId="77777777" w:rsidR="009330B5" w:rsidRPr="009330B5" w:rsidRDefault="00000000" w:rsidP="009330B5">
      <w:pPr>
        <w:pStyle w:val="16"/>
        <w:tabs>
          <w:tab w:pos="8504" w:val="right"/>
        </w:tabs>
        <w:spacing w:after="40"/>
        <w:ind/>
        <w:jc w:val="center"/>
        <w:rPr>
          <w:lang w:eastAsia="zh-CN"/>
        </w:rPr>
      </w:pPr>
      <m:oMath>
        <m:r>
          <m:t>z(x)=</m:t>
        </m:r>
        <m:nary>
          <m:naryPr>
            <m:chr m:val="∑"/>
            <m:limLoc m:val="subSup"/>
            <m:grow m:val="1"/>
            <m:subHide m:val="off"/>
            <m:supHide m:val="off"/>
          </m:naryPr>
          <m:sub>
            <m:r>
              <m:t>i=1</m:t>
            </m:r>
          </m:sub>
          <m:sup>
            <m:r>
              <m:t>n</m:t>
            </m:r>
          </m:sup>
          <m:e>
            <m:sSub>
              <m:e>
                <m:r>
                  <m:t>d</m:t>
                </m:r>
              </m:e>
              <m:sub>
                <m:r>
                  <m:t>i</m:t>
                </m:r>
              </m:sub>
            </m:sSub>
          </m:e>
        </m:nary>
        <m:r>
          <m:t>(x</m:t>
        </m:r>
        <m:sSup>
          <m:e>
            <m:r>
              <m:t>)</m:t>
            </m:r>
          </m:e>
          <m:sup>
            <m:r>
              <m:t>−p</m:t>
            </m:r>
          </m:sup>
        </m:sSup>
        <m:sSub>
          <m:e>
            <m:r>
              <m:t>z</m:t>
            </m:r>
          </m:e>
          <m:sub>
            <m:r>
              <m:t>i</m:t>
            </m:r>
          </m:sub>
        </m:sSub>
        <m:r>
          <m:t>/</m:t>
        </m:r>
        <m:nary>
          <m:naryPr>
            <m:chr m:val="∑"/>
            <m:limLoc m:val="subSup"/>
            <m:grow m:val="1"/>
            <m:subHide m:val="off"/>
            <m:supHide m:val="off"/>
          </m:naryPr>
          <m:sub>
            <m:r>
              <m:t>i=1</m:t>
            </m:r>
          </m:sub>
          <m:sup>
            <m:r>
              <m:t>n</m:t>
            </m:r>
          </m:sup>
          <m:e>
            <m:sSub>
              <m:e>
                <m:r>
                  <m:t>d</m:t>
                </m:r>
              </m:e>
              <m:sub>
                <m:r>
                  <m:t>i</m:t>
                </m:r>
              </m:sub>
            </m:sSub>
          </m:e>
        </m:nary>
        <m:r>
          <m:t>(x</m:t>
        </m:r>
        <m:sSup>
          <m:e>
            <m:r>
              <m:t>)</m:t>
            </m:r>
          </m:e>
          <m:sup>
            <m:r>
              <m:t>−p</m:t>
            </m:r>
          </m:sup>
        </m:sSup>
      </m:oMath>
      <w:r>
        <w:tab/>
      </w:r>
      <w:r>
        <w:t>（7）</w:t>
      </w:r>
    </w:p>
    <w:p w14:paraId="6C8A93C9" w14:textId="77777777" w:rsidR="009330B5" w:rsidRPr="009330B5" w:rsidRDefault="009330B5" w:rsidP="009330B5">
      <w:pPr>
        <w:pStyle w:val="10"/>
        <w:spacing w:after="40"/>
        <w:ind w:firstLine="420"/>
        <w:rPr>
          <w:lang w:eastAsia="zh-CN"/>
        </w:rPr>
      </w:pPr>
      <w:r>
        <w:rPr>
          <w:rFonts w:ascii="宋体" w:hAnsi="宋体" w:eastAsia="宋体"/>
        </w:rPr>
        <w:t>式中，z(x)为规划位置x处的参数估计值；z_i为第i个钻孔样点的观测值；d_i(x)为位置x与第i个钻孔之间的距离；p为距离衰减指数。该表达体现反距离加权插值思想，目的在于把有限钻孔样点转换为可参与空间规划和风险叠加的连续参数场。</w:t>
      </w:r>
    </w:p>
    <w:p w14:paraId="1B54852D" w14:textId="77777777" w:rsidR="009330B5" w:rsidRPr="009330B5" w:rsidRDefault="009330B5" w:rsidP="009330B5">
      <w:pPr>
        <w:pStyle w:val="10"/>
        <w:spacing w:after="40"/>
        <w:ind w:firstLine="420"/>
        <w:rPr>
          <w:lang w:eastAsia="zh-CN"/>
        </w:rPr>
      </w:pPr>
      <w:r>
        <w:rPr>
          <w:rFonts w:ascii="宋体" w:hAnsi="宋体" w:eastAsia="宋体"/>
        </w:rPr>
        <w:t>由此，采区规划的基础输入可归纳为4类：其一为几何边界与有效布置域；其二为钻孔、分层与厚度场等连续参数表达；其三为边界煤柱、区段煤柱、工作面宽度、推进长度和推进方向等设计参数；其四为 ODI 约束、资源评价与工程效率评价等指标体系。上述4类输入并不是彼此割裂的静态信息，而是在同一空间域、同一参数口径和同一评价框架下共同作用于候选方案生成过程。</w:t>
      </w:r>
    </w:p>
    <w:p w14:paraId="1485CC44" w14:textId="77777777" w:rsidR="007E22B6" w:rsidRDefault="00000000" w:rsidP="00A046E0">
      <w:pPr>
        <w:pStyle w:val="12"/>
        <w:rPr>
          <w:lang w:eastAsia="zh-CN"/>
        </w:rPr>
      </w:pPr>
      <w:r>
        <w:rPr>
          <w:rFonts w:ascii="宋体" w:hAnsi="宋体" w:eastAsia="宋体"/>
        </w:rPr>
        <w:t>1.3 候选方案生成与多目标协同规划模型</w:t>
      </w:r>
    </w:p>
    <w:p w14:paraId="6BFA1A07" w14:textId="77777777" w:rsidR="009330B5" w:rsidRPr="009330B5" w:rsidRDefault="009330B5" w:rsidP="009330B5">
      <w:pPr>
        <w:pStyle w:val="10"/>
        <w:spacing w:after="40"/>
        <w:ind w:firstLine="420"/>
        <w:rPr>
          <w:rFonts w:ascii="宋体" w:hAnsi="宋体" w:hint="eastAsia"/>
          <w:lang w:eastAsia="zh-CN"/>
        </w:rPr>
      </w:pPr>
      <w:r>
        <w:rPr>
          <w:rFonts w:ascii="宋体" w:hAnsi="宋体" w:eastAsia="宋体"/>
        </w:rPr>
        <w:t>在满足几何可实施性和安全隔离要求的前提下，采区规划需要在工程效率、资源回收和覆岩扰动控制之间进行权衡。仅输出单一方案往往难以覆盖实际决策中的多目标偏好，也不利于后续人工复核与工程调整。基于此，本文将候选方案组织为统一候选池上的多视角筛选问题，并构建多目标协同规划模型。</w:t>
      </w:r>
    </w:p>
    <w:p w14:paraId="74C569C3" w14:textId="77777777" w:rsidR="009330B5" w:rsidRPr="009330B5" w:rsidRDefault="009330B5" w:rsidP="009330B5">
      <w:pPr>
        <w:pStyle w:val="10"/>
        <w:spacing w:after="40"/>
        <w:ind w:firstLine="420"/>
        <w:rPr>
          <w:rFonts w:ascii="宋体" w:hAnsi="宋体" w:hint="eastAsia"/>
          <w:lang w:eastAsia="zh-CN"/>
        </w:rPr>
      </w:pPr>
      <w:r>
        <w:rPr>
          <w:rFonts w:ascii="宋体" w:hAnsi="宋体" w:eastAsia="宋体"/>
        </w:rPr>
        <w:t>设候选方案集合为Π，其中每个方案π包括工作面布置、巷道结构、推进方向、尺寸参数和煤柱配置等空间对象。</w:t>
      </w:r>
    </w:p>
    <w:p w14:paraId="54775B58" w14:textId="77777777" w:rsidR="009330B5" w:rsidRPr="009330B5" w:rsidRDefault="00000000">
      <w:pPr>
        <w:pStyle w:val="16"/>
        <w:tabs>
          <w:tab w:pos="8504" w:val="right"/>
        </w:tabs>
        <w:spacing w:after="40"/>
        <w:ind/>
        <w:jc w:val="center"/>
        <w:rPr>
          <w:rFonts w:ascii="宋体" w:hAnsi="宋体" w:hint="eastAsia"/>
          <w:lang w:eastAsia="zh-CN"/>
        </w:rPr>
      </w:pPr>
      <m:oMath>
        <m:r>
          <m:t>F(π)=</m:t>
        </m:r>
        <m:sSub>
          <m:e>
            <m:r>
              <m:t>w</m:t>
            </m:r>
          </m:e>
          <m:sub>
            <m:r>
              <m:t>e</m:t>
            </m:r>
          </m:sub>
        </m:sSub>
        <m:sSub>
          <m:e>
            <m:r>
              <m:t>S</m:t>
            </m:r>
          </m:e>
          <m:sub>
            <m:r>
              <m:t>e</m:t>
            </m:r>
          </m:sub>
        </m:sSub>
        <m:r>
          <m:t>(π)+</m:t>
        </m:r>
        <m:sSub>
          <m:e>
            <m:r>
              <m:t>w</m:t>
            </m:r>
          </m:e>
          <m:sub>
            <m:r>
              <m:t>r</m:t>
            </m:r>
          </m:sub>
        </m:sSub>
        <m:sSub>
          <m:e>
            <m:r>
              <m:t>S</m:t>
            </m:r>
          </m:e>
          <m:sub>
            <m:r>
              <m:t>r</m:t>
            </m:r>
          </m:sub>
        </m:sSub>
        <m:r>
          <m:t>(π)+</m:t>
        </m:r>
        <m:sSub>
          <m:e>
            <m:r>
              <m:t>w</m:t>
            </m:r>
          </m:e>
          <m:sub>
            <m:r>
              <m:t>m</m:t>
            </m:r>
          </m:sub>
        </m:sSub>
        <m:sSub>
          <m:e>
            <m:r>
              <m:t>S</m:t>
            </m:r>
          </m:e>
          <m:sub>
            <m:r>
              <m:t>m</m:t>
            </m:r>
          </m:sub>
        </m:sSub>
        <m:r>
          <m:t>(π)</m:t>
        </m:r>
      </m:oMath>
      <w:r>
        <w:tab/>
      </w:r>
      <w:r>
        <w:t>（8）</w:t>
      </w:r>
    </w:p>
    <w:p w14:paraId="01F82267" w14:textId="77777777" w:rsidR="009330B5" w:rsidRDefault="009330B5">
      <w:pPr>
        <w:pStyle w:val="10"/>
        <w:spacing w:after="40"/>
        <w:ind w:firstLine="420"/>
        <w:rPr>
          <w:rFonts w:ascii="宋体" w:hAnsi="宋体" w:hint="eastAsia"/>
          <w:lang w:eastAsia="zh-CN"/>
        </w:rPr>
      </w:pPr>
      <w:r>
        <w:rPr>
          <w:rFonts w:ascii="宋体" w:hAnsi="宋体" w:eastAsia="宋体"/>
        </w:rPr>
        <w:t>并满足</w:t>
      </w:r>
    </w:p>
    <w:p w14:paraId="274C7E52" w14:textId="77777777" w:rsidR="009330B5" w:rsidRDefault="00000000">
      <w:pPr>
        <w:pStyle w:val="16"/>
        <w:tabs>
          <w:tab w:pos="8504" w:val="right"/>
        </w:tabs>
        <w:spacing w:after="40"/>
        <w:ind/>
        <w:jc w:val="center"/>
        <w:rPr>
          <w:rFonts w:ascii="宋体" w:hAnsi="宋体" w:hint="eastAsia"/>
          <w:lang w:eastAsia="zh-CN"/>
        </w:rPr>
      </w:pPr>
      <m:oMath>
        <m:sSub>
          <m:e>
            <m:r>
              <m:t>w</m:t>
            </m:r>
          </m:e>
          <m:sub>
            <m:r>
              <m:t>e</m:t>
            </m:r>
          </m:sub>
        </m:sSub>
        <m:r>
          <m:t>+</m:t>
        </m:r>
        <m:sSub>
          <m:e>
            <m:r>
              <m:t>w</m:t>
            </m:r>
          </m:e>
          <m:sub>
            <m:r>
              <m:t>r</m:t>
            </m:r>
          </m:sub>
        </m:sSub>
        <m:r>
          <m:t>+</m:t>
        </m:r>
        <m:sSub>
          <m:e>
            <m:r>
              <m:t>w</m:t>
            </m:r>
          </m:e>
          <m:sub>
            <m:r>
              <m:t>m</m:t>
            </m:r>
          </m:sub>
        </m:sSub>
        <m:r>
          <m:t>=1,</m:t>
        </m:r>
        <m:sSub>
          <m:e>
            <m:r>
              <m:t>w</m:t>
            </m:r>
          </m:e>
          <m:sub>
            <m:r>
              <m:t>e</m:t>
            </m:r>
          </m:sub>
        </m:sSub>
        <m:r>
          <m:t>≥0,</m:t>
        </m:r>
        <m:sSub>
          <m:e>
            <m:r>
              <m:t>w</m:t>
            </m:r>
          </m:e>
          <m:sub>
            <m:r>
              <m:t>r</m:t>
            </m:r>
          </m:sub>
        </m:sSub>
        <m:r>
          <m:t>≥0,</m:t>
        </m:r>
        <m:sSub>
          <m:e>
            <m:r>
              <m:t>w</m:t>
            </m:r>
          </m:e>
          <m:sub>
            <m:r>
              <m:t>m</m:t>
            </m:r>
          </m:sub>
        </m:sSub>
        <m:r>
          <m:t>≥0</m:t>
        </m:r>
      </m:oMath>
      <w:r>
        <w:tab/>
      </w:r>
      <w:r>
        <w:t>（9）</w:t>
      </w:r>
    </w:p>
    <w:p w14:paraId="3C96CC69" w14:textId="77777777" w:rsidR="009330B5" w:rsidRPr="009330B5" w:rsidRDefault="009330B5" w:rsidP="009330B5">
      <w:pPr>
        <w:pStyle w:val="10"/>
        <w:spacing w:after="40"/>
        <w:ind w:firstLine="420"/>
        <w:rPr>
          <w:rFonts w:ascii="宋体" w:hAnsi="宋体" w:hint="eastAsia"/>
          <w:lang w:eastAsia="zh-CN"/>
        </w:rPr>
      </w:pPr>
      <w:r>
        <w:rPr>
          <w:rFonts w:ascii="宋体" w:hAnsi="宋体" w:eastAsia="宋体"/>
        </w:rPr>
        <w:t>式中，S_e(π)、S_r(π)和S_m(π)分别表示方案π在工程效率、资源覆盖和扰动控制方面的评价值；w_e、w_r和w_m为对应权重，且满足w_e+w_r+w_m=1。该目标函数用于说明多目标权衡口径，不替代真实矿井条件下的最终工程优选。</w:t>
      </w:r>
    </w:p>
    <w:p w14:paraId="002CA09B" w14:textId="77777777" w:rsidR="009330B5" w:rsidRPr="009330B5" w:rsidRDefault="009330B5" w:rsidP="009330B5">
      <w:pPr>
        <w:pStyle w:val="10"/>
        <w:spacing w:after="40"/>
        <w:ind w:firstLine="420"/>
        <w:rPr>
          <w:rFonts w:ascii="宋体" w:hAnsi="宋体" w:hint="eastAsia"/>
          <w:lang w:eastAsia="zh-CN"/>
        </w:rPr>
      </w:pPr>
      <w:r>
        <w:t>具体而言，工程效率、资源回收、覆岩扰动控制和综合权衡可作为同一候选池上的不同评价口径。工程效率口径关注有效布置域覆盖率、工作面连续性和实施稳定性，当前导出结果中工程效率优先方案形成5个工作面，覆盖率为89.34%，工程效率评分为87.82；资源回收口径关注厚度场和可采资源价值，资源回收优先方案覆盖率为91.20%，资源回收评分为89.76；覆岩扰动控制口径关注ODI均值、P90及超限暴露比例，扰动控制方案的ODI均值为0.3872，P90为0.7414，ODI&gt;0.70比例为14.25%。综合权衡口径则在3类目标之间进行权重调节和排序，用于解释不同规划目标下的方案差异。</w:t>
      </w:r>
    </w:p>
    <w:p w14:paraId="4B1A0039" w14:textId="77777777" w:rsidR="009330B5" w:rsidRPr="009330B5" w:rsidRDefault="009330B5" w:rsidP="009330B5">
      <w:pPr>
        <w:pStyle w:val="10"/>
        <w:spacing w:after="40"/>
        <w:ind w:firstLine="420"/>
        <w:rPr>
          <w:rFonts w:ascii="宋体" w:hAnsi="宋体" w:hint="eastAsia"/>
          <w:lang w:eastAsia="zh-CN"/>
        </w:rPr>
      </w:pPr>
      <w:r>
        <w:rPr>
          <w:rFonts w:ascii="宋体" w:hAnsi="宋体" w:eastAsia="宋体"/>
        </w:rPr>
        <w:t>对通过必要安全与几何校核的候选方案，再依据综合目标函数及其权重约束开展模式化排序与优选。</w:t>
      </w:r>
    </w:p>
    <w:p w14:paraId="3F87611A" w14:textId="77777777" w:rsidR="007E22B6" w:rsidRDefault="007E22B6">
      <w:pPr>
        <w:rPr>
          <w:lang w:eastAsia="zh-CN"/>
        </w:rPr>
      </w:pPr>
    </w:p>
    <w:p w14:paraId="47A4F4DE" w14:textId="77777777" w:rsidR="00E05130" w:rsidRPr="00E05130" w:rsidRDefault="00E05130" w:rsidP="00A046E0">
      <w:pPr>
        <w:pStyle w:val="12"/>
        <w:rPr>
          <w:lang w:eastAsia="zh-CN"/>
        </w:rPr>
      </w:pPr>
      <w:r>
        <w:rPr>
          <w:rFonts w:ascii="宋体" w:hAnsi="宋体" w:eastAsia="宋体"/>
        </w:rPr>
        <w:t>1.4 方案传递与评价流程</w:t>
      </w:r>
    </w:p>
    <w:p w14:paraId="1E52BAFF" w14:textId="77777777" w:rsidR="009330B5" w:rsidRPr="009330B5" w:rsidRDefault="009330B5" w:rsidP="009330B5">
      <w:pPr>
        <w:pStyle w:val="10"/>
        <w:spacing w:after="40"/>
        <w:ind w:firstLine="420"/>
        <w:rPr>
          <w:rFonts w:ascii="宋体" w:hAnsi="宋体" w:hint="eastAsia"/>
          <w:lang w:eastAsia="zh-CN"/>
        </w:rPr>
      </w:pPr>
      <w:r>
        <w:rPr>
          <w:rFonts w:ascii="宋体" w:hAnsi="宋体" w:eastAsia="宋体"/>
        </w:rPr>
        <w:t>本文方法并不把几何布局视为终点，而是强调规划结果在后续调控、接续和经济评价环节中的连续传递。也就是说，采区规划阶段形成的工作面边界、巷道结构、覆盖范围及扰动统计量，不仅是当前求解阶段的输出，也是后续生产组织与经济测算的上游输入。这种“规划—调控—评价”的连续链条，是本文区别于传统割裂式规划流程的重要特点。</w:t>
      </w:r>
    </w:p>
    <w:p w14:paraId="66DC9403" w14:textId="77777777" w:rsidR="009330B5" w:rsidRPr="009330B5" w:rsidRDefault="009330B5" w:rsidP="009330B5">
      <w:pPr>
        <w:pStyle w:val="10"/>
        <w:spacing w:after="40"/>
        <w:ind w:firstLine="420"/>
        <w:rPr>
          <w:rFonts w:ascii="宋体" w:hAnsi="宋体" w:hint="eastAsia"/>
          <w:lang w:eastAsia="zh-CN"/>
        </w:rPr>
      </w:pPr>
      <w:r>
        <w:rPr>
          <w:rFonts w:ascii="宋体" w:hAnsi="宋体" w:eastAsia="宋体"/>
        </w:rPr>
        <w:t>在调控层面，规划结果可进一步转化为工作面级和生产级控制变量。例如，在含水层扰动场景下，可将工作面采高、工作面宽度、区段煤柱宽度以及推进长度作为主要调控参数，通过比较不同参数条件下ODI均值、高分位值和超限比例的变化，识别对扰动强度最敏感的控制量，并据此开展局部调整。这意味着规划阶段并不直接产出不可更改的最终工程方案，而是先形成满足必要安全与几何底线、并保留推荐阈值校核状态的候选空间对象，再通过参数调控提升其在扰动约束下的适应性。</w:t>
      </w:r>
    </w:p>
    <w:p w14:paraId="37272CF4" w14:textId="77777777" w:rsidR="009330B5" w:rsidRPr="009330B5" w:rsidRDefault="009330B5" w:rsidP="009330B5">
      <w:pPr>
        <w:pStyle w:val="10"/>
        <w:spacing w:after="40"/>
        <w:ind w:firstLine="420"/>
        <w:rPr>
          <w:rFonts w:ascii="宋体" w:hAnsi="宋体" w:hint="eastAsia"/>
          <w:lang w:eastAsia="zh-CN"/>
        </w:rPr>
      </w:pPr>
      <w:r>
        <w:rPr>
          <w:rFonts w:ascii="宋体" w:hAnsi="宋体" w:eastAsia="宋体"/>
        </w:rPr>
        <w:t>设接续方案为s，其指标关系可表示为</w:t>
      </w:r>
    </w:p>
    <w:p w14:paraId="74F45BC3" w14:textId="77777777" w:rsidR="004D2816" w:rsidRPr="00E05130" w:rsidRDefault="00000000" w:rsidP="00E05130">
      <w:pPr>
        <w:pStyle w:val="16"/>
        <w:tabs>
          <w:tab w:pos="8504" w:val="right"/>
        </w:tabs>
        <w:spacing w:after="40"/>
        <w:ind/>
        <w:jc w:val="center"/>
        <w:rPr>
          <w:lang w:eastAsia="zh-CN"/>
        </w:rPr>
      </w:pPr>
      <m:oMath>
        <m:sSub>
          <m:e>
            <m:r>
              <m:rPr>
                <m:sty m:val="p"/>
              </m:rPr>
              <m:t>Score</m:t>
            </m:r>
          </m:e>
          <m:sub>
            <m:r>
              <m:t>s</m:t>
            </m:r>
          </m:sub>
        </m:sSub>
        <m:r>
          <m:t>=α</m:t>
        </m:r>
        <m:sSub>
          <m:e>
            <m:r>
              <m:t>P</m:t>
            </m:r>
          </m:e>
          <m:sub>
            <m:r>
              <m:t>s</m:t>
            </m:r>
          </m:sub>
        </m:sSub>
        <m:r>
          <m:t>+β</m:t>
        </m:r>
        <m:sSub>
          <m:e>
            <m:r>
              <m:t>R</m:t>
            </m:r>
          </m:e>
          <m:sub>
            <m:r>
              <m:t>s</m:t>
            </m:r>
          </m:sub>
        </m:sSub>
        <m:r>
          <m:t>+γ</m:t>
        </m:r>
        <m:sSub>
          <m:e>
            <m:r>
              <m:t>C</m:t>
            </m:r>
          </m:e>
          <m:sub>
            <m:r>
              <m:t>s</m:t>
            </m:r>
          </m:sub>
        </m:sSub>
      </m:oMath>
      <w:r>
        <w:tab/>
      </w:r>
      <w:r>
        <w:t>（10）</w:t>
      </w:r>
    </w:p>
    <w:p w14:paraId="5D7140D9" w14:textId="77777777" w:rsidR="004D2816" w:rsidRPr="004D2816" w:rsidRDefault="004D2816" w:rsidP="004D2816">
      <w:pPr>
        <w:pStyle w:val="10"/>
        <w:spacing w:after="40"/>
        <w:ind w:firstLine="420"/>
        <w:rPr>
          <w:lang w:eastAsia="zh-CN"/>
        </w:rPr>
      </w:pPr>
      <w:r>
        <w:rPr>
          <w:rFonts w:ascii="宋体" w:hAnsi="宋体" w:eastAsia="宋体"/>
        </w:rPr>
        <w:t>式中，P_s为产量组织指标，R_s为风险可控性指标，C_s为工期与组织可控性指标；α、β和γ为对应权重，且满足α+β+γ=1。</w:t>
      </w:r>
    </w:p>
    <w:p w14:paraId="5CD1AC28" w14:textId="77777777" w:rsidR="004D2816" w:rsidRPr="004D2816" w:rsidRDefault="004D2816" w:rsidP="004D2816">
      <w:pPr>
        <w:pStyle w:val="10"/>
        <w:spacing w:after="40"/>
        <w:ind w:firstLine="420"/>
        <w:rPr>
          <w:lang w:eastAsia="zh-CN"/>
        </w:rPr>
      </w:pPr>
      <w:r>
        <w:rPr>
          <w:rFonts w:ascii="宋体" w:hAnsi="宋体" w:eastAsia="宋体"/>
        </w:rPr>
        <w:t>进一步地，工程经济评价可通过月度净现金流口径承接规划与接续结果。第t月净现金流可表示为</w:t>
      </w:r>
    </w:p>
    <w:p w14:paraId="72C666E0" w14:textId="77777777" w:rsidR="004D2816" w:rsidRDefault="00000000" w:rsidP="00E05130">
      <w:pPr>
        <w:pStyle w:val="16"/>
        <w:tabs>
          <w:tab w:pos="8504" w:val="right"/>
        </w:tabs>
        <w:spacing w:after="40"/>
        <w:ind/>
        <w:jc w:val="center"/>
        <w:rPr>
          <w:lang w:eastAsia="zh-CN"/>
        </w:rPr>
      </w:pPr>
      <m:oMath>
        <m:sSub>
          <m:e>
            <m:r>
              <m:rPr>
                <m:sty m:val="p"/>
              </m:rPr>
              <m:t>NCF</m:t>
            </m:r>
          </m:e>
          <m:sub>
            <m:r>
              <m:t>t</m:t>
            </m:r>
          </m:sub>
        </m:sSub>
        <m:r>
          <m:t>=</m:t>
        </m:r>
        <m:sSub>
          <m:e>
            <m:r>
              <m:rPr>
                <m:sty m:val="p"/>
              </m:rPr>
              <m:t>Rev</m:t>
            </m:r>
          </m:e>
          <m:sub>
            <m:r>
              <m:t>t</m:t>
            </m:r>
          </m:sub>
        </m:sSub>
        <m:r>
          <m:t>−</m:t>
        </m:r>
        <m:sSub>
          <m:e>
            <m:r>
              <m:rPr>
                <m:sty m:val="p"/>
              </m:rPr>
              <m:t>Cost</m:t>
            </m:r>
          </m:e>
          <m:sub>
            <m:r>
              <m:t>t</m:t>
            </m:r>
          </m:sub>
        </m:sSub>
        <m:r>
          <m:t>−</m:t>
        </m:r>
        <m:sSub>
          <m:e>
            <m:r>
              <m:rPr>
                <m:sty m:val="p"/>
              </m:rPr>
              <m:t>RiskCost</m:t>
            </m:r>
          </m:e>
          <m:sub>
            <m:r>
              <m:t>t</m:t>
            </m:r>
          </m:sub>
        </m:sSub>
      </m:oMath>
      <w:r>
        <w:tab/>
      </w:r>
      <w:r>
        <w:t>（11）</w:t>
      </w:r>
    </w:p>
    <w:p w14:paraId="4065923E" w14:textId="77777777" w:rsidR="004D2816" w:rsidRPr="00E05130" w:rsidRDefault="004D2816" w:rsidP="00E05130">
      <w:pPr>
        <w:pStyle w:val="10"/>
        <w:spacing w:after="40"/>
        <w:ind w:firstLine="420"/>
        <w:rPr>
          <w:lang w:eastAsia="zh-CN"/>
        </w:rPr>
      </w:pPr>
      <w:r>
        <w:rPr>
          <w:rFonts w:ascii="宋体" w:hAnsi="宋体" w:eastAsia="宋体"/>
        </w:rPr>
        <w:t>式中，Rev_t为第t月收入，Cost_t为常规成本，RiskCost_t为风险联动成本，NCF_t为第t月净现金流。该式用于说明经济评价可接收规划与接续结果形成的月度输入。</w:t>
      </w:r>
    </w:p>
    <w:p w14:paraId="32E85B69" w14:textId="77777777" w:rsidR="00E05130" w:rsidRDefault="00E05130" w:rsidP="00E05130">
      <w:pPr>
        <w:pStyle w:val="10"/>
        <w:spacing w:after="40"/>
        <w:ind w:firstLine="420"/>
        <w:rPr>
          <w:lang w:eastAsia="zh-CN"/>
        </w:rPr>
      </w:pPr>
      <w:r>
        <w:rPr>
          <w:rFonts w:ascii="宋体" w:hAnsi="宋体" w:eastAsia="宋体"/>
        </w:rPr>
        <w:t>本文保留工程经济评价的理论传递关系，但不在样例结果中给出未经独立导出的经济评价结论。</w:t>
      </w:r>
    </w:p>
    <w:p w14:paraId="17079F4B" w14:textId="77777777" w:rsidR="00E05130" w:rsidRPr="00E05130" w:rsidRDefault="00E05130" w:rsidP="00E05130">
      <w:pPr>
        <w:pStyle w:val="10"/>
        <w:spacing w:after="40"/>
        <w:ind w:firstLine="420"/>
        <w:rPr>
          <w:lang w:eastAsia="zh-CN"/>
        </w:rPr>
      </w:pPr>
      <w:r>
        <w:rPr>
          <w:rFonts w:ascii="宋体" w:hAnsi="宋体" w:eastAsia="宋体"/>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1A76B30D" w14:textId="77777777" w:rsidR="007E22B6" w:rsidRDefault="00000000" w:rsidP="00A046E0">
      <w:pPr>
        <w:pStyle w:val="11"/>
        <w:rPr>
          <w:lang w:eastAsia="zh-CN"/>
        </w:rPr>
      </w:pPr>
      <w:r>
        <w:rPr>
          <w:rFonts w:ascii="宋体" w:hAnsi="宋体" w:eastAsia="宋体"/>
        </w:rPr>
        <w:t>2 工程案例与结果分析</w:t>
      </w:r>
    </w:p>
    <w:p w14:paraId="56BFB30B" w14:textId="77777777" w:rsidR="007E22B6" w:rsidRDefault="00000000" w:rsidP="00A046E0">
      <w:pPr>
        <w:pStyle w:val="12"/>
        <w:rPr>
          <w:lang w:eastAsia="zh-CN"/>
        </w:rPr>
      </w:pPr>
      <w:r>
        <w:rPr>
          <w:rFonts w:ascii="宋体" w:hAnsi="宋体" w:eastAsia="宋体"/>
        </w:rPr>
        <w:t>2.1 研究区概况与输入数据</w:t>
      </w:r>
    </w:p>
    <w:p w14:paraId="1344851D" w14:textId="77777777" w:rsidR="007E22B6" w:rsidRDefault="00801D65">
      <w:pPr>
        <w:pStyle w:val="10"/>
        <w:spacing w:after="40"/>
        <w:ind w:firstLine="420"/>
        <w:rPr>
          <w:rFonts w:ascii="宋体" w:hAnsi="宋体" w:hint="eastAsia"/>
          <w:lang w:eastAsia="zh-CN"/>
        </w:rPr>
      </w:pPr>
      <w:r>
        <w:t>为验证所提方法在采区规划场景中的适用性与链路贯通能力，选取敏东研究区导出数据开展分析。该研究区以15个边界点构成采区边界，以28个钻孔样点和规划控制参数为基础输入，边界多边形面积为5872308.08 m²，有效规划域面积为5399414.60 m²。当前验证目标限定为样例条件下的数据组织、风险表征、规划对象生成与结果传递，不将样例结果解释为真实矿井条件下的工业级优选结论。</w:t>
      </w:r>
    </w:p>
    <w:p w14:paraId="46B37463" w14:textId="77777777" w:rsidR="00801D65" w:rsidRDefault="00801D65">
      <w:pPr>
        <w:pStyle w:val="10"/>
        <w:spacing w:after="40"/>
        <w:ind w:firstLine="420"/>
        <w:rPr>
          <w:lang w:eastAsia="zh-CN"/>
        </w:rPr>
      </w:pPr>
      <w:r>
        <w:rPr>
          <w:rFonts w:ascii="宋体" w:hAnsi="宋体" w:eastAsia="宋体"/>
        </w:rPr>
        <w:t>研究区输入对象包括采区边界、钻孔样点和规划控制参数3类。钻孔样点用于构建煤层厚度等连续参数场；边界对象用于界定有效布置域；边界煤柱、区段煤柱、工作面宽度、推进长度校核阈值和ODI统计阈值则共同构成后续规划求解的约束与校核条件。</w:t>
      </w:r>
    </w:p>
    <w:p w14:paraId="6D84E569" w14:textId="77777777" w:rsidR="00195275" w:rsidRDefault="00000000">
      <w:pPr>
        <w:jc w:val="center"/>
      </w:pPr>
      <w:r>
        <w:rPr>
          <w:rFonts w:ascii="宋体" w:hAnsi="宋体" w:eastAsia="宋体"/>
          <w:noProof/>
        </w:rPr>
        <w:lastRenderedPageBreak/>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1E61D91E" w14:textId="77777777" w:rsidR="00195275" w:rsidRDefault="00000000">
      <w:pPr>
        <w:pStyle w:val="14"/>
        <w:jc w:val="center"/>
        <w:rPr>
          <w:lang w:eastAsia="zh-CN"/>
        </w:rPr>
      </w:pPr>
      <w:r>
        <w:t>图2 研究区钻孔空间分布图</w:t>
      </w:r>
      <w:r>
        <w:br/>
      </w:r>
      <w:r>
        <w:t>Fig.2 Spatial distribution of boreholes in the study area</w:t>
      </w:r>
    </w:p>
    <w:p w14:paraId="2AD32400" w14:textId="77777777" w:rsidR="00801D65" w:rsidRDefault="00801D65">
      <w:pPr>
        <w:pStyle w:val="10"/>
        <w:spacing w:after="40"/>
        <w:ind w:firstLine="420"/>
        <w:rPr>
          <w:lang w:eastAsia="zh-CN"/>
        </w:rPr>
      </w:pPr>
      <w:r>
        <w:t>图2显示，28个钻孔样点在研究区内形成了覆盖边界内外的空间采样网络。这些样点为后续参数场插值、ODI风险场构建和规划结果叠加提供统一空间参照。由于钻孔分层属性在不同场景导出中承担的是参数场约束作用，本文不再以单孔极值解释资源优劣，而强调其对连续参数场和规划域构建的支撑。</w:t>
      </w:r>
    </w:p>
    <w:p w14:paraId="0118CE26" w14:textId="77777777" w:rsidR="00801D65" w:rsidRDefault="00801D65">
      <w:pPr>
        <w:pStyle w:val="10"/>
        <w:spacing w:after="40"/>
        <w:ind w:firstLine="420"/>
        <w:rPr>
          <w:lang w:eastAsia="zh-CN"/>
        </w:rPr>
      </w:pPr>
      <w:r>
        <w:t>在研究区进入规划求解前，原始边界并不直接作为工作面布置边界使用，而是结合边界煤柱、区段煤柱及局部保护距离进行约束处理。当前工程效率优先方案采用50.0 m边界煤柱和30.0 m区段煤柱，并由候选方案评价结果确定工作面数量、推进长度和布置范围。</w:t>
      </w:r>
    </w:p>
    <w:p w14:paraId="2FA9397C" w14:textId="77777777" w:rsidR="00801D65" w:rsidRDefault="00801D65">
      <w:pPr>
        <w:pStyle w:val="10"/>
        <w:spacing w:after="40"/>
        <w:ind w:firstLine="420"/>
        <w:rPr>
          <w:lang w:eastAsia="zh-CN"/>
        </w:rPr>
      </w:pPr>
      <w:r>
        <w:rPr>
          <w:rFonts w:ascii="宋体" w:hAnsi="宋体" w:eastAsia="宋体"/>
        </w:rPr>
        <w:t>因此，本节的作用是把研究区输入压实为可复核的参数体系：边界提供空间范围，钻孔提供连续参数场样本，设计参数提供几何与安全约束，ODI阈值提供风险统计口径。后续结果分析均以该统一输入口径为基础。</w:t>
      </w:r>
    </w:p>
    <w:p w14:paraId="0A0F0DF0" w14:textId="77777777" w:rsidR="00A046E0" w:rsidRPr="00A046E0" w:rsidRDefault="00A046E0" w:rsidP="00A046E0">
      <w:pPr>
        <w:pStyle w:val="15"/>
        <w:spacing w:after="40"/>
        <w:ind w:firstLine="420"/>
        <w:jc w:val="center"/>
        <w:rPr>
          <w:lang w:eastAsia="zh-CN"/>
        </w:rPr>
      </w:pPr>
      <w:r>
        <w:t>表1 研究区输入参数与约束条件</w:t>
      </w:r>
      <w:r>
        <w:br/>
      </w:r>
      <w:r>
        <w:t>Table 1 Input parameters and constraints of the study area</w:t>
      </w:r>
    </w:p>
    <w:tbl>
      <w:tblPr>
        <w:tblW w:type="pct" w:w="5000"/>
        <w:jc w:val="center"/>
        <w:tblLayout w:type="fixed"/>
        <w:tblLook w:firstColumn="1" w:firstRow="1" w:lastColumn="0" w:lastRow="0" w:noHBand="0" w:noVBand="1" w:val="04A0"/>
      </w:tblPr>
      <w:tblGrid>
        <w:gridCol w:w="1441"/>
        <w:gridCol w:w="1441"/>
        <w:gridCol w:w="1441"/>
        <w:gridCol w:w="1441"/>
        <w:gridCol w:w="1441"/>
        <w:gridCol w:w="1441"/>
        <w:gridCol w:w="1441"/>
      </w:tblGrid>
      <w:tr>
        <w:tc>
          <w:tcPr>
            <w:tcW w:type="dxa" w:w="1417"/>
            <w:vAlign w:val="center"/>
            <w:gridSpan w:val="2"/>
            <w:tcBorders>
              <w:top w:val="single" w:sz="8" w:space="0" w:color="000000"/>
              <w:bottom w:val="single" w:sz="6" w:space="0" w:color="000000"/>
            </w:tcBorders>
          </w:tcPr>
          <w:p>
            <w:pPr>
              <w:spacing w:before="0" w:after="0" w:line="240" w:lineRule="auto"/>
            </w:pPr>
            <w:r>
              <w:rPr>
                <w:sz w:val="11"/>
              </w:rPr>
              <w:t>类别与参数</w:t>
            </w:r>
          </w:p>
        </w:tc>
        <w:tc>
          <w:tcPr>
            <w:tcW w:type="dxa" w:w="567"/>
            <w:vAlign w:val="center"/>
            <w:tcBorders>
              <w:top w:val="single" w:sz="8" w:space="0" w:color="000000"/>
              <w:bottom w:val="single" w:sz="6" w:space="0" w:color="000000"/>
            </w:tcBorders>
          </w:tcPr>
          <w:p>
            <w:pPr>
              <w:spacing w:before="0" w:after="0" w:line="240" w:lineRule="auto"/>
            </w:pPr>
            <w:r>
              <w:rPr>
                <w:sz w:val="11"/>
              </w:rPr>
              <w:t>符号</w:t>
            </w:r>
          </w:p>
        </w:tc>
        <w:tc>
          <w:tcPr>
            <w:tcW w:type="dxa" w:w="1077"/>
            <w:vAlign w:val="center"/>
            <w:gridSpan w:val="2"/>
            <w:tcBorders>
              <w:top w:val="single" w:sz="8" w:space="0" w:color="000000"/>
              <w:bottom w:val="single" w:sz="6" w:space="0" w:color="000000"/>
            </w:tcBorders>
          </w:tcPr>
          <w:p>
            <w:pPr>
              <w:spacing w:before="0" w:after="0" w:line="240" w:lineRule="auto"/>
            </w:pPr>
            <w:r>
              <w:rPr>
                <w:sz w:val="11"/>
              </w:rPr>
              <w:t>数值/单位</w:t>
            </w:r>
          </w:p>
        </w:tc>
        <w:tc>
          <w:tcPr>
            <w:tcW w:type="dxa" w:w="1134"/>
            <w:vAlign w:val="center"/>
            <w:gridSpan w:val="2"/>
            <w:tcBorders>
              <w:top w:val="single" w:sz="8" w:space="0" w:color="000000"/>
              <w:bottom w:val="single" w:sz="6" w:space="0" w:color="000000"/>
            </w:tcBorders>
          </w:tcPr>
          <w:p>
            <w:pPr>
              <w:spacing w:before="0" w:after="0" w:line="240" w:lineRule="auto"/>
            </w:pPr>
            <w:r>
              <w:rPr>
                <w:sz w:val="11"/>
              </w:rPr>
              <w:t>说明与来源</w:t>
            </w:r>
          </w:p>
        </w:tc>
      </w:tr>
      <w:tr>
        <w:tc>
          <w:tcPr>
            <w:tcW w:type="dxa" w:w="1417"/>
            <w:vAlign w:val="center"/>
            <w:gridSpan w:val="2"/>
            <w:tcBorders/>
          </w:tcPr>
          <w:p>
            <w:pPr>
              <w:spacing w:before="0" w:after="0" w:line="240" w:lineRule="auto"/>
            </w:pPr>
            <w:r>
              <w:rPr>
                <w:sz w:val="11"/>
              </w:rPr>
              <w:t>研究区基础-钻孔数量</w:t>
            </w:r>
          </w:p>
        </w:tc>
        <w:tc>
          <w:tcPr>
            <w:tcW w:type="dxa" w:w="567"/>
            <w:vAlign w:val="center"/>
            <w:tcBorders/>
          </w:tcPr>
          <w:p>
            <w:pPr>
              <w:spacing w:before="0" w:after="0" w:line="240" w:lineRule="auto"/>
            </w:pPr>
            <w:r>
              <w:rPr>
                <w:sz w:val="11"/>
              </w:rPr>
              <w:t>n</w:t>
            </w:r>
          </w:p>
        </w:tc>
        <w:tc>
          <w:tcPr>
            <w:tcW w:type="dxa" w:w="1077"/>
            <w:vAlign w:val="center"/>
            <w:gridSpan w:val="2"/>
            <w:tcBorders/>
          </w:tcPr>
          <w:p>
            <w:pPr>
              <w:spacing w:before="0" w:after="0" w:line="240" w:lineRule="auto"/>
            </w:pPr>
            <w:r>
              <w:rPr>
                <w:sz w:val="11"/>
              </w:rPr>
              <w:t>28 个</w:t>
            </w:r>
          </w:p>
        </w:tc>
        <w:tc>
          <w:tcPr>
            <w:tcW w:type="dxa" w:w="1134"/>
            <w:vAlign w:val="center"/>
            <w:gridSpan w:val="2"/>
            <w:tcBorders/>
          </w:tcPr>
          <w:p>
            <w:pPr>
              <w:spacing w:before="0" w:after="0" w:line="240" w:lineRule="auto"/>
            </w:pPr>
            <w:r>
              <w:rPr>
                <w:sz w:val="11"/>
              </w:rPr>
              <w:t>钻孔样点总数；钻孔/设计结果</w:t>
            </w:r>
          </w:p>
        </w:tc>
      </w:tr>
      <w:tr>
        <w:tc>
          <w:tcPr>
            <w:tcW w:type="dxa" w:w="1417"/>
            <w:vAlign w:val="center"/>
            <w:gridSpan w:val="2"/>
            <w:tcBorders/>
          </w:tcPr>
          <w:p>
            <w:pPr>
              <w:spacing w:before="0" w:after="0" w:line="240" w:lineRule="auto"/>
            </w:pPr>
            <w:r>
              <w:rPr>
                <w:sz w:val="11"/>
              </w:rPr>
              <w:t>研究区基础-边界点数量</w:t>
            </w:r>
          </w:p>
        </w:tc>
        <w:tc>
          <w:tcPr>
            <w:tcW w:type="dxa" w:w="567"/>
            <w:vAlign w:val="center"/>
            <w:tcBorders/>
          </w:tcPr>
          <w:p>
            <w:pPr>
              <w:spacing w:before="0" w:after="0" w:line="240" w:lineRule="auto"/>
            </w:pPr>
            <w:r>
              <w:rPr>
                <w:sz w:val="11"/>
              </w:rPr>
              <w:t>n_b</w:t>
            </w:r>
          </w:p>
        </w:tc>
        <w:tc>
          <w:tcPr>
            <w:tcW w:type="dxa" w:w="1077"/>
            <w:vAlign w:val="center"/>
            <w:gridSpan w:val="2"/>
            <w:tcBorders/>
          </w:tcPr>
          <w:p>
            <w:pPr>
              <w:spacing w:before="0" w:after="0" w:line="240" w:lineRule="auto"/>
            </w:pPr>
            <w:r>
              <w:rPr>
                <w:sz w:val="11"/>
              </w:rPr>
              <w:t>15 个</w:t>
            </w:r>
          </w:p>
        </w:tc>
        <w:tc>
          <w:tcPr>
            <w:tcW w:type="dxa" w:w="1134"/>
            <w:vAlign w:val="center"/>
            <w:gridSpan w:val="2"/>
            <w:tcBorders/>
          </w:tcPr>
          <w:p>
            <w:pPr>
              <w:spacing w:before="0" w:after="0" w:line="240" w:lineRule="auto"/>
            </w:pPr>
            <w:r>
              <w:rPr>
                <w:sz w:val="11"/>
              </w:rPr>
              <w:t>采区边界多边形控制点；边界数据</w:t>
            </w:r>
          </w:p>
        </w:tc>
      </w:tr>
      <w:tr>
        <w:tc>
          <w:tcPr>
            <w:tcW w:type="dxa" w:w="1417"/>
            <w:vAlign w:val="center"/>
            <w:gridSpan w:val="2"/>
            <w:tcBorders/>
          </w:tcPr>
          <w:p>
            <w:pPr>
              <w:spacing w:before="0" w:after="0" w:line="240" w:lineRule="auto"/>
            </w:pPr>
            <w:r>
              <w:rPr>
                <w:sz w:val="11"/>
              </w:rPr>
              <w:t>研究区基础-边界多边形面积</w:t>
            </w:r>
          </w:p>
        </w:tc>
        <w:tc>
          <w:tcPr>
            <w:tcW w:type="dxa" w:w="567"/>
            <w:vAlign w:val="center"/>
            <w:tcBorders/>
          </w:tcPr>
          <w:p>
            <w:pPr>
              <w:spacing w:before="0" w:after="0" w:line="240" w:lineRule="auto"/>
            </w:pPr>
            <w:r>
              <w:rPr>
                <w:sz w:val="11"/>
              </w:rPr>
              <w:t>A_0</w:t>
            </w:r>
          </w:p>
        </w:tc>
        <w:tc>
          <w:tcPr>
            <w:tcW w:type="dxa" w:w="1077"/>
            <w:vAlign w:val="center"/>
            <w:gridSpan w:val="2"/>
            <w:tcBorders/>
          </w:tcPr>
          <w:p>
            <w:pPr>
              <w:spacing w:before="0" w:after="0" w:line="240" w:lineRule="auto"/>
            </w:pPr>
            <w:r>
              <w:rPr>
                <w:sz w:val="11"/>
              </w:rPr>
              <w:t>5872308.08 m²</w:t>
            </w:r>
          </w:p>
        </w:tc>
        <w:tc>
          <w:tcPr>
            <w:tcW w:type="dxa" w:w="1134"/>
            <w:vAlign w:val="center"/>
            <w:gridSpan w:val="2"/>
            <w:tcBorders/>
          </w:tcPr>
          <w:p>
            <w:pPr>
              <w:spacing w:before="0" w:after="0" w:line="240" w:lineRule="auto"/>
            </w:pPr>
            <w:r>
              <w:rPr>
                <w:sz w:val="11"/>
              </w:rPr>
              <w:t>由15个边界点计算；边界数据</w:t>
            </w:r>
          </w:p>
        </w:tc>
      </w:tr>
      <w:tr>
        <w:tc>
          <w:tcPr>
            <w:tcW w:type="dxa" w:w="1417"/>
            <w:vAlign w:val="center"/>
            <w:gridSpan w:val="2"/>
            <w:tcBorders/>
          </w:tcPr>
          <w:p>
            <w:pPr>
              <w:spacing w:before="0" w:after="0" w:line="240" w:lineRule="auto"/>
            </w:pPr>
            <w:r>
              <w:rPr>
                <w:sz w:val="11"/>
              </w:rPr>
              <w:t>研究区基础-有效规划域面积</w:t>
            </w:r>
          </w:p>
        </w:tc>
        <w:tc>
          <w:tcPr>
            <w:tcW w:type="dxa" w:w="567"/>
            <w:vAlign w:val="center"/>
            <w:tcBorders/>
          </w:tcPr>
          <w:p>
            <w:pPr>
              <w:spacing w:before="0" w:after="0" w:line="240" w:lineRule="auto"/>
            </w:pPr>
            <w:r>
              <w:rPr>
                <w:sz w:val="11"/>
              </w:rPr>
              <w:t>A_e</w:t>
            </w:r>
          </w:p>
        </w:tc>
        <w:tc>
          <w:tcPr>
            <w:tcW w:type="dxa" w:w="1077"/>
            <w:vAlign w:val="center"/>
            <w:gridSpan w:val="2"/>
            <w:tcBorders/>
          </w:tcPr>
          <w:p>
            <w:pPr>
              <w:spacing w:before="0" w:after="0" w:line="240" w:lineRule="auto"/>
            </w:pPr>
            <w:r>
              <w:rPr>
                <w:sz w:val="11"/>
              </w:rPr>
              <w:t>5399414.60 m²</w:t>
            </w:r>
          </w:p>
        </w:tc>
        <w:tc>
          <w:tcPr>
            <w:tcW w:type="dxa" w:w="1134"/>
            <w:vAlign w:val="center"/>
            <w:gridSpan w:val="2"/>
            <w:tcBorders/>
          </w:tcPr>
          <w:p>
            <w:pPr>
              <w:spacing w:before="0" w:after="0" w:line="240" w:lineRule="auto"/>
            </w:pPr>
            <w:r>
              <w:rPr>
                <w:sz w:val="11"/>
              </w:rPr>
              <w:t>规划算法内部有效域；规划导出结果</w:t>
            </w:r>
          </w:p>
        </w:tc>
      </w:tr>
      <w:tr>
        <w:tc>
          <w:tcPr>
            <w:tcW w:type="dxa" w:w="1417"/>
            <w:vAlign w:val="center"/>
            <w:gridSpan w:val="2"/>
            <w:tcBorders/>
          </w:tcPr>
          <w:p>
            <w:pPr>
              <w:spacing w:before="0" w:after="0" w:line="240" w:lineRule="auto"/>
            </w:pPr>
            <w:r>
              <w:rPr>
                <w:sz w:val="11"/>
              </w:rPr>
              <w:t>几何约束-边界煤柱宽度</w:t>
            </w:r>
          </w:p>
        </w:tc>
        <w:tc>
          <w:tcPr>
            <w:tcW w:type="dxa" w:w="567"/>
            <w:vAlign w:val="center"/>
            <w:tcBorders/>
          </w:tcPr>
          <w:p>
            <w:pPr>
              <w:spacing w:before="0" w:after="0" w:line="240" w:lineRule="auto"/>
            </w:pPr>
            <w:r>
              <w:rPr>
                <w:sz w:val="11"/>
              </w:rPr>
              <w:t>B_b</w:t>
            </w:r>
          </w:p>
        </w:tc>
        <w:tc>
          <w:tcPr>
            <w:tcW w:type="dxa" w:w="1077"/>
            <w:vAlign w:val="center"/>
            <w:gridSpan w:val="2"/>
            <w:tcBorders/>
          </w:tcPr>
          <w:p>
            <w:pPr>
              <w:spacing w:before="0" w:after="0" w:line="240" w:lineRule="auto"/>
            </w:pPr>
            <w:r>
              <w:rPr>
                <w:sz w:val="11"/>
              </w:rPr>
              <w:t>50.0 m</w:t>
            </w:r>
          </w:p>
        </w:tc>
        <w:tc>
          <w:tcPr>
            <w:tcW w:type="dxa" w:w="1134"/>
            <w:vAlign w:val="center"/>
            <w:gridSpan w:val="2"/>
            <w:tcBorders/>
          </w:tcPr>
          <w:p>
            <w:pPr>
              <w:spacing w:before="0" w:after="0" w:line="240" w:lineRule="auto"/>
            </w:pPr>
            <w:r>
              <w:rPr>
                <w:sz w:val="11"/>
              </w:rPr>
              <w:t>当前优选规划口径采用值</w:t>
            </w:r>
          </w:p>
        </w:tc>
      </w:tr>
      <w:tr>
        <w:tc>
          <w:tcPr>
            <w:tcW w:type="dxa" w:w="1417"/>
            <w:vAlign w:val="center"/>
            <w:gridSpan w:val="2"/>
            <w:tcBorders/>
          </w:tcPr>
          <w:p>
            <w:pPr>
              <w:spacing w:before="0" w:after="0" w:line="240" w:lineRule="auto"/>
            </w:pPr>
            <w:r>
              <w:rPr>
                <w:sz w:val="11"/>
              </w:rPr>
              <w:t>几何约束-区段煤柱宽度</w:t>
            </w:r>
          </w:p>
        </w:tc>
        <w:tc>
          <w:tcPr>
            <w:tcW w:type="dxa" w:w="567"/>
            <w:vAlign w:val="center"/>
            <w:tcBorders/>
          </w:tcPr>
          <w:p>
            <w:pPr>
              <w:spacing w:before="0" w:after="0" w:line="240" w:lineRule="auto"/>
            </w:pPr>
            <w:r>
              <w:rPr>
                <w:sz w:val="11"/>
              </w:rPr>
              <w:t>B_s</w:t>
            </w:r>
          </w:p>
        </w:tc>
        <w:tc>
          <w:tcPr>
            <w:tcW w:type="dxa" w:w="1077"/>
            <w:vAlign w:val="center"/>
            <w:gridSpan w:val="2"/>
            <w:tcBorders/>
          </w:tcPr>
          <w:p>
            <w:pPr>
              <w:spacing w:before="0" w:after="0" w:line="240" w:lineRule="auto"/>
            </w:pPr>
            <w:r>
              <w:rPr>
                <w:sz w:val="11"/>
              </w:rPr>
              <w:t>30.0 m</w:t>
            </w:r>
          </w:p>
        </w:tc>
        <w:tc>
          <w:tcPr>
            <w:tcW w:type="dxa" w:w="1134"/>
            <w:vAlign w:val="center"/>
            <w:gridSpan w:val="2"/>
            <w:tcBorders/>
          </w:tcPr>
          <w:p>
            <w:pPr>
              <w:spacing w:before="0" w:after="0" w:line="240" w:lineRule="auto"/>
            </w:pPr>
            <w:r>
              <w:rPr>
                <w:sz w:val="11"/>
              </w:rPr>
              <w:t>当前优选规划口径采用值</w:t>
            </w:r>
          </w:p>
        </w:tc>
      </w:tr>
      <w:tr>
        <w:tc>
          <w:tcPr>
            <w:tcW w:type="dxa" w:w="1417"/>
            <w:vAlign w:val="center"/>
            <w:gridSpan w:val="2"/>
            <w:tcBorders/>
          </w:tcPr>
          <w:p>
            <w:pPr>
              <w:spacing w:before="0" w:after="0" w:line="240" w:lineRule="auto"/>
            </w:pPr>
            <w:r>
              <w:rPr>
                <w:sz w:val="11"/>
              </w:rPr>
              <w:t>布置参数-工作面数量</w:t>
            </w:r>
          </w:p>
        </w:tc>
        <w:tc>
          <w:tcPr>
            <w:tcW w:type="dxa" w:w="567"/>
            <w:vAlign w:val="center"/>
            <w:tcBorders/>
          </w:tcPr>
          <w:p>
            <w:pPr>
              <w:spacing w:before="0" w:after="0" w:line="240" w:lineRule="auto"/>
            </w:pPr>
            <w:r>
              <w:rPr>
                <w:sz w:val="11"/>
              </w:rPr>
              <w:t>N</w:t>
            </w:r>
          </w:p>
        </w:tc>
        <w:tc>
          <w:tcPr>
            <w:tcW w:type="dxa" w:w="1077"/>
            <w:vAlign w:val="center"/>
            <w:gridSpan w:val="2"/>
            <w:tcBorders/>
          </w:tcPr>
          <w:p>
            <w:pPr>
              <w:spacing w:before="0" w:after="0" w:line="240" w:lineRule="auto"/>
            </w:pPr>
            <w:r>
              <w:rPr>
                <w:sz w:val="11"/>
              </w:rPr>
              <w:t>5 个</w:t>
            </w:r>
          </w:p>
        </w:tc>
        <w:tc>
          <w:tcPr>
            <w:tcW w:type="dxa" w:w="1134"/>
            <w:vAlign w:val="center"/>
            <w:gridSpan w:val="2"/>
            <w:tcBorders/>
          </w:tcPr>
          <w:p>
            <w:pPr>
              <w:spacing w:before="0" w:after="0" w:line="240" w:lineRule="auto"/>
            </w:pPr>
            <w:r>
              <w:rPr>
                <w:sz w:val="11"/>
              </w:rPr>
              <w:t>工程效率优先方案</w:t>
            </w:r>
          </w:p>
        </w:tc>
      </w:tr>
      <w:tr>
        <w:tc>
          <w:tcPr>
            <w:tcW w:type="dxa" w:w="1417"/>
            <w:vAlign w:val="center"/>
            <w:gridSpan w:val="2"/>
            <w:tcBorders/>
          </w:tcPr>
          <w:p>
            <w:pPr>
              <w:spacing w:before="0" w:after="0" w:line="240" w:lineRule="auto"/>
            </w:pPr>
            <w:r>
              <w:rPr>
                <w:sz w:val="11"/>
              </w:rPr>
              <w:t>布置参数-候选方案特征尺度</w:t>
            </w:r>
          </w:p>
        </w:tc>
        <w:tc>
          <w:tcPr>
            <w:tcW w:type="dxa" w:w="567"/>
            <w:vAlign w:val="center"/>
            <w:tcBorders/>
          </w:tcPr>
          <w:p>
            <w:pPr>
              <w:spacing w:before="0" w:after="0" w:line="240" w:lineRule="auto"/>
            </w:pPr>
            <w:r>
              <w:rPr>
                <w:sz w:val="11"/>
              </w:rPr>
              <w:t>B</w:t>
            </w:r>
          </w:p>
        </w:tc>
        <w:tc>
          <w:tcPr>
            <w:tcW w:type="dxa" w:w="1077"/>
            <w:vAlign w:val="center"/>
            <w:gridSpan w:val="2"/>
            <w:tcBorders/>
          </w:tcPr>
          <w:p>
            <w:pPr>
              <w:spacing w:before="0" w:after="0" w:line="240" w:lineRule="auto"/>
            </w:pPr>
            <w:r>
              <w:rPr>
                <w:sz w:val="11"/>
              </w:rPr>
              <w:t>308.0 m</w:t>
            </w:r>
          </w:p>
        </w:tc>
        <w:tc>
          <w:tcPr>
            <w:tcW w:type="dxa" w:w="1134"/>
            <w:vAlign w:val="center"/>
            <w:gridSpan w:val="2"/>
            <w:tcBorders/>
          </w:tcPr>
          <w:p>
            <w:pPr>
              <w:spacing w:before="0" w:after="0" w:line="240" w:lineRule="auto"/>
            </w:pPr>
            <w:r>
              <w:rPr>
                <w:sz w:val="11"/>
              </w:rPr>
              <w:t>工程效率优先方案候选参数</w:t>
            </w:r>
          </w:p>
        </w:tc>
      </w:tr>
      <w:tr>
        <w:tc>
          <w:tcPr>
            <w:tcW w:type="dxa" w:w="1417"/>
            <w:vAlign w:val="center"/>
            <w:gridSpan w:val="2"/>
            <w:tcBorders/>
          </w:tcPr>
          <w:p>
            <w:pPr>
              <w:spacing w:before="0" w:after="0" w:line="240" w:lineRule="auto"/>
            </w:pPr>
            <w:r>
              <w:rPr>
                <w:sz w:val="11"/>
              </w:rPr>
              <w:t>布置参数-推进长度总和</w:t>
            </w:r>
          </w:p>
        </w:tc>
        <w:tc>
          <w:tcPr>
            <w:tcW w:type="dxa" w:w="567"/>
            <w:vAlign w:val="center"/>
            <w:tcBorders/>
          </w:tcPr>
          <w:p>
            <w:pPr>
              <w:spacing w:before="0" w:after="0" w:line="240" w:lineRule="auto"/>
            </w:pPr>
            <w:r>
              <w:rPr>
                <w:sz w:val="11"/>
              </w:rPr>
              <w:t>ΣL</w:t>
            </w:r>
          </w:p>
        </w:tc>
        <w:tc>
          <w:tcPr>
            <w:tcW w:type="dxa" w:w="1077"/>
            <w:vAlign w:val="center"/>
            <w:gridSpan w:val="2"/>
            <w:tcBorders/>
          </w:tcPr>
          <w:p>
            <w:pPr>
              <w:spacing w:before="0" w:after="0" w:line="240" w:lineRule="auto"/>
            </w:pPr>
            <w:r>
              <w:rPr>
                <w:sz w:val="11"/>
              </w:rPr>
              <w:t>15662.02 m</w:t>
            </w:r>
          </w:p>
        </w:tc>
        <w:tc>
          <w:tcPr>
            <w:tcW w:type="dxa" w:w="1134"/>
            <w:vAlign w:val="center"/>
            <w:gridSpan w:val="2"/>
            <w:tcBorders/>
          </w:tcPr>
          <w:p>
            <w:pPr>
              <w:spacing w:before="0" w:after="0" w:line="240" w:lineRule="auto"/>
            </w:pPr>
            <w:r>
              <w:rPr>
                <w:sz w:val="11"/>
              </w:rPr>
              <w:t>5个工作面推进长度汇总</w:t>
            </w:r>
          </w:p>
        </w:tc>
      </w:tr>
      <w:tr>
        <w:tc>
          <w:tcPr>
            <w:tcW w:type="dxa" w:w="1417"/>
            <w:vAlign w:val="center"/>
            <w:gridSpan w:val="2"/>
            <w:tcBorders/>
          </w:tcPr>
          <w:p>
            <w:pPr>
              <w:spacing w:before="0" w:after="0" w:line="240" w:lineRule="auto"/>
            </w:pPr>
            <w:r>
              <w:rPr>
                <w:sz w:val="11"/>
              </w:rPr>
              <w:t>布置参数-最小推进长度</w:t>
            </w:r>
          </w:p>
        </w:tc>
        <w:tc>
          <w:tcPr>
            <w:tcW w:type="dxa" w:w="567"/>
            <w:vAlign w:val="center"/>
            <w:tcBorders/>
          </w:tcPr>
          <w:p>
            <w:pPr>
              <w:spacing w:before="0" w:after="0" w:line="240" w:lineRule="auto"/>
            </w:pPr>
            <w:r>
              <w:rPr>
                <w:sz w:val="11"/>
              </w:rPr>
              <w:t>L_min</w:t>
            </w:r>
          </w:p>
        </w:tc>
        <w:tc>
          <w:tcPr>
            <w:tcW w:type="dxa" w:w="1077"/>
            <w:vAlign w:val="center"/>
            <w:gridSpan w:val="2"/>
            <w:tcBorders/>
          </w:tcPr>
          <w:p>
            <w:pPr>
              <w:spacing w:before="0" w:after="0" w:line="240" w:lineRule="auto"/>
            </w:pPr>
            <w:r>
              <w:rPr>
                <w:sz w:val="11"/>
              </w:rPr>
              <w:t>2680.32 m</w:t>
            </w:r>
          </w:p>
        </w:tc>
        <w:tc>
          <w:tcPr>
            <w:tcW w:type="dxa" w:w="1134"/>
            <w:vAlign w:val="center"/>
            <w:gridSpan w:val="2"/>
            <w:tcBorders/>
          </w:tcPr>
          <w:p>
            <w:pPr>
              <w:spacing w:before="0" w:after="0" w:line="240" w:lineRule="auto"/>
            </w:pPr>
            <w:r>
              <w:rPr>
                <w:sz w:val="11"/>
              </w:rPr>
              <w:t>当前方案最短工作面推进长度</w:t>
            </w:r>
          </w:p>
        </w:tc>
      </w:tr>
      <w:tr>
        <w:tc>
          <w:tcPr>
            <w:tcW w:type="dxa" w:w="1417"/>
            <w:vAlign w:val="center"/>
            <w:gridSpan w:val="2"/>
            <w:tcBorders/>
          </w:tcPr>
          <w:p>
            <w:pPr>
              <w:spacing w:before="0" w:after="0" w:line="240" w:lineRule="auto"/>
            </w:pPr>
            <w:r>
              <w:rPr>
                <w:sz w:val="11"/>
              </w:rPr>
              <w:t>布置参数-推进方向</w:t>
            </w:r>
          </w:p>
        </w:tc>
        <w:tc>
          <w:tcPr>
            <w:tcW w:type="dxa" w:w="567"/>
            <w:vAlign w:val="center"/>
            <w:tcBorders/>
          </w:tcPr>
          <w:p>
            <w:pPr>
              <w:spacing w:before="0" w:after="0" w:line="240" w:lineRule="auto"/>
            </w:pPr>
            <w:r>
              <w:rPr>
                <w:sz w:val="11"/>
              </w:rPr>
              <w:t>D</w:t>
            </w:r>
          </w:p>
        </w:tc>
        <w:tc>
          <w:tcPr>
            <w:tcW w:type="dxa" w:w="1077"/>
            <w:vAlign w:val="center"/>
            <w:gridSpan w:val="2"/>
            <w:tcBorders/>
          </w:tcPr>
          <w:p>
            <w:pPr>
              <w:spacing w:before="0" w:after="0" w:line="240" w:lineRule="auto"/>
            </w:pPr>
            <w:r>
              <w:rPr>
                <w:sz w:val="11"/>
              </w:rPr>
              <w:t>自动确定</w:t>
            </w:r>
          </w:p>
        </w:tc>
        <w:tc>
          <w:tcPr>
            <w:tcW w:type="dxa" w:w="1134"/>
            <w:vAlign w:val="center"/>
            <w:gridSpan w:val="2"/>
            <w:tcBorders/>
          </w:tcPr>
          <w:p>
            <w:pPr>
              <w:spacing w:before="0" w:after="0" w:line="240" w:lineRule="auto"/>
            </w:pPr>
            <w:r>
              <w:rPr>
                <w:sz w:val="11"/>
              </w:rPr>
              <w:t>与边界形态和评价口径共同确定</w:t>
            </w:r>
          </w:p>
        </w:tc>
      </w:tr>
      <w:tr>
        <w:tc>
          <w:tcPr>
            <w:tcW w:type="dxa" w:w="1417"/>
            <w:vAlign w:val="center"/>
            <w:gridSpan w:val="2"/>
            <w:tcBorders/>
          </w:tcPr>
          <w:p>
            <w:pPr>
              <w:spacing w:before="0" w:after="0" w:line="240" w:lineRule="auto"/>
            </w:pPr>
            <w:r>
              <w:rPr>
                <w:sz w:val="11"/>
              </w:rPr>
              <w:t>风险参数-ODI权重</w:t>
            </w:r>
          </w:p>
        </w:tc>
        <w:tc>
          <w:tcPr>
            <w:tcW w:type="dxa" w:w="567"/>
            <w:vAlign w:val="center"/>
            <w:tcBorders/>
          </w:tcPr>
          <w:p>
            <w:pPr>
              <w:spacing w:before="0" w:after="0" w:line="240" w:lineRule="auto"/>
            </w:pPr>
            <w:r>
              <w:rPr>
                <w:sz w:val="11"/>
              </w:rPr>
              <w:t>w_d/w_o/w_f</w:t>
            </w:r>
          </w:p>
        </w:tc>
        <w:tc>
          <w:tcPr>
            <w:tcW w:type="dxa" w:w="1077"/>
            <w:vAlign w:val="center"/>
            <w:gridSpan w:val="2"/>
            <w:tcBorders/>
          </w:tcPr>
          <w:p>
            <w:pPr>
              <w:spacing w:before="0" w:after="0" w:line="240" w:lineRule="auto"/>
            </w:pPr>
            <w:r>
              <w:rPr>
                <w:sz w:val="11"/>
              </w:rPr>
              <w:t>0.15/0.25/0.60</w:t>
            </w:r>
          </w:p>
        </w:tc>
        <w:tc>
          <w:tcPr>
            <w:tcW w:type="dxa" w:w="1134"/>
            <w:vAlign w:val="center"/>
            <w:gridSpan w:val="2"/>
            <w:tcBorders/>
          </w:tcPr>
          <w:p>
            <w:pPr>
              <w:spacing w:before="0" w:after="0" w:line="240" w:lineRule="auto"/>
            </w:pPr>
            <w:r>
              <w:rPr>
                <w:sz w:val="11"/>
              </w:rPr>
              <w:t>地表沉陷/含水层扰动/覆岩扰动</w:t>
            </w:r>
          </w:p>
        </w:tc>
      </w:tr>
      <w:tr>
        <w:tc>
          <w:tcPr>
            <w:tcW w:type="dxa" w:w="1417"/>
            <w:vAlign w:val="center"/>
            <w:gridSpan w:val="2"/>
            <w:tcBorders/>
          </w:tcPr>
          <w:p>
            <w:pPr>
              <w:spacing w:before="0" w:after="0" w:line="240" w:lineRule="auto"/>
            </w:pPr>
            <w:r>
              <w:rPr>
                <w:sz w:val="11"/>
              </w:rPr>
              <w:t>风险参数-ODI统计阈值</w:t>
            </w:r>
          </w:p>
        </w:tc>
        <w:tc>
          <w:tcPr>
            <w:tcW w:type="dxa" w:w="567"/>
            <w:vAlign w:val="center"/>
            <w:tcBorders/>
          </w:tcPr>
          <w:p>
            <w:pPr>
              <w:spacing w:before="0" w:after="0" w:line="240" w:lineRule="auto"/>
            </w:pPr>
            <w:r>
              <w:rPr>
                <w:sz w:val="11"/>
              </w:rPr>
              <w:t>T_ODI</w:t>
            </w:r>
          </w:p>
        </w:tc>
        <w:tc>
          <w:tcPr>
            <w:tcW w:type="dxa" w:w="1077"/>
            <w:vAlign w:val="center"/>
            <w:gridSpan w:val="2"/>
            <w:tcBorders/>
          </w:tcPr>
          <w:p>
            <w:pPr>
              <w:spacing w:before="0" w:after="0" w:line="240" w:lineRule="auto"/>
            </w:pPr>
            <w:r>
              <w:rPr>
                <w:sz w:val="11"/>
              </w:rPr>
              <w:t>0.70/0.80</w:t>
            </w:r>
          </w:p>
        </w:tc>
        <w:tc>
          <w:tcPr>
            <w:tcW w:type="dxa" w:w="1134"/>
            <w:vAlign w:val="center"/>
            <w:gridSpan w:val="2"/>
            <w:tcBorders/>
          </w:tcPr>
          <w:p>
            <w:pPr>
              <w:spacing w:before="0" w:after="0" w:line="240" w:lineRule="auto"/>
            </w:pPr>
            <w:r>
              <w:rPr>
                <w:sz w:val="11"/>
              </w:rPr>
              <w:t>用于超限暴露统计</w:t>
            </w:r>
          </w:p>
        </w:tc>
      </w:tr>
      <w:tr>
        <w:tc>
          <w:tcPr>
            <w:tcW w:type="dxa" w:w="1417"/>
            <w:vAlign w:val="center"/>
            <w:gridSpan w:val="2"/>
            <w:tcBorders/>
          </w:tcPr>
          <w:p>
            <w:pPr>
              <w:spacing w:before="0" w:after="0" w:line="240" w:lineRule="auto"/>
            </w:pPr>
            <w:r>
              <w:rPr>
                <w:sz w:val="11"/>
              </w:rPr>
              <w:t>评价权重-评价目标</w:t>
            </w:r>
          </w:p>
        </w:tc>
        <w:tc>
          <w:tcPr>
            <w:tcW w:type="dxa" w:w="567"/>
            <w:vAlign w:val="center"/>
            <w:tcBorders/>
          </w:tcPr>
          <w:p>
            <w:pPr>
              <w:spacing w:before="0" w:after="0" w:line="240" w:lineRule="auto"/>
            </w:pPr>
            <w:r>
              <w:rPr>
                <w:sz w:val="11"/>
              </w:rPr>
              <w:t>w</w:t>
            </w:r>
          </w:p>
        </w:tc>
        <w:tc>
          <w:tcPr>
            <w:tcW w:type="dxa" w:w="1077"/>
            <w:vAlign w:val="center"/>
            <w:gridSpan w:val="2"/>
            <w:tcBorders/>
          </w:tcPr>
          <w:p>
            <w:pPr>
              <w:spacing w:before="0" w:after="0" w:line="240" w:lineRule="auto"/>
            </w:pPr>
            <w:r>
              <w:rPr>
                <w:sz w:val="11"/>
              </w:rPr>
              <w:t>工程效率、资源覆盖、扰动控制</w:t>
            </w:r>
          </w:p>
        </w:tc>
        <w:tc>
          <w:tcPr>
            <w:tcW w:type="dxa" w:w="1134"/>
            <w:vAlign w:val="center"/>
            <w:gridSpan w:val="2"/>
            <w:tcBorders/>
          </w:tcPr>
          <w:p>
            <w:pPr>
              <w:spacing w:before="0" w:after="0" w:line="240" w:lineRule="auto"/>
            </w:pPr>
            <w:r>
              <w:rPr>
                <w:sz w:val="11"/>
              </w:rPr>
              <w:t>多目标候选方案排序口径</w:t>
            </w:r>
          </w:p>
        </w:tc>
      </w:tr>
      <w:tr>
        <w:tc>
          <w:tcPr>
            <w:tcW w:type="dxa" w:w="1417"/>
            <w:vAlign w:val="center"/>
            <w:gridSpan w:val="2"/>
            <w:tcBorders>
              <w:bottom w:val="single" w:sz="8" w:space="0" w:color="000000"/>
            </w:tcBorders>
          </w:tcPr>
          <w:p>
            <w:pPr>
              <w:spacing w:before="0" w:after="0" w:line="240" w:lineRule="auto"/>
            </w:pPr>
            <w:r>
              <w:rPr>
                <w:sz w:val="11"/>
              </w:rPr>
              <w:t>样例输出-有效覆盖率</w:t>
            </w:r>
          </w:p>
        </w:tc>
        <w:tc>
          <w:tcPr>
            <w:tcW w:type="dxa" w:w="567"/>
            <w:vAlign w:val="center"/>
            <w:tcBorders>
              <w:bottom w:val="single" w:sz="8" w:space="0" w:color="000000"/>
            </w:tcBorders>
          </w:tcPr>
          <w:p>
            <w:pPr>
              <w:spacing w:before="0" w:after="0" w:line="240" w:lineRule="auto"/>
            </w:pPr>
            <w:r>
              <w:rPr>
                <w:sz w:val="11"/>
              </w:rPr>
              <w:t>C</w:t>
            </w:r>
          </w:p>
        </w:tc>
        <w:tc>
          <w:tcPr>
            <w:tcW w:type="dxa" w:w="1077"/>
            <w:vAlign w:val="center"/>
            <w:gridSpan w:val="2"/>
            <w:tcBorders>
              <w:bottom w:val="single" w:sz="8" w:space="0" w:color="000000"/>
            </w:tcBorders>
          </w:tcPr>
          <w:p>
            <w:pPr>
              <w:spacing w:before="0" w:after="0" w:line="240" w:lineRule="auto"/>
            </w:pPr>
            <w:r>
              <w:rPr>
                <w:sz w:val="11"/>
              </w:rPr>
              <w:t>89.34%</w:t>
            </w:r>
          </w:p>
        </w:tc>
        <w:tc>
          <w:tcPr>
            <w:tcW w:type="dxa" w:w="1134"/>
            <w:vAlign w:val="center"/>
            <w:gridSpan w:val="2"/>
            <w:tcBorders>
              <w:bottom w:val="single" w:sz="8" w:space="0" w:color="000000"/>
            </w:tcBorders>
          </w:tcPr>
          <w:p>
            <w:pPr>
              <w:spacing w:before="0" w:after="0" w:line="240" w:lineRule="auto"/>
            </w:pPr>
            <w:r>
              <w:rPr>
                <w:sz w:val="11"/>
              </w:rPr>
              <w:t>布置面积/有效规划域面积</w:t>
            </w:r>
          </w:p>
        </w:tc>
      </w:tr>
    </w:tbl>
    <w:p w14:paraId="1FEFCBB2" w14:textId="77777777" w:rsidR="00A046E0" w:rsidRPr="00801D65" w:rsidRDefault="00A046E0">
      <w:pPr>
        <w:spacing w:after="40"/>
        <w:ind w:firstLine="420"/>
        <w:rPr>
          <w:lang w:eastAsia="zh-CN"/>
        </w:rPr>
      </w:pPr>
    </w:p>
    <w:p w14:paraId="4D662AD4" w14:textId="77777777" w:rsidR="007E22B6" w:rsidRDefault="00000000" w:rsidP="00A046E0">
      <w:pPr>
        <w:pStyle w:val="12"/>
        <w:rPr>
          <w:lang w:eastAsia="zh-CN"/>
        </w:rPr>
      </w:pPr>
      <w:r>
        <w:rPr>
          <w:rFonts w:ascii="宋体" w:hAnsi="宋体" w:eastAsia="宋体"/>
        </w:rPr>
        <w:t>2.2 连续参数场构建结果</w:t>
      </w:r>
    </w:p>
    <w:p w14:paraId="6385E593" w14:textId="77777777" w:rsidR="00801D65" w:rsidRPr="00801D65" w:rsidRDefault="00801D65" w:rsidP="00801D65">
      <w:pPr>
        <w:pStyle w:val="10"/>
        <w:spacing w:after="40"/>
        <w:ind w:firstLine="420"/>
        <w:rPr>
          <w:rFonts w:ascii="宋体" w:hAnsi="宋体" w:hint="eastAsia"/>
          <w:lang w:eastAsia="zh-CN"/>
        </w:rPr>
      </w:pPr>
      <w:r>
        <w:t>采区规划首先需要解决离散地质信息向连续规划约束转换的问题。对于研究区样例而言，28个钻孔样点提供空间采样控制，边界数据提供规划域约束；通过空间插值、统一边界裁剪和指标归一化处理，点状信息被转换为可与规划域、ODI风险场和工作面布局叠加分析的连续参数场。</w:t>
      </w:r>
    </w:p>
    <w:p w14:paraId="22C51B16" w14:textId="77777777" w:rsidR="00195275" w:rsidRDefault="00000000">
      <w:pPr>
        <w:jc w:val="center"/>
      </w:pPr>
      <w:r>
        <w:rPr>
          <w:rFonts w:ascii="宋体" w:hAnsi="宋体" w:eastAsia="宋体"/>
          <w:noProof/>
        </w:rPr>
        <w:lastRenderedPageBreak/>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7EACD6EE" w14:textId="77777777" w:rsidR="00195275" w:rsidRDefault="00000000">
      <w:pPr>
        <w:pStyle w:val="14"/>
        <w:jc w:val="center"/>
        <w:rPr>
          <w:lang w:eastAsia="zh-CN"/>
        </w:rPr>
      </w:pPr>
      <w:r>
        <w:t>图3 研究区主要地质参数场分布图</w:t>
      </w:r>
      <w:r>
        <w:br/>
      </w:r>
      <w:r>
        <w:t>Fig.3 Distribution of main geological parameter fields in the study area</w:t>
      </w:r>
    </w:p>
    <w:p w14:paraId="47BE74A7" w14:textId="77777777" w:rsidR="00801D65" w:rsidRPr="00801D65" w:rsidRDefault="00801D65" w:rsidP="00801D65">
      <w:pPr>
        <w:pStyle w:val="10"/>
        <w:spacing w:after="40"/>
        <w:ind w:firstLine="420"/>
        <w:rPr>
          <w:rFonts w:ascii="宋体" w:hAnsi="宋体" w:hint="eastAsia"/>
          <w:lang w:eastAsia="zh-CN"/>
        </w:rPr>
      </w:pPr>
      <w:r>
        <w:rPr>
          <w:rFonts w:ascii="宋体" w:hAnsi="宋体" w:eastAsia="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708DFECF" w14:textId="77777777" w:rsidR="00801D65" w:rsidRPr="00801D65" w:rsidRDefault="00801D65" w:rsidP="00801D65">
      <w:pPr>
        <w:pStyle w:val="10"/>
        <w:spacing w:after="40"/>
        <w:ind w:firstLine="420"/>
        <w:rPr>
          <w:rFonts w:ascii="宋体" w:hAnsi="宋体" w:hint="eastAsia"/>
          <w:lang w:eastAsia="zh-CN"/>
        </w:rPr>
      </w:pPr>
      <w:r>
        <w:rPr>
          <w:rFonts w:ascii="宋体" w:hAnsi="宋体" w:eastAsia="宋体"/>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12754ABB" w14:textId="77777777" w:rsidR="00801D65" w:rsidRPr="00801D65" w:rsidRDefault="00801D65" w:rsidP="00801D65">
      <w:pPr>
        <w:pStyle w:val="10"/>
        <w:spacing w:after="40"/>
        <w:ind w:firstLine="420"/>
        <w:rPr>
          <w:rFonts w:ascii="宋体" w:hAnsi="宋体" w:hint="eastAsia"/>
          <w:lang w:eastAsia="zh-CN"/>
        </w:rPr>
      </w:pPr>
      <w:r>
        <w:rPr>
          <w:rFonts w:ascii="宋体" w:hAnsi="宋体" w:eastAsia="宋体"/>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38C0A168" w14:textId="77777777" w:rsidR="007E22B6" w:rsidRDefault="00801D65" w:rsidP="00801D65">
      <w:pPr>
        <w:pStyle w:val="10"/>
        <w:spacing w:after="40"/>
        <w:ind w:firstLine="420"/>
        <w:rPr>
          <w:lang w:eastAsia="zh-CN"/>
        </w:rPr>
      </w:pPr>
      <w:r>
        <w:rPr>
          <w:rFonts w:ascii="宋体" w:hAnsi="宋体" w:eastAsia="宋体"/>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50FCD278" w14:textId="77777777" w:rsidR="007E22B6" w:rsidRDefault="007E22B6">
      <w:pPr>
        <w:rPr>
          <w:lang w:eastAsia="zh-CN"/>
        </w:rPr>
      </w:pPr>
    </w:p>
    <w:p w14:paraId="0E232E92" w14:textId="77777777" w:rsidR="007E22B6" w:rsidRDefault="00000000" w:rsidP="00A046E0">
      <w:pPr>
        <w:pStyle w:val="12"/>
        <w:rPr>
          <w:lang w:eastAsia="zh-CN"/>
        </w:rPr>
      </w:pPr>
      <w:r>
        <w:rPr>
          <w:rFonts w:ascii="宋体" w:hAnsi="宋体" w:eastAsia="宋体"/>
        </w:rPr>
        <w:t>2.3 多场景 ODI 风险表征结果</w:t>
      </w:r>
    </w:p>
    <w:p w14:paraId="76BE5CDF" w14:textId="77777777" w:rsidR="00801D65" w:rsidRPr="00801D65" w:rsidRDefault="00801D65" w:rsidP="00801D65">
      <w:pPr>
        <w:pStyle w:val="10"/>
        <w:spacing w:after="40"/>
        <w:ind w:firstLine="420"/>
        <w:rPr>
          <w:rFonts w:ascii="宋体" w:hAnsi="宋体" w:hint="eastAsia"/>
          <w:lang w:eastAsia="zh-CN"/>
        </w:rPr>
      </w:pPr>
      <w:r>
        <w:rPr>
          <w:rFonts w:ascii="宋体" w:hAnsi="宋体" w:eastAsia="宋体"/>
        </w:rPr>
        <w:t>采区规划中的风险约束并非来源于单一判据，而是通常表现为地表沉陷、含水层扰动和上行开采等多场景下覆岩扰动的综合影响。若不同风险场景分别以各自判据独立参与规划，容易造成约束尺度不统一、比较依据不一致以及中间结果难以复用的问题。为此，本文引入 ODI 作为统一风险组织口径，将异构风险结果归一到同一尺度下，以支撑不同场景风险在同一规划框架中的统一表达、比较与传递。</w:t>
      </w:r>
    </w:p>
    <w:p w14:paraId="7FFDBBF0" w14:textId="77777777" w:rsidR="00801D65" w:rsidRPr="00801D65" w:rsidRDefault="00801D65" w:rsidP="00801D65">
      <w:pPr>
        <w:pStyle w:val="10"/>
        <w:spacing w:after="40"/>
        <w:ind w:firstLine="420"/>
        <w:rPr>
          <w:rFonts w:ascii="宋体" w:hAnsi="宋体" w:hint="eastAsia"/>
          <w:lang w:eastAsia="zh-CN"/>
        </w:rPr>
      </w:pPr>
      <w:r>
        <w:t>从研究区样例结果看，多场景ODI结果已经能够在同一研究区边界、钻孔参照和色标口径下表达。当前用于规划评价的扰动控制口径进一步给出方案级统计量：ODI均值为0.3872，P90为0.7414，ODI&gt;0.70比例为14.25%。这说明风险信息已经从概念性指标转化为可计算、可统计和可进入规划约束的空间场。</w:t>
      </w:r>
    </w:p>
    <w:p w14:paraId="441FD9CD" w14:textId="77777777" w:rsidR="00195275" w:rsidRDefault="00000000">
      <w:pPr>
        <w:jc w:val="center"/>
      </w:pPr>
      <w:r>
        <w:rPr>
          <w:rFonts w:ascii="宋体" w:hAnsi="宋体" w:eastAsia="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14F371CE" w14:textId="77777777" w:rsidR="00195275" w:rsidRDefault="00000000">
      <w:pPr>
        <w:pStyle w:val="14"/>
        <w:jc w:val="center"/>
        <w:rPr>
          <w:lang w:eastAsia="zh-CN"/>
        </w:rPr>
      </w:pPr>
      <w:r>
        <w:t>图4 多场景ODI分布结果对比图</w:t>
      </w:r>
      <w:r>
        <w:br/>
      </w:r>
      <w:r>
        <w:t>Fig.4 Comparison of multi-scenario ODI distribution results</w:t>
      </w:r>
    </w:p>
    <w:p w14:paraId="5A61A7A1" w14:textId="77777777" w:rsidR="00801D65" w:rsidRPr="00801D65" w:rsidRDefault="00801D65" w:rsidP="00801D65">
      <w:pPr>
        <w:pStyle w:val="10"/>
        <w:spacing w:after="40"/>
        <w:ind w:firstLine="420"/>
        <w:rPr>
          <w:rFonts w:ascii="宋体" w:hAnsi="宋体" w:hint="eastAsia"/>
          <w:lang w:eastAsia="zh-CN"/>
        </w:rPr>
      </w:pPr>
      <w:r>
        <w:rPr>
          <w:rFonts w:ascii="宋体" w:hAnsi="宋体" w:eastAsia="宋体"/>
        </w:rPr>
        <w:t>从风险分布特征看，不同场景下的ODI高值区并不完全重合。地表沉陷场景更偏向表征采动引起的地表影响范围，含水层扰动场景更强调导水裂隙带和含水层受扰风险，上行开采场景则更关注上覆扰动条件下的安全边界。统一为ODI后，不同场景可在同一统计口径下比较，从而避免多指标、多量纲并列时难以进入方案筛选的问题。</w:t>
      </w:r>
    </w:p>
    <w:p w14:paraId="6F68A360" w14:textId="77777777" w:rsidR="00801D65" w:rsidRPr="00801D65" w:rsidRDefault="00801D65" w:rsidP="00801D65">
      <w:pPr>
        <w:pStyle w:val="10"/>
        <w:spacing w:after="40"/>
        <w:ind w:firstLine="420"/>
        <w:rPr>
          <w:rFonts w:ascii="宋体" w:hAnsi="宋体" w:hint="eastAsia"/>
          <w:lang w:eastAsia="zh-CN"/>
        </w:rPr>
      </w:pPr>
      <w:r>
        <w:t>在规划语境下，ODI的价值体现在两个层面：一是识别高扰动敏感区，当前扰动控制口径下ODI&gt;0.70比例为14.25%，可作为工作面布置时需重点避让或降权处理的区域；二是提供方案级风险统计基础，例如ODI均值0.3872、P90=0.7414等指标，可直接进入后续布局评价和接续评价。</w:t>
      </w:r>
    </w:p>
    <w:p w14:paraId="1C509C8D" w14:textId="77777777" w:rsidR="00801D65" w:rsidRDefault="00801D65" w:rsidP="00801D65">
      <w:pPr>
        <w:pStyle w:val="10"/>
        <w:spacing w:after="40"/>
        <w:ind w:firstLine="420"/>
        <w:rPr>
          <w:rFonts w:ascii="宋体" w:hAnsi="宋体" w:hint="eastAsia"/>
          <w:lang w:eastAsia="zh-CN"/>
        </w:rPr>
      </w:pPr>
      <w:r>
        <w:rPr>
          <w:rFonts w:ascii="宋体" w:hAnsi="宋体" w:eastAsia="宋体"/>
        </w:rPr>
        <w:t>由此，ODI不再是布局完成后的附加说明图层，而是能够在候选方案生成前即参与约束设定和风险排序。对于研究区样例而言，ODI场的建立完成了从“边界+钻孔输入”到“风险约束可参与规划”的关键转换。</w:t>
      </w:r>
    </w:p>
    <w:p w14:paraId="5B929EAB" w14:textId="77777777" w:rsidR="00A046E0" w:rsidRDefault="00A046E0" w:rsidP="00A046E0">
      <w:pPr>
        <w:pStyle w:val="15"/>
        <w:spacing w:after="40"/>
        <w:ind w:firstLine="420"/>
        <w:jc w:val="center"/>
        <w:rPr>
          <w:rFonts w:ascii="宋体" w:hAnsi="宋体" w:hint="eastAsia"/>
          <w:lang w:eastAsia="zh-CN"/>
        </w:rPr>
      </w:pPr>
      <w:r>
        <w:t>表2 多场景 ODI 风险组织关系</w:t>
      </w:r>
      <w:r>
        <w:br/>
      </w:r>
      <w:r>
        <w:t>Table 2 Risk organization relationships under multi-scenario ODI</w:t>
      </w:r>
    </w:p>
    <w:tbl>
      <w:tblPr>
        <w:tblW w:w="5000" w:type="pct"/>
        <w:jc w:val="center"/>
        <w:tblCellSpacing w:w="15" w:type="dxa"/>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46"/>
        <w:gridCol w:w="2552"/>
        <w:gridCol w:w="2693"/>
        <w:gridCol w:w="2977"/>
      </w:tblGrid>
      <w:tr w:rsidR="00A046E0" w:rsidRPr="00A046E0" w14:paraId="46F3194C" w14:textId="77777777" w:rsidTr="00A046E0">
        <w:trPr>
          <w:tblHeader/>
          <w:tblCellSpacing w:w="15" w:type="dxa"/>
          <w:jc w:val="center"/>
        </w:trPr>
        <w:tc>
          <w:tcPr>
            <w:tcW w:w="680" w:type="dxa"/>
            <w:tcBorders>
              <w:top w:val="single" w:sz="8" w:space="0" w:color="000000"/>
              <w:bottom w:val="single" w:sz="6" w:space="0" w:color="000000"/>
            </w:tcBorders>
            <w:vAlign w:val="center"/>
            <w:hideMark/>
          </w:tcPr>
          <w:p>
            <w:pPr>
              <w:spacing w:before="0" w:after="0" w:line="240" w:lineRule="auto"/>
            </w:pPr>
            <w:r>
              <w:rPr>
                <w:sz w:val="11"/>
              </w:rPr>
              <w:t>场景</w:t>
            </w:r>
          </w:p>
        </w:tc>
        <w:tc>
          <w:tcPr>
            <w:tcW w:w="1134" w:type="dxa"/>
            <w:tcBorders>
              <w:top w:val="single" w:sz="8" w:space="0" w:color="000000"/>
              <w:bottom w:val="single" w:sz="6" w:space="0" w:color="000000"/>
            </w:tcBorders>
            <w:vAlign w:val="center"/>
            <w:hideMark/>
          </w:tcPr>
          <w:p>
            <w:pPr>
              <w:spacing w:before="0" w:after="0" w:line="240" w:lineRule="auto"/>
            </w:pPr>
            <w:r>
              <w:rPr>
                <w:sz w:val="11"/>
              </w:rPr>
              <w:t>关注对象</w:t>
            </w:r>
          </w:p>
        </w:tc>
        <w:tc>
          <w:tcPr>
            <w:tcW w:w="1191" w:type="dxa"/>
            <w:tcBorders>
              <w:top w:val="single" w:sz="8" w:space="0" w:color="000000"/>
              <w:bottom w:val="single" w:sz="6" w:space="0" w:color="000000"/>
            </w:tcBorders>
            <w:vAlign w:val="center"/>
            <w:hideMark/>
          </w:tcPr>
          <w:p>
            <w:pPr>
              <w:spacing w:before="0" w:after="0" w:line="240" w:lineRule="auto"/>
            </w:pPr>
            <w:r>
              <w:rPr>
                <w:sz w:val="11"/>
              </w:rPr>
              <w:t>输入依据</w:t>
            </w:r>
          </w:p>
        </w:tc>
        <w:tc>
          <w:tcPr>
            <w:tcW w:w="1191" w:type="dxa"/>
            <w:tcBorders>
              <w:top w:val="single" w:sz="8" w:space="0" w:color="000000"/>
              <w:bottom w:val="single" w:sz="6" w:space="0" w:color="000000"/>
            </w:tcBorders>
            <w:vAlign w:val="center"/>
            <w:hideMark/>
          </w:tcPr>
          <w:p>
            <w:pPr>
              <w:spacing w:before="0" w:after="0" w:line="240" w:lineRule="auto"/>
            </w:pPr>
            <w:r>
              <w:rPr>
                <w:sz w:val="11"/>
              </w:rPr>
              <w:t>规划作用</w:t>
            </w:r>
          </w:p>
        </w:tc>
      </w:tr>
      <w:tr w:rsidR="00A046E0" w:rsidRPr="00A046E0" w14:paraId="1B670FB7" w14:textId="77777777" w:rsidTr="00A046E0">
        <w:trPr>
          <w:tblCellSpacing w:w="15" w:type="dxa"/>
          <w:jc w:val="center"/>
        </w:trPr>
        <w:tc>
          <w:tcPr>
            <w:tcW w:w="680" w:type="dxa"/>
            <w:vAlign w:val="center"/>
            <w:hideMark/>
            <w:tcBorders/>
          </w:tcPr>
          <w:p>
            <w:pPr>
              <w:spacing w:before="0" w:after="0" w:line="240" w:lineRule="auto"/>
            </w:pPr>
            <w:r>
              <w:rPr>
                <w:sz w:val="11"/>
              </w:rPr>
              <w:t>地表沉陷</w:t>
            </w:r>
          </w:p>
        </w:tc>
        <w:tc>
          <w:tcPr>
            <w:tcW w:w="1134" w:type="dxa"/>
            <w:vAlign w:val="center"/>
            <w:hideMark/>
            <w:tcBorders/>
          </w:tcPr>
          <w:p>
            <w:pPr>
              <w:spacing w:before="0" w:after="0" w:line="240" w:lineRule="auto"/>
            </w:pPr>
            <w:r>
              <w:rPr>
                <w:sz w:val="11"/>
              </w:rPr>
              <w:t>地表移动与沉陷风险</w:t>
            </w:r>
          </w:p>
        </w:tc>
        <w:tc>
          <w:tcPr>
            <w:tcW w:w="1191" w:type="dxa"/>
            <w:vAlign w:val="center"/>
            <w:hideMark/>
            <w:tcBorders/>
          </w:tcPr>
          <w:p>
            <w:pPr>
              <w:spacing w:before="0" w:after="0" w:line="240" w:lineRule="auto"/>
            </w:pPr>
            <w:r>
              <w:rPr>
                <w:sz w:val="11"/>
              </w:rPr>
              <w:t>沉陷预测、保护约束</w:t>
            </w:r>
          </w:p>
        </w:tc>
        <w:tc>
          <w:tcPr>
            <w:tcW w:w="1191" w:type="dxa"/>
            <w:vAlign w:val="center"/>
            <w:hideMark/>
            <w:tcBorders/>
          </w:tcPr>
          <w:p>
            <w:pPr>
              <w:spacing w:before="0" w:after="0" w:line="240" w:lineRule="auto"/>
            </w:pPr>
            <w:r>
              <w:rPr>
                <w:sz w:val="11"/>
              </w:rPr>
              <w:t>约束工作面布局范围</w:t>
            </w:r>
          </w:p>
        </w:tc>
      </w:tr>
      <w:tr w:rsidR="00A046E0" w:rsidRPr="00A046E0" w14:paraId="61B7416B" w14:textId="77777777" w:rsidTr="00A046E0">
        <w:trPr>
          <w:tblCellSpacing w:w="15" w:type="dxa"/>
          <w:jc w:val="center"/>
        </w:trPr>
        <w:tc>
          <w:tcPr>
            <w:tcW w:w="680" w:type="dxa"/>
            <w:vAlign w:val="center"/>
            <w:hideMark/>
            <w:tcBorders/>
          </w:tcPr>
          <w:p>
            <w:pPr>
              <w:spacing w:before="0" w:after="0" w:line="240" w:lineRule="auto"/>
            </w:pPr>
            <w:r>
              <w:rPr>
                <w:sz w:val="11"/>
              </w:rPr>
              <w:t>含水层扰动</w:t>
            </w:r>
          </w:p>
        </w:tc>
        <w:tc>
          <w:tcPr>
            <w:tcW w:w="1134" w:type="dxa"/>
            <w:vAlign w:val="center"/>
            <w:hideMark/>
            <w:tcBorders/>
          </w:tcPr>
          <w:p>
            <w:pPr>
              <w:spacing w:before="0" w:after="0" w:line="240" w:lineRule="auto"/>
            </w:pPr>
            <w:r>
              <w:rPr>
                <w:sz w:val="11"/>
              </w:rPr>
              <w:t>导水裂隙带与含水层受扰</w:t>
            </w:r>
          </w:p>
        </w:tc>
        <w:tc>
          <w:tcPr>
            <w:tcW w:w="1191" w:type="dxa"/>
            <w:vAlign w:val="center"/>
            <w:hideMark/>
            <w:tcBorders/>
          </w:tcPr>
          <w:p>
            <w:pPr>
              <w:spacing w:before="0" w:after="0" w:line="240" w:lineRule="auto"/>
            </w:pPr>
            <w:r>
              <w:rPr>
                <w:sz w:val="11"/>
              </w:rPr>
              <w:t>导水带高度、含水层敏感性</w:t>
            </w:r>
          </w:p>
        </w:tc>
        <w:tc>
          <w:tcPr>
            <w:tcW w:w="1191" w:type="dxa"/>
            <w:vAlign w:val="center"/>
            <w:hideMark/>
            <w:tcBorders/>
          </w:tcPr>
          <w:p>
            <w:pPr>
              <w:spacing w:before="0" w:after="0" w:line="240" w:lineRule="auto"/>
            </w:pPr>
            <w:r>
              <w:rPr>
                <w:sz w:val="11"/>
              </w:rPr>
              <w:t>参与风险筛选与避让</w:t>
            </w:r>
          </w:p>
        </w:tc>
      </w:tr>
      <w:tr w:rsidR="00A046E0" w:rsidRPr="00A046E0" w14:paraId="305EB818" w14:textId="77777777" w:rsidTr="00A046E0">
        <w:trPr>
          <w:tblCellSpacing w:w="15" w:type="dxa"/>
          <w:jc w:val="center"/>
        </w:trPr>
        <w:tc>
          <w:tcPr>
            <w:tcW w:w="680" w:type="dxa"/>
            <w:vAlign w:val="center"/>
            <w:hideMark/>
            <w:tcBorders/>
          </w:tcPr>
          <w:p>
            <w:pPr>
              <w:spacing w:before="0" w:after="0" w:line="240" w:lineRule="auto"/>
            </w:pPr>
            <w:r>
              <w:rPr>
                <w:sz w:val="11"/>
              </w:rPr>
              <w:t>上行开采</w:t>
            </w:r>
          </w:p>
        </w:tc>
        <w:tc>
          <w:tcPr>
            <w:tcW w:w="1134" w:type="dxa"/>
            <w:vAlign w:val="center"/>
            <w:hideMark/>
            <w:tcBorders/>
          </w:tcPr>
          <w:p>
            <w:pPr>
              <w:spacing w:before="0" w:after="0" w:line="240" w:lineRule="auto"/>
            </w:pPr>
            <w:r>
              <w:rPr>
                <w:sz w:val="11"/>
              </w:rPr>
              <w:t>上覆岩层扰动与安全边界</w:t>
            </w:r>
          </w:p>
        </w:tc>
        <w:tc>
          <w:tcPr>
            <w:tcW w:w="1191" w:type="dxa"/>
            <w:vAlign w:val="center"/>
            <w:hideMark/>
            <w:tcBorders/>
          </w:tcPr>
          <w:p>
            <w:pPr>
              <w:spacing w:before="0" w:after="0" w:line="240" w:lineRule="auto"/>
            </w:pPr>
            <w:r>
              <w:rPr>
                <w:sz w:val="11"/>
              </w:rPr>
              <w:t>采动应力、覆岩破坏特征</w:t>
            </w:r>
          </w:p>
        </w:tc>
        <w:tc>
          <w:tcPr>
            <w:tcW w:w="1191" w:type="dxa"/>
            <w:vAlign w:val="center"/>
            <w:hideMark/>
            <w:tcBorders/>
          </w:tcPr>
          <w:p>
            <w:pPr>
              <w:spacing w:before="0" w:after="0" w:line="240" w:lineRule="auto"/>
            </w:pPr>
            <w:r>
              <w:rPr>
                <w:sz w:val="11"/>
              </w:rPr>
              <w:t>支撑可行性评价</w:t>
            </w:r>
          </w:p>
        </w:tc>
      </w:tr>
      <w:tr w:rsidR="00A046E0" w:rsidRPr="00A046E0" w14:paraId="787D4FC1" w14:textId="77777777" w:rsidTr="00A046E0">
        <w:trPr>
          <w:tblCellSpacing w:w="15" w:type="dxa"/>
          <w:jc w:val="center"/>
        </w:trPr>
        <w:tc>
          <w:tcPr>
            <w:tcW w:w="680" w:type="dxa"/>
            <w:vAlign w:val="center"/>
            <w:hideMark/>
            <w:tcBorders>
              <w:bottom w:val="single" w:sz="8" w:space="0" w:color="000000"/>
            </w:tcBorders>
          </w:tcPr>
          <w:p>
            <w:pPr>
              <w:spacing w:before="0" w:after="0" w:line="240" w:lineRule="auto"/>
            </w:pPr>
            <w:r>
              <w:rPr>
                <w:sz w:val="11"/>
              </w:rPr>
              <w:t>综合ODI</w:t>
            </w:r>
          </w:p>
        </w:tc>
        <w:tc>
          <w:tcPr>
            <w:tcW w:w="1134" w:type="dxa"/>
            <w:vAlign w:val="center"/>
            <w:hideMark/>
            <w:tcBorders>
              <w:bottom w:val="single" w:sz="8" w:space="0" w:color="000000"/>
            </w:tcBorders>
          </w:tcPr>
          <w:p>
            <w:pPr>
              <w:spacing w:before="0" w:after="0" w:line="240" w:lineRule="auto"/>
            </w:pPr>
            <w:r>
              <w:rPr>
                <w:sz w:val="11"/>
              </w:rPr>
              <w:t>多场景叠加扰动</w:t>
            </w:r>
          </w:p>
        </w:tc>
        <w:tc>
          <w:tcPr>
            <w:tcW w:w="1191" w:type="dxa"/>
            <w:vAlign w:val="center"/>
            <w:hideMark/>
            <w:tcBorders>
              <w:bottom w:val="single" w:sz="8" w:space="0" w:color="000000"/>
            </w:tcBorders>
          </w:tcPr>
          <w:p>
            <w:pPr>
              <w:spacing w:before="0" w:after="0" w:line="240" w:lineRule="auto"/>
            </w:pPr>
            <w:r>
              <w:rPr>
                <w:sz w:val="11"/>
              </w:rPr>
              <w:t>多源风险归一化结果</w:t>
            </w:r>
          </w:p>
        </w:tc>
        <w:tc>
          <w:tcPr>
            <w:tcW w:w="1191" w:type="dxa"/>
            <w:vAlign w:val="center"/>
            <w:hideMark/>
            <w:tcBorders>
              <w:bottom w:val="single" w:sz="8" w:space="0" w:color="000000"/>
            </w:tcBorders>
          </w:tcPr>
          <w:p>
            <w:pPr>
              <w:spacing w:before="0" w:after="0" w:line="240" w:lineRule="auto"/>
            </w:pPr>
            <w:r>
              <w:rPr>
                <w:sz w:val="11"/>
              </w:rPr>
              <w:t>形成统一方案级指标</w:t>
            </w:r>
          </w:p>
        </w:tc>
      </w:tr>
    </w:tbl>
    <w:p w14:paraId="7A698EAE" w14:textId="77777777" w:rsidR="00A046E0" w:rsidRPr="00A046E0" w:rsidRDefault="00A046E0" w:rsidP="00801D65">
      <w:pPr>
        <w:spacing w:after="40"/>
        <w:ind w:firstLine="420"/>
        <w:rPr>
          <w:rFonts w:ascii="宋体" w:hAnsi="宋体" w:hint="eastAsia"/>
          <w:lang w:eastAsia="zh-CN"/>
        </w:rPr>
      </w:pPr>
    </w:p>
    <w:p w14:paraId="3E9394E2" w14:textId="77777777" w:rsidR="00DE4743" w:rsidRDefault="00DE4743" w:rsidP="00A046E0">
      <w:pPr>
        <w:pStyle w:val="11"/>
        <w:rPr>
          <w:lang w:eastAsia="zh-CN"/>
        </w:rPr>
      </w:pPr>
      <w:r>
        <w:rPr>
          <w:rFonts w:ascii="宋体" w:hAnsi="宋体" w:eastAsia="宋体"/>
        </w:rPr>
        <w:t>3 结构化规划结果与风险统计</w:t>
      </w:r>
    </w:p>
    <w:p w14:paraId="3EC37CB1" w14:textId="77777777" w:rsidR="007E22B6" w:rsidRDefault="00DE4743" w:rsidP="00A046E0">
      <w:pPr>
        <w:pStyle w:val="12"/>
        <w:rPr>
          <w:lang w:eastAsia="zh-CN"/>
        </w:rPr>
      </w:pPr>
      <w:r>
        <w:rPr>
          <w:rFonts w:ascii="宋体" w:hAnsi="宋体" w:eastAsia="宋体"/>
        </w:rPr>
        <w:t>3.1 结构化规划结果</w:t>
      </w:r>
    </w:p>
    <w:p w14:paraId="6C935CED" w14:textId="77777777" w:rsidR="00DE4743" w:rsidRPr="00DE4743" w:rsidRDefault="00DE4743" w:rsidP="00DE4743">
      <w:pPr>
        <w:pStyle w:val="10"/>
        <w:spacing w:after="40"/>
        <w:ind w:firstLine="420"/>
        <w:rPr>
          <w:rFonts w:ascii="宋体" w:hAnsi="宋体" w:hint="eastAsia"/>
          <w:lang w:eastAsia="zh-CN"/>
        </w:rPr>
      </w:pPr>
      <w:r>
        <w:t>在有效布置域、连续参数场和ODI风险场共同作用下，本文进一步开展采区规划结果生成与风险约束检验。与传统只给出静态边界划分的做法不同，本文将钻孔样点、连续参数场、保护煤柱约束和ODI风险场纳入同一评价口径，使规划结果能够以工作面数量、推进长度、覆盖面积和ODI统计量等可复核指标表达。</w:t>
      </w:r>
    </w:p>
    <w:p w14:paraId="55B5BF16" w14:textId="77777777" w:rsidR="00DE4743" w:rsidRPr="00DE4743" w:rsidRDefault="00DE4743" w:rsidP="00DE4743">
      <w:pPr>
        <w:pStyle w:val="10"/>
        <w:spacing w:after="40"/>
        <w:ind w:firstLine="420"/>
        <w:rPr>
          <w:rFonts w:ascii="宋体" w:hAnsi="宋体" w:hint="eastAsia"/>
          <w:lang w:eastAsia="zh-CN"/>
        </w:rPr>
      </w:pPr>
      <w:r>
        <w:t>表3列出了当前样例的结构化规划结果。工程效率优先方案共形成5个工作面，推进长度合计15662.02 m，平均推进长度3132.40 m，最短推进长度2680.32 m，工作面布置面积为4823901.28 m²，相对于有效规划域的覆盖率为89.34%。资源回收优先方案覆盖率为91.20%，资源回收评分为89.76；扰动控制方案ODI均值为0.3872，P90为0.7414，ODI&gt;0.70比例为14.25%。这些结果表明，规划结果不再停留于几何图形展示，而是形成可进入后续接续和经济评价的结构化对象。</w:t>
      </w:r>
    </w:p>
    <w:p w14:paraId="387095F2" w14:textId="77777777" w:rsidR="00DE4743" w:rsidRPr="00DE4743" w:rsidRDefault="00DE4743" w:rsidP="00DE4743">
      <w:pPr>
        <w:pStyle w:val="10"/>
        <w:spacing w:after="40"/>
        <w:ind w:firstLine="420"/>
        <w:rPr>
          <w:rFonts w:ascii="宋体" w:hAnsi="宋体" w:hint="eastAsia"/>
          <w:lang w:eastAsia="zh-CN"/>
        </w:rPr>
      </w:pPr>
      <w:r>
        <w:t>从布局结果本身看，工作面并非直接贴附原始边界外轮廓，而是在有效布置域内形成必要的保护距离和工程边界。图5显示，No.1至No.5工作面在规划域内呈连续条带式布置；图6进一步说明工作面布局能够与含水层扰动ODI场叠置检查，从而把几何可布置性和风险约束统一到同一空间参照中。</w:t>
      </w:r>
    </w:p>
    <w:p>
      <w:pPr>
        <w:pStyle w:val="15"/>
        <w:jc w:val="center"/>
      </w:pPr>
      <w:r>
        <w:t>表3 当前样例规划结果统计表</w:t>
      </w:r>
      <w:r>
        <w:br/>
      </w:r>
      <w:r>
        <w:t>Table 3 Statistics of current sample planning results</w:t>
      </w:r>
    </w:p>
    <w:tbl>
      <w:tblPr>
        <w:tblW w:type="pct" w:w="5000"/>
        <w:jc w:val="center"/>
        <w:tblLayout w:type="fixed"/>
        <w:tblLook w:firstColumn="1" w:firstRow="1" w:lastColumn="0" w:lastRow="0" w:noHBand="0" w:noVBand="1" w:val="04A0"/>
      </w:tblPr>
      <w:tblGrid>
        <w:gridCol w:w="2017"/>
        <w:gridCol w:w="2017"/>
        <w:gridCol w:w="2017"/>
        <w:gridCol w:w="2017"/>
        <w:gridCol w:w="2017"/>
      </w:tblGrid>
      <w:tr>
        <w:tc>
          <w:tcPr>
            <w:tcW w:type="dxa" w:w="1531"/>
            <w:vAlign w:val="center"/>
            <w:gridSpan w:val="2"/>
            <w:tcBorders>
              <w:top w:val="single" w:sz="8" w:space="0" w:color="000000"/>
              <w:bottom w:val="single" w:sz="6" w:space="0" w:color="000000"/>
            </w:tcBorders>
          </w:tcPr>
          <w:p>
            <w:pPr>
              <w:spacing w:before="0" w:after="0" w:line="240" w:lineRule="auto"/>
            </w:pPr>
            <w:r>
              <w:rPr>
                <w:sz w:val="11"/>
              </w:rPr>
              <w:t>指标</w:t>
            </w:r>
          </w:p>
        </w:tc>
        <w:tc>
          <w:tcPr>
            <w:tcW w:type="dxa" w:w="737"/>
            <w:vAlign w:val="center"/>
            <w:tcBorders>
              <w:top w:val="single" w:sz="8" w:space="0" w:color="000000"/>
              <w:bottom w:val="single" w:sz="6" w:space="0" w:color="000000"/>
            </w:tcBorders>
          </w:tcPr>
          <w:p>
            <w:pPr>
              <w:spacing w:before="0" w:after="0" w:line="240" w:lineRule="auto"/>
            </w:pPr>
            <w:r>
              <w:rPr>
                <w:sz w:val="11"/>
              </w:rPr>
              <w:t>数值</w:t>
            </w:r>
          </w:p>
        </w:tc>
        <w:tc>
          <w:tcPr>
            <w:tcW w:type="dxa" w:w="454"/>
            <w:vAlign w:val="center"/>
            <w:tcBorders>
              <w:top w:val="single" w:sz="8" w:space="0" w:color="000000"/>
              <w:bottom w:val="single" w:sz="6" w:space="0" w:color="000000"/>
            </w:tcBorders>
          </w:tcPr>
          <w:p>
            <w:pPr>
              <w:spacing w:before="0" w:after="0" w:line="240" w:lineRule="auto"/>
            </w:pPr>
            <w:r>
              <w:rPr>
                <w:sz w:val="11"/>
              </w:rPr>
              <w:t>单位</w:t>
            </w:r>
          </w:p>
        </w:tc>
        <w:tc>
          <w:tcPr>
            <w:tcW w:type="dxa" w:w="1474"/>
            <w:vAlign w:val="center"/>
            <w:tcBorders>
              <w:top w:val="single" w:sz="8" w:space="0" w:color="000000"/>
              <w:bottom w:val="single" w:sz="6" w:space="0" w:color="000000"/>
            </w:tcBorders>
          </w:tcPr>
          <w:p>
            <w:pPr>
              <w:spacing w:before="0" w:after="0" w:line="240" w:lineRule="auto"/>
            </w:pPr>
            <w:r>
              <w:rPr>
                <w:sz w:val="11"/>
              </w:rPr>
              <w:t>说明</w:t>
            </w:r>
          </w:p>
        </w:tc>
      </w:tr>
      <w:tr>
        <w:tc>
          <w:tcPr>
            <w:tcW w:type="dxa" w:w="1531"/>
            <w:vAlign w:val="center"/>
            <w:gridSpan w:val="2"/>
            <w:tcBorders/>
          </w:tcPr>
          <w:p>
            <w:pPr>
              <w:spacing w:before="0" w:after="0" w:line="240" w:lineRule="auto"/>
            </w:pPr>
            <w:r>
              <w:rPr>
                <w:sz w:val="11"/>
              </w:rPr>
              <w:t>工程布置-工作面数量</w:t>
            </w:r>
          </w:p>
        </w:tc>
        <w:tc>
          <w:tcPr>
            <w:tcW w:type="dxa" w:w="737"/>
            <w:vAlign w:val="center"/>
            <w:tcBorders/>
          </w:tcPr>
          <w:p>
            <w:pPr>
              <w:spacing w:before="0" w:after="0" w:line="240" w:lineRule="auto"/>
            </w:pPr>
            <w:r>
              <w:rPr>
                <w:sz w:val="11"/>
              </w:rPr>
              <w:t>5</w:t>
            </w:r>
          </w:p>
        </w:tc>
        <w:tc>
          <w:tcPr>
            <w:tcW w:type="dxa" w:w="454"/>
            <w:vAlign w:val="center"/>
            <w:tcBorders/>
          </w:tcPr>
          <w:p>
            <w:pPr>
              <w:spacing w:before="0" w:after="0" w:line="240" w:lineRule="auto"/>
            </w:pPr>
            <w:r>
              <w:rPr>
                <w:sz w:val="11"/>
              </w:rPr>
              <w:t>个</w:t>
            </w:r>
          </w:p>
        </w:tc>
        <w:tc>
          <w:tcPr>
            <w:tcW w:type="dxa" w:w="1474"/>
            <w:vAlign w:val="center"/>
            <w:tcBorders/>
          </w:tcPr>
          <w:p>
            <w:pPr>
              <w:spacing w:before="0" w:after="0" w:line="240" w:lineRule="auto"/>
            </w:pPr>
            <w:r>
              <w:rPr>
                <w:sz w:val="11"/>
              </w:rPr>
              <w:t>工程效率优先方案输出</w:t>
            </w:r>
          </w:p>
        </w:tc>
      </w:tr>
      <w:tr>
        <w:tc>
          <w:tcPr>
            <w:tcW w:type="dxa" w:w="1531"/>
            <w:vAlign w:val="center"/>
            <w:gridSpan w:val="2"/>
            <w:tcBorders/>
          </w:tcPr>
          <w:p>
            <w:pPr>
              <w:spacing w:before="0" w:after="0" w:line="240" w:lineRule="auto"/>
            </w:pPr>
            <w:r>
              <w:rPr>
                <w:sz w:val="11"/>
              </w:rPr>
              <w:t>工程布置-推进长度总和</w:t>
            </w:r>
          </w:p>
        </w:tc>
        <w:tc>
          <w:tcPr>
            <w:tcW w:type="dxa" w:w="737"/>
            <w:vAlign w:val="center"/>
            <w:tcBorders/>
          </w:tcPr>
          <w:p>
            <w:pPr>
              <w:spacing w:before="0" w:after="0" w:line="240" w:lineRule="auto"/>
            </w:pPr>
            <w:r>
              <w:rPr>
                <w:sz w:val="11"/>
              </w:rPr>
              <w:t>15662.02</w:t>
            </w:r>
          </w:p>
        </w:tc>
        <w:tc>
          <w:tcPr>
            <w:tcW w:type="dxa" w:w="454"/>
            <w:vAlign w:val="center"/>
            <w:tcBorders/>
          </w:tcPr>
          <w:p>
            <w:pPr>
              <w:spacing w:before="0" w:after="0" w:line="240" w:lineRule="auto"/>
            </w:pPr>
            <w:r>
              <w:rPr>
                <w:sz w:val="11"/>
              </w:rPr>
              <w:t>m</w:t>
            </w:r>
          </w:p>
        </w:tc>
        <w:tc>
          <w:tcPr>
            <w:tcW w:type="dxa" w:w="1474"/>
            <w:vAlign w:val="center"/>
            <w:tcBorders/>
          </w:tcPr>
          <w:p>
            <w:pPr>
              <w:spacing w:before="0" w:after="0" w:line="240" w:lineRule="auto"/>
            </w:pPr>
            <w:r>
              <w:rPr>
                <w:sz w:val="11"/>
              </w:rPr>
              <w:t>5个工作面推进长度汇总</w:t>
            </w:r>
          </w:p>
        </w:tc>
      </w:tr>
      <w:tr>
        <w:tc>
          <w:tcPr>
            <w:tcW w:type="dxa" w:w="1531"/>
            <w:vAlign w:val="center"/>
            <w:gridSpan w:val="2"/>
            <w:tcBorders/>
          </w:tcPr>
          <w:p>
            <w:pPr>
              <w:spacing w:before="0" w:after="0" w:line="240" w:lineRule="auto"/>
            </w:pPr>
            <w:r>
              <w:rPr>
                <w:sz w:val="11"/>
              </w:rPr>
              <w:t>工程布置-平均推进长度</w:t>
            </w:r>
          </w:p>
        </w:tc>
        <w:tc>
          <w:tcPr>
            <w:tcW w:type="dxa" w:w="737"/>
            <w:vAlign w:val="center"/>
            <w:tcBorders/>
          </w:tcPr>
          <w:p>
            <w:pPr>
              <w:spacing w:before="0" w:after="0" w:line="240" w:lineRule="auto"/>
            </w:pPr>
            <w:r>
              <w:rPr>
                <w:sz w:val="11"/>
              </w:rPr>
              <w:t>3132.40</w:t>
            </w:r>
          </w:p>
        </w:tc>
        <w:tc>
          <w:tcPr>
            <w:tcW w:type="dxa" w:w="454"/>
            <w:vAlign w:val="center"/>
            <w:tcBorders/>
          </w:tcPr>
          <w:p>
            <w:pPr>
              <w:spacing w:before="0" w:after="0" w:line="240" w:lineRule="auto"/>
            </w:pPr>
            <w:r>
              <w:rPr>
                <w:sz w:val="11"/>
              </w:rPr>
              <w:t>m</w:t>
            </w:r>
          </w:p>
        </w:tc>
        <w:tc>
          <w:tcPr>
            <w:tcW w:type="dxa" w:w="1474"/>
            <w:vAlign w:val="center"/>
            <w:tcBorders/>
          </w:tcPr>
          <w:p>
            <w:pPr>
              <w:spacing w:before="0" w:after="0" w:line="240" w:lineRule="auto"/>
            </w:pPr>
            <w:r>
              <w:rPr>
                <w:sz w:val="11"/>
              </w:rPr>
              <w:t>推进长度总和/工作面数量</w:t>
            </w:r>
          </w:p>
        </w:tc>
      </w:tr>
      <w:tr>
        <w:tc>
          <w:tcPr>
            <w:tcW w:type="dxa" w:w="1531"/>
            <w:vAlign w:val="center"/>
            <w:gridSpan w:val="2"/>
            <w:tcBorders/>
          </w:tcPr>
          <w:p>
            <w:pPr>
              <w:spacing w:before="0" w:after="0" w:line="240" w:lineRule="auto"/>
            </w:pPr>
            <w:r>
              <w:rPr>
                <w:sz w:val="11"/>
              </w:rPr>
              <w:t>工程布置-最小推进长度</w:t>
            </w:r>
          </w:p>
        </w:tc>
        <w:tc>
          <w:tcPr>
            <w:tcW w:type="dxa" w:w="737"/>
            <w:vAlign w:val="center"/>
            <w:tcBorders/>
          </w:tcPr>
          <w:p>
            <w:pPr>
              <w:spacing w:before="0" w:after="0" w:line="240" w:lineRule="auto"/>
            </w:pPr>
            <w:r>
              <w:rPr>
                <w:sz w:val="11"/>
              </w:rPr>
              <w:t>2680.32</w:t>
            </w:r>
          </w:p>
        </w:tc>
        <w:tc>
          <w:tcPr>
            <w:tcW w:type="dxa" w:w="454"/>
            <w:vAlign w:val="center"/>
            <w:tcBorders/>
          </w:tcPr>
          <w:p>
            <w:pPr>
              <w:spacing w:before="0" w:after="0" w:line="240" w:lineRule="auto"/>
            </w:pPr>
            <w:r>
              <w:rPr>
                <w:sz w:val="11"/>
              </w:rPr>
              <w:t>m</w:t>
            </w:r>
          </w:p>
        </w:tc>
        <w:tc>
          <w:tcPr>
            <w:tcW w:type="dxa" w:w="1474"/>
            <w:vAlign w:val="center"/>
            <w:tcBorders/>
          </w:tcPr>
          <w:p>
            <w:pPr>
              <w:spacing w:before="0" w:after="0" w:line="240" w:lineRule="auto"/>
            </w:pPr>
            <w:r>
              <w:rPr>
                <w:sz w:val="11"/>
              </w:rPr>
              <w:t>当前方案最短工作面</w:t>
            </w:r>
          </w:p>
        </w:tc>
      </w:tr>
      <w:tr>
        <w:tc>
          <w:tcPr>
            <w:tcW w:type="dxa" w:w="1531"/>
            <w:vAlign w:val="center"/>
            <w:gridSpan w:val="2"/>
            <w:tcBorders/>
          </w:tcPr>
          <w:p>
            <w:pPr>
              <w:spacing w:before="0" w:after="0" w:line="240" w:lineRule="auto"/>
            </w:pPr>
            <w:r>
              <w:rPr>
                <w:sz w:val="11"/>
              </w:rPr>
              <w:t>工程布置-长度离散系数</w:t>
            </w:r>
          </w:p>
        </w:tc>
        <w:tc>
          <w:tcPr>
            <w:tcW w:type="dxa" w:w="737"/>
            <w:vAlign w:val="center"/>
            <w:tcBorders/>
          </w:tcPr>
          <w:p>
            <w:pPr>
              <w:spacing w:before="0" w:after="0" w:line="240" w:lineRule="auto"/>
            </w:pPr>
            <w:r>
              <w:rPr>
                <w:sz w:val="11"/>
              </w:rPr>
              <w:t>0.0723</w:t>
            </w:r>
          </w:p>
        </w:tc>
        <w:tc>
          <w:tcPr>
            <w:tcW w:type="dxa" w:w="454"/>
            <w:vAlign w:val="center"/>
            <w:tcBorders/>
          </w:tcPr>
          <w:p>
            <w:pPr>
              <w:spacing w:before="0" w:after="0" w:line="240" w:lineRule="auto"/>
            </w:pPr>
            <w:r>
              <w:rPr>
                <w:sz w:val="11"/>
              </w:rPr>
              <w:t>—</w:t>
            </w:r>
          </w:p>
        </w:tc>
        <w:tc>
          <w:tcPr>
            <w:tcW w:type="dxa" w:w="1474"/>
            <w:vAlign w:val="center"/>
            <w:tcBorders/>
          </w:tcPr>
          <w:p>
            <w:pPr>
              <w:spacing w:before="0" w:after="0" w:line="240" w:lineRule="auto"/>
            </w:pPr>
            <w:r>
              <w:rPr>
                <w:sz w:val="11"/>
              </w:rPr>
              <w:t>工作面长度均衡性指标</w:t>
            </w:r>
          </w:p>
        </w:tc>
      </w:tr>
      <w:tr>
        <w:tc>
          <w:tcPr>
            <w:tcW w:type="dxa" w:w="1531"/>
            <w:vAlign w:val="center"/>
            <w:gridSpan w:val="2"/>
            <w:tcBorders/>
          </w:tcPr>
          <w:p>
            <w:pPr>
              <w:spacing w:before="0" w:after="0" w:line="240" w:lineRule="auto"/>
            </w:pPr>
            <w:r>
              <w:rPr>
                <w:sz w:val="11"/>
              </w:rPr>
              <w:t>资源覆盖-布置面积</w:t>
            </w:r>
          </w:p>
        </w:tc>
        <w:tc>
          <w:tcPr>
            <w:tcW w:type="dxa" w:w="737"/>
            <w:vAlign w:val="center"/>
            <w:tcBorders/>
          </w:tcPr>
          <w:p>
            <w:pPr>
              <w:spacing w:before="0" w:after="0" w:line="240" w:lineRule="auto"/>
            </w:pPr>
            <w:r>
              <w:rPr>
                <w:sz w:val="11"/>
              </w:rPr>
              <w:t>4823901.28</w:t>
            </w:r>
          </w:p>
        </w:tc>
        <w:tc>
          <w:tcPr>
            <w:tcW w:type="dxa" w:w="454"/>
            <w:vAlign w:val="center"/>
            <w:tcBorders/>
          </w:tcPr>
          <w:p>
            <w:pPr>
              <w:spacing w:before="0" w:after="0" w:line="240" w:lineRule="auto"/>
            </w:pPr>
            <w:r>
              <w:rPr>
                <w:sz w:val="11"/>
              </w:rPr>
              <w:t>m²</w:t>
            </w:r>
          </w:p>
        </w:tc>
        <w:tc>
          <w:tcPr>
            <w:tcW w:type="dxa" w:w="1474"/>
            <w:vAlign w:val="center"/>
            <w:tcBorders/>
          </w:tcPr>
          <w:p>
            <w:pPr>
              <w:spacing w:before="0" w:after="0" w:line="240" w:lineRule="auto"/>
            </w:pPr>
            <w:r>
              <w:rPr>
                <w:sz w:val="11"/>
              </w:rPr>
              <w:t>工程效率优先方案覆盖面积</w:t>
            </w:r>
          </w:p>
        </w:tc>
      </w:tr>
      <w:tr>
        <w:tc>
          <w:tcPr>
            <w:tcW w:type="dxa" w:w="1531"/>
            <w:vAlign w:val="center"/>
            <w:gridSpan w:val="2"/>
            <w:tcBorders/>
          </w:tcPr>
          <w:p>
            <w:pPr>
              <w:spacing w:before="0" w:after="0" w:line="240" w:lineRule="auto"/>
            </w:pPr>
            <w:r>
              <w:rPr>
                <w:sz w:val="11"/>
              </w:rPr>
              <w:t>资源覆盖-有效覆盖率</w:t>
            </w:r>
          </w:p>
        </w:tc>
        <w:tc>
          <w:tcPr>
            <w:tcW w:type="dxa" w:w="737"/>
            <w:vAlign w:val="center"/>
            <w:tcBorders/>
          </w:tcPr>
          <w:p>
            <w:pPr>
              <w:spacing w:before="0" w:after="0" w:line="240" w:lineRule="auto"/>
            </w:pPr>
            <w:r>
              <w:rPr>
                <w:sz w:val="11"/>
              </w:rPr>
              <w:t>89.34</w:t>
            </w:r>
          </w:p>
        </w:tc>
        <w:tc>
          <w:tcPr>
            <w:tcW w:type="dxa" w:w="454"/>
            <w:vAlign w:val="center"/>
            <w:tcBorders/>
          </w:tcPr>
          <w:p>
            <w:pPr>
              <w:spacing w:before="0" w:after="0" w:line="240" w:lineRule="auto"/>
            </w:pPr>
            <w:r>
              <w:rPr>
                <w:sz w:val="11"/>
              </w:rPr>
              <w:t>%</w:t>
            </w:r>
          </w:p>
        </w:tc>
        <w:tc>
          <w:tcPr>
            <w:tcW w:type="dxa" w:w="1474"/>
            <w:vAlign w:val="center"/>
            <w:tcBorders/>
          </w:tcPr>
          <w:p>
            <w:pPr>
              <w:spacing w:before="0" w:after="0" w:line="240" w:lineRule="auto"/>
            </w:pPr>
            <w:r>
              <w:rPr>
                <w:sz w:val="11"/>
              </w:rPr>
              <w:t>布置面积/有效规划域面积</w:t>
            </w:r>
          </w:p>
        </w:tc>
      </w:tr>
      <w:tr>
        <w:tc>
          <w:tcPr>
            <w:tcW w:type="dxa" w:w="1531"/>
            <w:vAlign w:val="center"/>
            <w:gridSpan w:val="2"/>
            <w:tcBorders/>
          </w:tcPr>
          <w:p>
            <w:pPr>
              <w:spacing w:before="0" w:after="0" w:line="240" w:lineRule="auto"/>
            </w:pPr>
            <w:r>
              <w:rPr>
                <w:sz w:val="11"/>
              </w:rPr>
              <w:t>资源覆盖-资源回收优先覆盖率</w:t>
            </w:r>
          </w:p>
        </w:tc>
        <w:tc>
          <w:tcPr>
            <w:tcW w:type="dxa" w:w="737"/>
            <w:vAlign w:val="center"/>
            <w:tcBorders/>
          </w:tcPr>
          <w:p>
            <w:pPr>
              <w:spacing w:before="0" w:after="0" w:line="240" w:lineRule="auto"/>
            </w:pPr>
            <w:r>
              <w:rPr>
                <w:sz w:val="11"/>
              </w:rPr>
              <w:t>91.20</w:t>
            </w:r>
          </w:p>
        </w:tc>
        <w:tc>
          <w:tcPr>
            <w:tcW w:type="dxa" w:w="454"/>
            <w:vAlign w:val="center"/>
            <w:tcBorders/>
          </w:tcPr>
          <w:p>
            <w:pPr>
              <w:spacing w:before="0" w:after="0" w:line="240" w:lineRule="auto"/>
            </w:pPr>
            <w:r>
              <w:rPr>
                <w:sz w:val="11"/>
              </w:rPr>
              <w:t>%</w:t>
            </w:r>
          </w:p>
        </w:tc>
        <w:tc>
          <w:tcPr>
            <w:tcW w:type="dxa" w:w="1474"/>
            <w:vAlign w:val="center"/>
            <w:tcBorders/>
          </w:tcPr>
          <w:p>
            <w:pPr>
              <w:spacing w:before="0" w:after="0" w:line="240" w:lineRule="auto"/>
            </w:pPr>
            <w:r>
              <w:rPr>
                <w:sz w:val="11"/>
              </w:rPr>
              <w:t>资源回收优先方案输出</w:t>
            </w:r>
          </w:p>
        </w:tc>
      </w:tr>
      <w:tr>
        <w:tc>
          <w:tcPr>
            <w:tcW w:type="dxa" w:w="1531"/>
            <w:vAlign w:val="center"/>
            <w:gridSpan w:val="2"/>
            <w:tcBorders/>
          </w:tcPr>
          <w:p>
            <w:pPr>
              <w:spacing w:before="0" w:after="0" w:line="240" w:lineRule="auto"/>
            </w:pPr>
            <w:r>
              <w:rPr>
                <w:sz w:val="11"/>
              </w:rPr>
              <w:t>资源覆盖-资源回收评分</w:t>
            </w:r>
          </w:p>
        </w:tc>
        <w:tc>
          <w:tcPr>
            <w:tcW w:type="dxa" w:w="737"/>
            <w:vAlign w:val="center"/>
            <w:tcBorders/>
          </w:tcPr>
          <w:p>
            <w:pPr>
              <w:spacing w:before="0" w:after="0" w:line="240" w:lineRule="auto"/>
            </w:pPr>
            <w:r>
              <w:rPr>
                <w:sz w:val="11"/>
              </w:rPr>
              <w:t>89.76</w:t>
            </w:r>
          </w:p>
        </w:tc>
        <w:tc>
          <w:tcPr>
            <w:tcW w:type="dxa" w:w="454"/>
            <w:vAlign w:val="center"/>
            <w:tcBorders/>
          </w:tcPr>
          <w:p>
            <w:pPr>
              <w:spacing w:before="0" w:after="0" w:line="240" w:lineRule="auto"/>
            </w:pPr>
            <w:r>
              <w:rPr>
                <w:sz w:val="11"/>
              </w:rPr>
              <w:t>分</w:t>
            </w:r>
          </w:p>
        </w:tc>
        <w:tc>
          <w:tcPr>
            <w:tcW w:type="dxa" w:w="1474"/>
            <w:vAlign w:val="center"/>
            <w:tcBorders/>
          </w:tcPr>
          <w:p>
            <w:pPr>
              <w:spacing w:before="0" w:after="0" w:line="240" w:lineRule="auto"/>
            </w:pPr>
            <w:r>
              <w:rPr>
                <w:sz w:val="11"/>
              </w:rPr>
              <w:t>资源回收优先方案排序指标</w:t>
            </w:r>
          </w:p>
        </w:tc>
      </w:tr>
      <w:tr>
        <w:tc>
          <w:tcPr>
            <w:tcW w:type="dxa" w:w="1531"/>
            <w:vAlign w:val="center"/>
            <w:gridSpan w:val="2"/>
            <w:tcBorders/>
          </w:tcPr>
          <w:p>
            <w:pPr>
              <w:spacing w:before="0" w:after="0" w:line="240" w:lineRule="auto"/>
            </w:pPr>
            <w:r>
              <w:rPr>
                <w:sz w:val="11"/>
              </w:rPr>
              <w:t>ODI风险-最小扰动方案ODI均值</w:t>
            </w:r>
          </w:p>
        </w:tc>
        <w:tc>
          <w:tcPr>
            <w:tcW w:type="dxa" w:w="737"/>
            <w:vAlign w:val="center"/>
            <w:tcBorders/>
          </w:tcPr>
          <w:p>
            <w:pPr>
              <w:spacing w:before="0" w:after="0" w:line="240" w:lineRule="auto"/>
            </w:pPr>
            <w:r>
              <w:rPr>
                <w:sz w:val="11"/>
              </w:rPr>
              <w:t>0.3872</w:t>
            </w:r>
          </w:p>
        </w:tc>
        <w:tc>
          <w:tcPr>
            <w:tcW w:type="dxa" w:w="454"/>
            <w:vAlign w:val="center"/>
            <w:tcBorders/>
          </w:tcPr>
          <w:p>
            <w:pPr>
              <w:spacing w:before="0" w:after="0" w:line="240" w:lineRule="auto"/>
            </w:pPr>
            <w:r>
              <w:rPr>
                <w:sz w:val="11"/>
              </w:rPr>
              <w:t>—</w:t>
            </w:r>
          </w:p>
        </w:tc>
        <w:tc>
          <w:tcPr>
            <w:tcW w:type="dxa" w:w="1474"/>
            <w:vAlign w:val="center"/>
            <w:tcBorders/>
          </w:tcPr>
          <w:p>
            <w:pPr>
              <w:spacing w:before="0" w:after="0" w:line="240" w:lineRule="auto"/>
            </w:pPr>
            <w:r>
              <w:rPr>
                <w:sz w:val="11"/>
              </w:rPr>
              <w:t>扰动控制口径输出</w:t>
            </w:r>
          </w:p>
        </w:tc>
      </w:tr>
      <w:tr>
        <w:tc>
          <w:tcPr>
            <w:tcW w:type="dxa" w:w="1531"/>
            <w:vAlign w:val="center"/>
            <w:gridSpan w:val="2"/>
            <w:tcBorders/>
          </w:tcPr>
          <w:p>
            <w:pPr>
              <w:spacing w:before="0" w:after="0" w:line="240" w:lineRule="auto"/>
            </w:pPr>
            <w:r>
              <w:rPr>
                <w:sz w:val="11"/>
              </w:rPr>
              <w:t>ODI风险-最小扰动方案ODI P90</w:t>
            </w:r>
          </w:p>
        </w:tc>
        <w:tc>
          <w:tcPr>
            <w:tcW w:type="dxa" w:w="737"/>
            <w:vAlign w:val="center"/>
            <w:tcBorders/>
          </w:tcPr>
          <w:p>
            <w:pPr>
              <w:spacing w:before="0" w:after="0" w:line="240" w:lineRule="auto"/>
            </w:pPr>
            <w:r>
              <w:rPr>
                <w:sz w:val="11"/>
              </w:rPr>
              <w:t>0.7414</w:t>
            </w:r>
          </w:p>
        </w:tc>
        <w:tc>
          <w:tcPr>
            <w:tcW w:type="dxa" w:w="454"/>
            <w:vAlign w:val="center"/>
            <w:tcBorders/>
          </w:tcPr>
          <w:p>
            <w:pPr>
              <w:spacing w:before="0" w:after="0" w:line="240" w:lineRule="auto"/>
            </w:pPr>
            <w:r>
              <w:rPr>
                <w:sz w:val="11"/>
              </w:rPr>
              <w:t>—</w:t>
            </w:r>
          </w:p>
        </w:tc>
        <w:tc>
          <w:tcPr>
            <w:tcW w:type="dxa" w:w="1474"/>
            <w:vAlign w:val="center"/>
            <w:tcBorders/>
          </w:tcPr>
          <w:p>
            <w:pPr>
              <w:spacing w:before="0" w:after="0" w:line="240" w:lineRule="auto"/>
            </w:pPr>
            <w:r>
              <w:rPr>
                <w:sz w:val="11"/>
              </w:rPr>
              <w:t>90%分位值</w:t>
            </w:r>
          </w:p>
        </w:tc>
      </w:tr>
      <w:tr>
        <w:tc>
          <w:tcPr>
            <w:tcW w:type="dxa" w:w="1531"/>
            <w:vAlign w:val="center"/>
            <w:gridSpan w:val="2"/>
            <w:tcBorders/>
          </w:tcPr>
          <w:p>
            <w:pPr>
              <w:spacing w:before="0" w:after="0" w:line="240" w:lineRule="auto"/>
            </w:pPr>
            <w:r>
              <w:rPr>
                <w:sz w:val="11"/>
              </w:rPr>
              <w:t>ODI风险-ODI&gt;0.70比例</w:t>
            </w:r>
          </w:p>
        </w:tc>
        <w:tc>
          <w:tcPr>
            <w:tcW w:type="dxa" w:w="737"/>
            <w:vAlign w:val="center"/>
            <w:tcBorders/>
          </w:tcPr>
          <w:p>
            <w:pPr>
              <w:spacing w:before="0" w:after="0" w:line="240" w:lineRule="auto"/>
            </w:pPr>
            <w:r>
              <w:rPr>
                <w:sz w:val="11"/>
              </w:rPr>
              <w:t>14.25</w:t>
            </w:r>
          </w:p>
        </w:tc>
        <w:tc>
          <w:tcPr>
            <w:tcW w:type="dxa" w:w="454"/>
            <w:vAlign w:val="center"/>
            <w:tcBorders/>
          </w:tcPr>
          <w:p>
            <w:pPr>
              <w:spacing w:before="0" w:after="0" w:line="240" w:lineRule="auto"/>
            </w:pPr>
            <w:r>
              <w:rPr>
                <w:sz w:val="11"/>
              </w:rPr>
              <w:t>%</w:t>
            </w:r>
          </w:p>
        </w:tc>
        <w:tc>
          <w:tcPr>
            <w:tcW w:type="dxa" w:w="1474"/>
            <w:vAlign w:val="center"/>
            <w:tcBorders/>
          </w:tcPr>
          <w:p>
            <w:pPr>
              <w:spacing w:before="0" w:after="0" w:line="240" w:lineRule="auto"/>
            </w:pPr>
            <w:r>
              <w:rPr>
                <w:sz w:val="11"/>
              </w:rPr>
              <w:t>扰动控制方案超限暴露比例</w:t>
            </w:r>
          </w:p>
        </w:tc>
      </w:tr>
      <w:tr>
        <w:tc>
          <w:tcPr>
            <w:tcW w:type="dxa" w:w="1531"/>
            <w:vAlign w:val="center"/>
            <w:gridSpan w:val="2"/>
            <w:tcBorders/>
          </w:tcPr>
          <w:p>
            <w:pPr>
              <w:spacing w:before="0" w:after="0" w:line="240" w:lineRule="auto"/>
            </w:pPr>
            <w:r>
              <w:rPr>
                <w:sz w:val="11"/>
              </w:rPr>
              <w:t>综合评价-工程效率评分</w:t>
            </w:r>
          </w:p>
        </w:tc>
        <w:tc>
          <w:tcPr>
            <w:tcW w:type="dxa" w:w="737"/>
            <w:vAlign w:val="center"/>
            <w:tcBorders/>
          </w:tcPr>
          <w:p>
            <w:pPr>
              <w:spacing w:before="0" w:after="0" w:line="240" w:lineRule="auto"/>
            </w:pPr>
            <w:r>
              <w:rPr>
                <w:sz w:val="11"/>
              </w:rPr>
              <w:t>87.82</w:t>
            </w:r>
          </w:p>
        </w:tc>
        <w:tc>
          <w:tcPr>
            <w:tcW w:type="dxa" w:w="454"/>
            <w:vAlign w:val="center"/>
            <w:tcBorders/>
          </w:tcPr>
          <w:p>
            <w:pPr>
              <w:spacing w:before="0" w:after="0" w:line="240" w:lineRule="auto"/>
            </w:pPr>
            <w:r>
              <w:rPr>
                <w:sz w:val="11"/>
              </w:rPr>
              <w:t>分</w:t>
            </w:r>
          </w:p>
        </w:tc>
        <w:tc>
          <w:tcPr>
            <w:tcW w:type="dxa" w:w="1474"/>
            <w:vAlign w:val="center"/>
            <w:tcBorders/>
          </w:tcPr>
          <w:p>
            <w:pPr>
              <w:spacing w:before="0" w:after="0" w:line="240" w:lineRule="auto"/>
            </w:pPr>
            <w:r>
              <w:rPr>
                <w:sz w:val="11"/>
              </w:rPr>
              <w:t>工程效率优先方案</w:t>
            </w:r>
          </w:p>
        </w:tc>
      </w:tr>
      <w:tr>
        <w:tc>
          <w:tcPr>
            <w:tcW w:type="dxa" w:w="1531"/>
            <w:vAlign w:val="center"/>
            <w:gridSpan w:val="2"/>
            <w:tcBorders/>
          </w:tcPr>
          <w:p>
            <w:pPr>
              <w:spacing w:before="0" w:after="0" w:line="240" w:lineRule="auto"/>
            </w:pPr>
            <w:r>
              <w:rPr>
                <w:sz w:val="11"/>
              </w:rPr>
              <w:t>接续组织-接续工作面数量</w:t>
            </w:r>
          </w:p>
        </w:tc>
        <w:tc>
          <w:tcPr>
            <w:tcW w:type="dxa" w:w="737"/>
            <w:vAlign w:val="center"/>
            <w:tcBorders/>
          </w:tcPr>
          <w:p>
            <w:pPr>
              <w:spacing w:before="0" w:after="0" w:line="240" w:lineRule="auto"/>
            </w:pPr>
            <w:r>
              <w:rPr>
                <w:sz w:val="11"/>
              </w:rPr>
              <w:t>5</w:t>
            </w:r>
          </w:p>
        </w:tc>
        <w:tc>
          <w:tcPr>
            <w:tcW w:type="dxa" w:w="454"/>
            <w:vAlign w:val="center"/>
            <w:tcBorders/>
          </w:tcPr>
          <w:p>
            <w:pPr>
              <w:spacing w:before="0" w:after="0" w:line="240" w:lineRule="auto"/>
            </w:pPr>
            <w:r>
              <w:rPr>
                <w:sz w:val="11"/>
              </w:rPr>
              <w:t>个</w:t>
            </w:r>
          </w:p>
        </w:tc>
        <w:tc>
          <w:tcPr>
            <w:tcW w:type="dxa" w:w="1474"/>
            <w:vAlign w:val="center"/>
            <w:tcBorders/>
          </w:tcPr>
          <w:p>
            <w:pPr>
              <w:spacing w:before="0" w:after="0" w:line="240" w:lineRule="auto"/>
            </w:pPr>
            <w:r>
              <w:rPr>
                <w:sz w:val="11"/>
              </w:rPr>
              <w:t>stage1_tasks导出</w:t>
            </w:r>
          </w:p>
        </w:tc>
      </w:tr>
      <w:tr>
        <w:tc>
          <w:tcPr>
            <w:tcW w:type="dxa" w:w="1531"/>
            <w:vAlign w:val="center"/>
            <w:gridSpan w:val="2"/>
            <w:tcBorders>
              <w:bottom w:val="single" w:sz="8" w:space="0" w:color="000000"/>
            </w:tcBorders>
          </w:tcPr>
          <w:p>
            <w:pPr>
              <w:spacing w:before="0" w:after="0" w:line="240" w:lineRule="auto"/>
            </w:pPr>
            <w:r>
              <w:rPr>
                <w:sz w:val="11"/>
              </w:rPr>
              <w:t>接续组织-接续周期</w:t>
            </w:r>
          </w:p>
        </w:tc>
        <w:tc>
          <w:tcPr>
            <w:tcW w:type="dxa" w:w="737"/>
            <w:vAlign w:val="center"/>
            <w:tcBorders>
              <w:bottom w:val="single" w:sz="8" w:space="0" w:color="000000"/>
            </w:tcBorders>
          </w:tcPr>
          <w:p>
            <w:pPr>
              <w:spacing w:before="0" w:after="0" w:line="240" w:lineRule="auto"/>
            </w:pPr>
            <w:r>
              <w:rPr>
                <w:sz w:val="11"/>
              </w:rPr>
              <w:t>136</w:t>
            </w:r>
          </w:p>
        </w:tc>
        <w:tc>
          <w:tcPr>
            <w:tcW w:type="dxa" w:w="454"/>
            <w:vAlign w:val="center"/>
            <w:tcBorders>
              <w:bottom w:val="single" w:sz="8" w:space="0" w:color="000000"/>
            </w:tcBorders>
          </w:tcPr>
          <w:p>
            <w:pPr>
              <w:spacing w:before="0" w:after="0" w:line="240" w:lineRule="auto"/>
            </w:pPr>
            <w:r>
              <w:rPr>
                <w:sz w:val="11"/>
              </w:rPr>
              <w:t>月</w:t>
            </w:r>
          </w:p>
        </w:tc>
        <w:tc>
          <w:tcPr>
            <w:tcW w:type="dxa" w:w="1474"/>
            <w:vAlign w:val="center"/>
            <w:tcBorders>
              <w:bottom w:val="single" w:sz="8" w:space="0" w:color="000000"/>
            </w:tcBorders>
          </w:tcPr>
          <w:p>
            <w:pPr>
              <w:spacing w:before="0" w:after="0" w:line="240" w:lineRule="auto"/>
            </w:pPr>
            <w:r>
              <w:rPr>
                <w:sz w:val="11"/>
              </w:rPr>
              <w:t>stage1_monthly/economics导出</w:t>
            </w:r>
          </w:p>
        </w:tc>
      </w:tr>
    </w:tbl>
    <w:p>
      <w:pPr>
        <w:pStyle w:val="10"/>
        <w:jc w:val="center"/>
      </w:pPr>
      <w:r>
        <w:drawing>
          <wp:inline xmlns:a="http://schemas.openxmlformats.org/drawingml/2006/main" xmlns:pic="http://schemas.openxmlformats.org/drawingml/2006/picture">
            <wp:extent cx="2664000" cy="1476573"/>
            <wp:docPr id="24631854" name="Picture 24631854"/>
            <wp:cNvGraphicFramePr>
              <a:graphicFrameLocks noChangeAspect="1"/>
            </wp:cNvGraphicFramePr>
            <a:graphic>
              <a:graphicData uri="http://schemas.openxmlformats.org/drawingml/2006/picture">
                <pic:pic>
                  <pic:nvPicPr>
                    <pic:cNvPr id="0" name="图5_采区规划布局结果图.png"/>
                    <pic:cNvPicPr/>
                  </pic:nvPicPr>
                  <pic:blipFill>
                    <a:blip r:embed="rId20"/>
                    <a:stretch>
                      <a:fillRect/>
                    </a:stretch>
                  </pic:blipFill>
                  <pic:spPr>
                    <a:xfrm>
                      <a:off x="0" y="0"/>
                      <a:ext cx="2664000" cy="1476573"/>
                    </a:xfrm>
                    <a:prstGeom prst="rect"/>
                  </pic:spPr>
                </pic:pic>
              </a:graphicData>
            </a:graphic>
          </wp:inline>
        </w:drawing>
      </w:r>
    </w:p>
    <w:p>
      <w:pPr>
        <w:pStyle w:val="14"/>
        <w:jc w:val="center"/>
      </w:pPr>
      <w:r>
        <w:t>图5 采区规划布局结果</w:t>
        <w:br/>
        <w:t>Fig.5 Planning layout result of the mining district</w:t>
      </w:r>
    </w:p>
    <w:p>
      <w:pPr>
        <w:pStyle w:val="10"/>
        <w:jc w:val="center"/>
      </w:pPr>
      <w:r>
        <w:drawing>
          <wp:inline xmlns:a="http://schemas.openxmlformats.org/drawingml/2006/main" xmlns:pic="http://schemas.openxmlformats.org/drawingml/2006/picture">
            <wp:extent cx="2664000" cy="2135326"/>
            <wp:docPr id="24631855" name="Picture 24631855"/>
            <wp:cNvGraphicFramePr>
              <a:graphicFrameLocks noChangeAspect="1"/>
            </wp:cNvGraphicFramePr>
            <a:graphic>
              <a:graphicData uri="http://schemas.openxmlformats.org/drawingml/2006/picture">
                <pic:pic>
                  <pic:nvPicPr>
                    <pic:cNvPr id="0" name="图6_规划布局与含水层扰动ODI场叠置图.png"/>
                    <pic:cNvPicPr/>
                  </pic:nvPicPr>
                  <pic:blipFill>
                    <a:blip r:embed="rId21"/>
                    <a:stretch>
                      <a:fillRect/>
                    </a:stretch>
                  </pic:blipFill>
                  <pic:spPr>
                    <a:xfrm>
                      <a:off x="0" y="0"/>
                      <a:ext cx="2664000" cy="2135326"/>
                    </a:xfrm>
                    <a:prstGeom prst="rect"/>
                  </pic:spPr>
                </pic:pic>
              </a:graphicData>
            </a:graphic>
          </wp:inline>
        </w:drawing>
      </w:r>
    </w:p>
    <w:p>
      <w:pPr>
        <w:pStyle w:val="14"/>
        <w:jc w:val="center"/>
      </w:pPr>
      <w:r>
        <w:t>图6 规划布局与含水层扰动ODI场叠置结果</w:t>
        <w:br/>
        <w:t>Fig.6 Overlay between planning layout and aquifer disturbance ODI field</w:t>
      </w:r>
    </w:p>
    <w:p>
      <w:pPr>
        <w:pStyle w:val="10"/>
        <w:jc w:val="center"/>
      </w:pPr>
      <w:r>
        <w:drawing>
          <wp:inline xmlns:a="http://schemas.openxmlformats.org/drawingml/2006/main" xmlns:pic="http://schemas.openxmlformats.org/drawingml/2006/picture">
            <wp:extent cx="2664000" cy="1635720"/>
            <wp:docPr id="24631856" name="Picture 24631856"/>
            <wp:cNvGraphicFramePr>
              <a:graphicFrameLocks noChangeAspect="1"/>
            </wp:cNvGraphicFramePr>
            <a:graphic>
              <a:graphicData uri="http://schemas.openxmlformats.org/drawingml/2006/picture">
                <pic:pic>
                  <pic:nvPicPr>
                    <pic:cNvPr id="0" name="图7_规划模式指标对比图.png"/>
                    <pic:cNvPicPr/>
                  </pic:nvPicPr>
                  <pic:blipFill>
                    <a:blip r:embed="rId22"/>
                    <a:stretch>
                      <a:fillRect/>
                    </a:stretch>
                  </pic:blipFill>
                  <pic:spPr>
                    <a:xfrm>
                      <a:off x="0" y="0"/>
                      <a:ext cx="2664000" cy="1635720"/>
                    </a:xfrm>
                    <a:prstGeom prst="rect"/>
                  </pic:spPr>
                </pic:pic>
              </a:graphicData>
            </a:graphic>
          </wp:inline>
        </w:drawing>
      </w:r>
    </w:p>
    <w:p>
      <w:pPr>
        <w:pStyle w:val="14"/>
        <w:jc w:val="center"/>
      </w:pPr>
      <w:r>
        <w:t>图7 多目标规划模式指标对比结果</w:t>
        <w:br/>
        <w:t>Fig.7 Comparison of indicators under different planning modes</w:t>
      </w:r>
    </w:p>
    <w:p w14:paraId="154413C3" w14:textId="77777777" w:rsidR="00A046E0" w:rsidRDefault="00A046E0" w:rsidP="00A046E0">
      <w:pPr>
        <w:spacing w:after="40"/>
        <w:rPr>
          <w:rFonts w:ascii="宋体" w:hAnsi="宋体" w:hint="eastAsia"/>
          <w:lang w:eastAsia="zh-CN"/>
        </w:rPr>
      </w:pPr>
    </w:p>
    <w:p w14:paraId="6FB6EBE4" w14:textId="77777777" w:rsidR="00DE4743" w:rsidRPr="00DE4743" w:rsidRDefault="00DE4743" w:rsidP="00A046E0">
      <w:pPr>
        <w:pStyle w:val="12"/>
        <w:rPr>
          <w:lang w:eastAsia="zh-CN"/>
        </w:rPr>
      </w:pPr>
      <w:r>
        <w:rPr>
          <w:rFonts w:ascii="宋体" w:hAnsi="宋体" w:eastAsia="宋体"/>
        </w:rPr>
        <w:t>3.2 规划结果向采掘接续与工程经济评价的传递</w:t>
      </w:r>
    </w:p>
    <w:p w14:paraId="578471AD" w14:textId="77777777" w:rsidR="00DE4743" w:rsidRPr="00DE4743" w:rsidRDefault="00DE4743" w:rsidP="00DE4743">
      <w:pPr>
        <w:pStyle w:val="10"/>
        <w:spacing w:after="40"/>
        <w:ind w:firstLine="420"/>
        <w:rPr>
          <w:rFonts w:ascii="宋体" w:hAnsi="宋体" w:hint="eastAsia"/>
          <w:lang w:eastAsia="zh-CN"/>
        </w:rPr>
      </w:pPr>
      <w:r>
        <w:t>本文方法的一个重要特点，是不把采区规划的几何布局视为终点，而是强调规划结果可以继续作为采掘接续和工程经济评价的上游输入。在本样例中，工作面边界、推进长度、布置面积和ODI统计量均已形成可传递的规划结果，后续环节可据此组织生产顺序、产量核算和经济评价。</w:t>
      </w:r>
    </w:p>
    <w:p w14:paraId="0F09F0C3" w14:textId="77777777" w:rsidR="00DE4743" w:rsidRPr="00DE4743" w:rsidRDefault="00DE4743" w:rsidP="00DE4743">
      <w:pPr>
        <w:pStyle w:val="10"/>
        <w:spacing w:after="40"/>
        <w:ind w:firstLine="420"/>
        <w:rPr>
          <w:rFonts w:ascii="宋体" w:hAnsi="宋体" w:hint="eastAsia"/>
          <w:lang w:eastAsia="zh-CN"/>
        </w:rPr>
      </w:pPr>
      <w:r>
        <w:t>在采掘接续层面，规划阶段形成的工作面边界和推进关系可映射为接续任务对象。当前导出的接续序列包含5个工作面，形成掘进、安装、回采和搬家等任务链条，接续周期为136个月，首个正产量月份为第10个月，月度产量峰值为197920.80 t。该结果说明规划对象已能够向生产组织序列传递，而不是仅作为静态平面图保留。</w:t>
      </w:r>
    </w:p>
    <w:p>
      <w:pPr>
        <w:pStyle w:val="10"/>
        <w:jc w:val="center"/>
      </w:pPr>
      <w:r>
        <w:drawing>
          <wp:inline xmlns:a="http://schemas.openxmlformats.org/drawingml/2006/main" xmlns:pic="http://schemas.openxmlformats.org/drawingml/2006/picture">
            <wp:extent cx="2664000" cy="1501446"/>
            <wp:docPr id="24631857" name="Picture 24631857"/>
            <wp:cNvGraphicFramePr>
              <a:graphicFrameLocks noChangeAspect="1"/>
            </wp:cNvGraphicFramePr>
            <a:graphic>
              <a:graphicData uri="http://schemas.openxmlformats.org/drawingml/2006/picture">
                <pic:pic>
                  <pic:nvPicPr>
                    <pic:cNvPr id="0" name="图8_采掘接续时序甘特图.png"/>
                    <pic:cNvPicPr/>
                  </pic:nvPicPr>
                  <pic:blipFill>
                    <a:blip r:embed="rId23"/>
                    <a:stretch>
                      <a:fillRect/>
                    </a:stretch>
                  </pic:blipFill>
                  <pic:spPr>
                    <a:xfrm>
                      <a:off x="0" y="0"/>
                      <a:ext cx="2664000" cy="1501446"/>
                    </a:xfrm>
                    <a:prstGeom prst="rect"/>
                  </pic:spPr>
                </pic:pic>
              </a:graphicData>
            </a:graphic>
          </wp:inline>
        </w:drawing>
      </w:r>
    </w:p>
    <w:p>
      <w:pPr>
        <w:pStyle w:val="14"/>
        <w:jc w:val="center"/>
      </w:pPr>
      <w:r>
        <w:t>图8 采掘接续时序甘特图</w:t>
        <w:br/>
        <w:t>Fig.8 Gantt chart of mining succession schedule</w:t>
      </w:r>
    </w:p>
    <w:p>
      <w:pPr>
        <w:pStyle w:val="10"/>
        <w:jc w:val="center"/>
      </w:pPr>
      <w:r>
        <w:drawing>
          <wp:inline xmlns:a="http://schemas.openxmlformats.org/drawingml/2006/main" xmlns:pic="http://schemas.openxmlformats.org/drawingml/2006/picture">
            <wp:extent cx="2664000" cy="1388124"/>
            <wp:docPr id="24631858" name="Picture 24631858"/>
            <wp:cNvGraphicFramePr>
              <a:graphicFrameLocks noChangeAspect="1"/>
            </wp:cNvGraphicFramePr>
            <a:graphic>
              <a:graphicData uri="http://schemas.openxmlformats.org/drawingml/2006/picture">
                <pic:pic>
                  <pic:nvPicPr>
                    <pic:cNvPr id="0" name="备选图A_月产量变化曲线图.png"/>
                    <pic:cNvPicPr/>
                  </pic:nvPicPr>
                  <pic:blipFill>
                    <a:blip r:embed="rId24"/>
                    <a:stretch>
                      <a:fillRect/>
                    </a:stretch>
                  </pic:blipFill>
                  <pic:spPr>
                    <a:xfrm>
                      <a:off x="0" y="0"/>
                      <a:ext cx="2664000" cy="1388124"/>
                    </a:xfrm>
                    <a:prstGeom prst="rect"/>
                  </pic:spPr>
                </pic:pic>
              </a:graphicData>
            </a:graphic>
          </wp:inline>
        </w:drawing>
      </w:r>
    </w:p>
    <w:p>
      <w:pPr>
        <w:pStyle w:val="14"/>
        <w:jc w:val="center"/>
      </w:pPr>
      <w:r>
        <w:t>图9 月度产量变化曲线</w:t>
        <w:br/>
        <w:t>Fig.9 Monthly production curve derived from the succession schedule</w:t>
      </w:r>
    </w:p>
    <w:p w14:paraId="08796CB7" w14:textId="77777777" w:rsidR="00DE4743" w:rsidRPr="00DE4743" w:rsidRDefault="00DE4743" w:rsidP="00DE4743">
      <w:pPr>
        <w:pStyle w:val="10"/>
        <w:spacing w:after="40"/>
        <w:ind w:firstLine="420"/>
        <w:rPr>
          <w:rFonts w:ascii="宋体" w:hAnsi="宋体" w:hint="eastAsia"/>
          <w:lang w:eastAsia="zh-CN"/>
        </w:rPr>
      </w:pPr>
      <w:r>
        <w:t>在调控层面，规划结果还可进一步转化为工作面级控制变量。当前工程效率优先方案采用50.0 m边界煤柱和30.0 m区段煤柱，并与覆盖率89.34%、推进长度合计15662.02 m、ODI均值0.3872和P90=0.7414等统计量对应，用于后续敏感性分析与方案复核。</w:t>
      </w:r>
    </w:p>
    <w:p w14:paraId="65AAF05C" w14:textId="77777777" w:rsidR="00DE4743" w:rsidRPr="00DE4743" w:rsidRDefault="00DE4743" w:rsidP="00DE4743">
      <w:pPr>
        <w:pStyle w:val="10"/>
        <w:spacing w:after="40"/>
        <w:ind w:firstLine="420"/>
        <w:rPr>
          <w:rFonts w:ascii="宋体" w:hAnsi="宋体" w:hint="eastAsia"/>
          <w:lang w:eastAsia="zh-CN"/>
        </w:rPr>
      </w:pPr>
      <w:r>
        <w:t>在工程经济评价层面，规划与接续结果可以继续进入收入、成本、风险联动成本和现金流分析过程。当前导出结果已形成136个月样例经济测算序列，按年折现率10%计算的净现值为911343.18万元，投资回收期为12个月，总收入为2431246.25万元，总成本为848798.80万元。上述结果仅用于说明规划对象向经济评价入口的传递能力，真实矿井经济结论仍需由生产制度、价格、成本和风险参数重新校核。</w:t>
      </w:r>
    </w:p>
    <w:p>
      <w:pPr>
        <w:pStyle w:val="10"/>
        <w:jc w:val="center"/>
      </w:pPr>
      <w:r>
        <w:drawing>
          <wp:inline xmlns:a="http://schemas.openxmlformats.org/drawingml/2006/main" xmlns:pic="http://schemas.openxmlformats.org/drawingml/2006/picture">
            <wp:extent cx="2664000" cy="1385138"/>
            <wp:docPr id="24631859" name="Picture 24631859"/>
            <wp:cNvGraphicFramePr>
              <a:graphicFrameLocks noChangeAspect="1"/>
            </wp:cNvGraphicFramePr>
            <a:graphic>
              <a:graphicData uri="http://schemas.openxmlformats.org/drawingml/2006/picture">
                <pic:pic>
                  <pic:nvPicPr>
                    <pic:cNvPr id="0" name="备选图B_采掘接续方案现金流分析图.png"/>
                    <pic:cNvPicPr/>
                  </pic:nvPicPr>
                  <pic:blipFill>
                    <a:blip r:embed="rId25"/>
                    <a:stretch>
                      <a:fillRect/>
                    </a:stretch>
                  </pic:blipFill>
                  <pic:spPr>
                    <a:xfrm>
                      <a:off x="0" y="0"/>
                      <a:ext cx="2664000" cy="1385138"/>
                    </a:xfrm>
                    <a:prstGeom prst="rect"/>
                  </pic:spPr>
                </pic:pic>
              </a:graphicData>
            </a:graphic>
          </wp:inline>
        </w:drawing>
      </w:r>
    </w:p>
    <w:p>
      <w:pPr>
        <w:pStyle w:val="14"/>
        <w:jc w:val="center"/>
      </w:pPr>
      <w:r>
        <w:t>图10 采掘接续方案现金流分析结果</w:t>
        <w:br/>
        <w:t>Fig.10 Cash-flow analysis result of the mining succession plan</w:t>
      </w:r>
    </w:p>
    <w:p w14:paraId="414D1A13" w14:textId="77777777" w:rsidR="00DE4743" w:rsidRDefault="00DE4743" w:rsidP="00DE4743">
      <w:pPr>
        <w:pStyle w:val="10"/>
        <w:spacing w:after="40"/>
        <w:ind w:firstLine="420"/>
        <w:rPr>
          <w:rFonts w:ascii="宋体" w:hAnsi="宋体" w:hint="eastAsia"/>
          <w:lang w:eastAsia="zh-CN"/>
        </w:rPr>
      </w:pPr>
      <w:r>
        <w:t>综上，研究区样例表明，本文方法已完成“边界与钻孔输入—参数场构建—ODI风险组织—规划对象生成—接续与经济评价输入”的连续运行过程。在28个钻孔、15个边界点和5399414.60 m²有效规划域条件下，方法形成5个工作面、4823901.28 m²布置面积、89.34%有效覆盖率、87.82工程效率评分以及136个月接续序列等可复核结果。其核心价值在于证明方法链和对象链已经贯通，而非证明某一单独模块在真实矿井条件下达到普适最优。</w:t>
      </w:r>
    </w:p>
    <w:p w14:paraId="45EE1469" w14:textId="77777777" w:rsidR="00081B10" w:rsidRDefault="00081B10" w:rsidP="00081B10">
      <w:pPr>
        <w:pStyle w:val="15"/>
        <w:spacing w:after="40"/>
        <w:ind w:firstLine="420"/>
        <w:jc w:val="center"/>
        <w:rPr>
          <w:rFonts w:ascii="宋体" w:hAnsi="宋体" w:hint="eastAsia"/>
          <w:lang w:eastAsia="zh-CN"/>
        </w:rPr>
      </w:pPr>
      <w:r>
        <w:t>表4 当前样例参数与ODI统计表</w:t>
      </w:r>
      <w:r>
        <w:br/>
      </w:r>
      <w:r>
        <w:t>Table 4 Parameters and ODI statistics of the current sample</w:t>
      </w:r>
    </w:p>
    <w:tbl>
      <w:tblPr>
        <w:tblW w:type="pct" w:w="5000"/>
        <w:jc w:val="center"/>
        <w:tblLayout w:type="fixed"/>
        <w:tblLook w:firstColumn="1" w:firstRow="1" w:lastColumn="0" w:lastRow="0" w:noHBand="0" w:noVBand="1" w:val="04A0"/>
      </w:tblPr>
      <w:tblGrid>
        <w:gridCol w:w="2017"/>
        <w:gridCol w:w="2017"/>
        <w:gridCol w:w="2017"/>
        <w:gridCol w:w="2017"/>
        <w:gridCol w:w="2017"/>
      </w:tblGrid>
      <w:tr>
        <w:tc>
          <w:tcPr>
            <w:tcW w:type="dxa" w:w="1020"/>
            <w:vAlign w:val="center"/>
            <w:tcBorders>
              <w:top w:val="single" w:sz="8" w:space="0" w:color="000000"/>
              <w:bottom w:val="single" w:sz="6" w:space="0" w:color="000000"/>
            </w:tcBorders>
          </w:tcPr>
          <w:p>
            <w:pPr>
              <w:spacing w:before="0" w:after="0" w:line="240" w:lineRule="auto"/>
            </w:pPr>
            <w:r>
              <w:rPr>
                <w:sz w:val="11"/>
              </w:rPr>
              <w:t>对象</w:t>
            </w:r>
          </w:p>
        </w:tc>
        <w:tc>
          <w:tcPr>
            <w:tcW w:type="dxa" w:w="1531"/>
            <w:vAlign w:val="center"/>
            <w:gridSpan w:val="2"/>
            <w:tcBorders>
              <w:top w:val="single" w:sz="8" w:space="0" w:color="000000"/>
              <w:bottom w:val="single" w:sz="6" w:space="0" w:color="000000"/>
            </w:tcBorders>
          </w:tcPr>
          <w:p>
            <w:pPr>
              <w:spacing w:before="0" w:after="0" w:line="240" w:lineRule="auto"/>
            </w:pPr>
            <w:r>
              <w:rPr>
                <w:sz w:val="11"/>
              </w:rPr>
              <w:t>当前样例取值/关联指标</w:t>
            </w:r>
          </w:p>
        </w:tc>
        <w:tc>
          <w:tcPr>
            <w:tcW w:type="dxa" w:w="1644"/>
            <w:vAlign w:val="center"/>
            <w:gridSpan w:val="2"/>
            <w:tcBorders>
              <w:top w:val="single" w:sz="8" w:space="0" w:color="000000"/>
              <w:bottom w:val="single" w:sz="6" w:space="0" w:color="000000"/>
            </w:tcBorders>
          </w:tcPr>
          <w:p>
            <w:pPr>
              <w:spacing w:before="0" w:after="0" w:line="240" w:lineRule="auto"/>
            </w:pPr>
            <w:r>
              <w:rPr>
                <w:sz w:val="11"/>
              </w:rPr>
              <w:t>用途</w:t>
            </w:r>
          </w:p>
        </w:tc>
      </w:tr>
      <w:tr>
        <w:tc>
          <w:tcPr>
            <w:tcW w:type="dxa" w:w="1020"/>
            <w:vAlign w:val="center"/>
            <w:tcBorders/>
          </w:tcPr>
          <w:p>
            <w:pPr>
              <w:spacing w:before="0" w:after="0" w:line="240" w:lineRule="auto"/>
            </w:pPr>
            <w:r>
              <w:rPr>
                <w:sz w:val="11"/>
              </w:rPr>
              <w:t>边界煤柱宽度</w:t>
            </w:r>
          </w:p>
        </w:tc>
        <w:tc>
          <w:tcPr>
            <w:tcW w:type="dxa" w:w="1531"/>
            <w:vAlign w:val="center"/>
            <w:gridSpan w:val="2"/>
            <w:tcBorders/>
          </w:tcPr>
          <w:p>
            <w:pPr>
              <w:spacing w:before="0" w:after="0" w:line="240" w:lineRule="auto"/>
            </w:pPr>
            <w:r>
              <w:rPr>
                <w:sz w:val="11"/>
              </w:rPr>
              <w:t>50.0 m；规划表导出</w:t>
            </w:r>
          </w:p>
        </w:tc>
        <w:tc>
          <w:tcPr>
            <w:tcW w:type="dxa" w:w="1644"/>
            <w:vAlign w:val="center"/>
            <w:gridSpan w:val="2"/>
            <w:tcBorders/>
          </w:tcPr>
          <w:p>
            <w:pPr>
              <w:spacing w:before="0" w:after="0" w:line="240" w:lineRule="auto"/>
            </w:pPr>
            <w:r>
              <w:rPr>
                <w:sz w:val="11"/>
              </w:rPr>
              <w:t>形成有效布置域</w:t>
            </w:r>
          </w:p>
        </w:tc>
      </w:tr>
      <w:tr>
        <w:tc>
          <w:tcPr>
            <w:tcW w:type="dxa" w:w="1020"/>
            <w:vAlign w:val="center"/>
            <w:tcBorders/>
          </w:tcPr>
          <w:p>
            <w:pPr>
              <w:spacing w:before="0" w:after="0" w:line="240" w:lineRule="auto"/>
            </w:pPr>
            <w:r>
              <w:rPr>
                <w:sz w:val="11"/>
              </w:rPr>
              <w:t>区段煤柱宽度</w:t>
            </w:r>
          </w:p>
        </w:tc>
        <w:tc>
          <w:tcPr>
            <w:tcW w:type="dxa" w:w="1531"/>
            <w:vAlign w:val="center"/>
            <w:gridSpan w:val="2"/>
            <w:tcBorders/>
          </w:tcPr>
          <w:p>
            <w:pPr>
              <w:spacing w:before="0" w:after="0" w:line="240" w:lineRule="auto"/>
            </w:pPr>
            <w:r>
              <w:rPr>
                <w:sz w:val="11"/>
              </w:rPr>
              <w:t>30.0 m；规划表导出</w:t>
            </w:r>
          </w:p>
        </w:tc>
        <w:tc>
          <w:tcPr>
            <w:tcW w:type="dxa" w:w="1644"/>
            <w:vAlign w:val="center"/>
            <w:gridSpan w:val="2"/>
            <w:tcBorders/>
          </w:tcPr>
          <w:p>
            <w:pPr>
              <w:spacing w:before="0" w:after="0" w:line="240" w:lineRule="auto"/>
            </w:pPr>
            <w:r>
              <w:rPr>
                <w:sz w:val="11"/>
              </w:rPr>
              <w:t>控制区段间距</w:t>
            </w:r>
          </w:p>
        </w:tc>
      </w:tr>
      <w:tr>
        <w:tc>
          <w:tcPr>
            <w:tcW w:type="dxa" w:w="1020"/>
            <w:vAlign w:val="center"/>
            <w:tcBorders/>
          </w:tcPr>
          <w:p>
            <w:pPr>
              <w:spacing w:before="0" w:after="0" w:line="240" w:lineRule="auto"/>
            </w:pPr>
            <w:r>
              <w:rPr>
                <w:sz w:val="11"/>
              </w:rPr>
              <w:t>有效规划域面积</w:t>
            </w:r>
          </w:p>
        </w:tc>
        <w:tc>
          <w:tcPr>
            <w:tcW w:type="dxa" w:w="1531"/>
            <w:vAlign w:val="center"/>
            <w:gridSpan w:val="2"/>
            <w:tcBorders/>
          </w:tcPr>
          <w:p>
            <w:pPr>
              <w:spacing w:before="0" w:after="0" w:line="240" w:lineRule="auto"/>
            </w:pPr>
            <w:r>
              <w:rPr>
                <w:sz w:val="11"/>
              </w:rPr>
              <w:t>5399414.60 m²；innerArea</w:t>
            </w:r>
          </w:p>
        </w:tc>
        <w:tc>
          <w:tcPr>
            <w:tcW w:type="dxa" w:w="1644"/>
            <w:vAlign w:val="center"/>
            <w:gridSpan w:val="2"/>
            <w:tcBorders/>
          </w:tcPr>
          <w:p>
            <w:pPr>
              <w:spacing w:before="0" w:after="0" w:line="240" w:lineRule="auto"/>
            </w:pPr>
            <w:r>
              <w:rPr>
                <w:sz w:val="11"/>
              </w:rPr>
              <w:t>作为覆盖率分母</w:t>
            </w:r>
          </w:p>
        </w:tc>
      </w:tr>
      <w:tr>
        <w:tc>
          <w:tcPr>
            <w:tcW w:type="dxa" w:w="1020"/>
            <w:vAlign w:val="center"/>
            <w:tcBorders/>
          </w:tcPr>
          <w:p>
            <w:pPr>
              <w:spacing w:before="0" w:after="0" w:line="240" w:lineRule="auto"/>
            </w:pPr>
            <w:r>
              <w:rPr>
                <w:sz w:val="11"/>
              </w:rPr>
              <w:t>ODI权重</w:t>
            </w:r>
          </w:p>
        </w:tc>
        <w:tc>
          <w:tcPr>
            <w:tcW w:type="dxa" w:w="1531"/>
            <w:vAlign w:val="center"/>
            <w:gridSpan w:val="2"/>
            <w:tcBorders/>
          </w:tcPr>
          <w:p>
            <w:pPr>
              <w:spacing w:before="0" w:after="0" w:line="240" w:lineRule="auto"/>
            </w:pPr>
            <w:r>
              <w:rPr>
                <w:sz w:val="11"/>
              </w:rPr>
              <w:t>0.15/0.25/0.60；统一加权</w:t>
            </w:r>
          </w:p>
        </w:tc>
        <w:tc>
          <w:tcPr>
            <w:tcW w:type="dxa" w:w="1644"/>
            <w:vAlign w:val="center"/>
            <w:gridSpan w:val="2"/>
            <w:tcBorders/>
          </w:tcPr>
          <w:p>
            <w:pPr>
              <w:spacing w:before="0" w:after="0" w:line="240" w:lineRule="auto"/>
            </w:pPr>
            <w:r>
              <w:rPr>
                <w:sz w:val="11"/>
              </w:rPr>
              <w:t>形成风险场</w:t>
            </w:r>
          </w:p>
        </w:tc>
      </w:tr>
      <w:tr>
        <w:tc>
          <w:tcPr>
            <w:tcW w:type="dxa" w:w="1020"/>
            <w:vAlign w:val="center"/>
            <w:tcBorders/>
          </w:tcPr>
          <w:p>
            <w:pPr>
              <w:spacing w:before="0" w:after="0" w:line="240" w:lineRule="auto"/>
            </w:pPr>
            <w:r>
              <w:rPr>
                <w:sz w:val="11"/>
              </w:rPr>
              <w:t>扰动控制方案</w:t>
            </w:r>
          </w:p>
        </w:tc>
        <w:tc>
          <w:tcPr>
            <w:tcW w:type="dxa" w:w="1531"/>
            <w:vAlign w:val="center"/>
            <w:gridSpan w:val="2"/>
            <w:tcBorders/>
          </w:tcPr>
          <w:p>
            <w:pPr>
              <w:spacing w:before="0" w:after="0" w:line="240" w:lineRule="auto"/>
            </w:pPr>
            <w:r>
              <w:rPr>
                <w:sz w:val="11"/>
              </w:rPr>
              <w:t>ODI均值0.3872；P90=0.7414；ODI&gt;0.70比例14.25%</w:t>
            </w:r>
          </w:p>
        </w:tc>
        <w:tc>
          <w:tcPr>
            <w:tcW w:type="dxa" w:w="1644"/>
            <w:vAlign w:val="center"/>
            <w:gridSpan w:val="2"/>
            <w:tcBorders/>
          </w:tcPr>
          <w:p>
            <w:pPr>
              <w:spacing w:before="0" w:after="0" w:line="240" w:lineRule="auto"/>
            </w:pPr>
            <w:r>
              <w:rPr>
                <w:sz w:val="11"/>
              </w:rPr>
              <w:t>评价风险暴露</w:t>
            </w:r>
          </w:p>
        </w:tc>
      </w:tr>
      <w:tr>
        <w:tc>
          <w:tcPr>
            <w:tcW w:type="dxa" w:w="1020"/>
            <w:vAlign w:val="center"/>
            <w:tcBorders>
              <w:bottom w:val="single" w:sz="8" w:space="0" w:color="000000"/>
            </w:tcBorders>
          </w:tcPr>
          <w:p>
            <w:pPr>
              <w:spacing w:before="0" w:after="0" w:line="240" w:lineRule="auto"/>
            </w:pPr>
            <w:r>
              <w:rPr>
                <w:sz w:val="11"/>
              </w:rPr>
              <w:t>接续与经济入口</w:t>
            </w:r>
          </w:p>
        </w:tc>
        <w:tc>
          <w:tcPr>
            <w:tcW w:type="dxa" w:w="1531"/>
            <w:vAlign w:val="center"/>
            <w:gridSpan w:val="2"/>
            <w:tcBorders>
              <w:bottom w:val="single" w:sz="8" w:space="0" w:color="000000"/>
            </w:tcBorders>
          </w:tcPr>
          <w:p>
            <w:pPr>
              <w:spacing w:before="0" w:after="0" w:line="240" w:lineRule="auto"/>
            </w:pPr>
            <w:r>
              <w:rPr>
                <w:sz w:val="11"/>
              </w:rPr>
              <w:t>136个月；NPV 911343.18万元；回收期12个月</w:t>
            </w:r>
          </w:p>
        </w:tc>
        <w:tc>
          <w:tcPr>
            <w:tcW w:type="dxa" w:w="1644"/>
            <w:vAlign w:val="center"/>
            <w:gridSpan w:val="2"/>
            <w:tcBorders>
              <w:bottom w:val="single" w:sz="8" w:space="0" w:color="000000"/>
            </w:tcBorders>
          </w:tcPr>
          <w:p>
            <w:pPr>
              <w:spacing w:before="0" w:after="0" w:line="240" w:lineRule="auto"/>
            </w:pPr>
            <w:r>
              <w:rPr>
                <w:sz w:val="11"/>
              </w:rPr>
              <w:t>作为下游输入示例</w:t>
            </w:r>
          </w:p>
        </w:tc>
      </w:tr>
    </w:tbl>
    <w:p w14:paraId="061F4C3F" w14:textId="77777777" w:rsidR="007E22B6" w:rsidRDefault="00DE4743" w:rsidP="00A046E0">
      <w:pPr>
        <w:pStyle w:val="11"/>
        <w:rPr>
          <w:lang w:eastAsia="zh-CN"/>
        </w:rPr>
      </w:pPr>
      <w:r>
        <w:rPr>
          <w:rFonts w:ascii="宋体" w:hAnsi="宋体" w:eastAsia="宋体"/>
        </w:rPr>
        <w:t>4 讨论</w:t>
      </w:r>
    </w:p>
    <w:p w14:paraId="79BCD0B2" w14:textId="77777777" w:rsidR="007E22B6" w:rsidRDefault="00DE4743" w:rsidP="00A046E0">
      <w:pPr>
        <w:pStyle w:val="12"/>
        <w:rPr>
          <w:lang w:eastAsia="zh-CN"/>
        </w:rPr>
      </w:pPr>
      <w:r>
        <w:rPr>
          <w:rFonts w:ascii="宋体" w:hAnsi="宋体" w:eastAsia="宋体"/>
        </w:rPr>
        <w:t>4.1 ODI 前置约束对采区规划的作用</w:t>
      </w:r>
    </w:p>
    <w:p w14:paraId="5B9F2543"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传统采区规划多采用“先形成布局方案、再开展风险校核”的串行方式。该流程容易使地表沉陷、含水层扰动和上行开采等风险因素停留在后验修正环节，一旦校核不满足要求，往往需要重新调整边界、工作面和巷道布置。本文将ODI作为前置约束，使风险信息在候选布局形成阶段即参与空间筛选和统计评价。</w:t>
      </w:r>
    </w:p>
    <w:p w14:paraId="03656B10" w14:textId="77777777" w:rsidR="00DE4743" w:rsidRPr="00DE4743" w:rsidRDefault="00DE4743" w:rsidP="00DE4743">
      <w:pPr>
        <w:pStyle w:val="10"/>
        <w:spacing w:after="40"/>
        <w:ind w:firstLine="420"/>
        <w:rPr>
          <w:rFonts w:ascii="宋体" w:hAnsi="宋体" w:hint="eastAsia"/>
          <w:lang w:eastAsia="zh-CN"/>
        </w:rPr>
      </w:pPr>
      <w:r>
        <w:t>从研究区样例看，ODI场提供了可量化的风险入口：ODI均值0.3872反映总体扰动水平，P90=0.7414反映高分位风险，ODI&gt;0.70比例为14.25%，可用于识别高扰动敏感区并指导工作面避让或降权。</w:t>
      </w:r>
    </w:p>
    <w:p w14:paraId="64C8F19E" w14:textId="77777777" w:rsidR="000B659F" w:rsidRPr="000B659F" w:rsidRDefault="00DE4743" w:rsidP="00DE4743">
      <w:pPr>
        <w:pStyle w:val="10"/>
        <w:spacing w:after="40"/>
        <w:ind w:firstLine="420"/>
        <w:rPr>
          <w:rFonts w:ascii="宋体" w:hAnsi="宋体" w:hint="eastAsia"/>
          <w:lang w:eastAsia="zh-CN"/>
        </w:rPr>
      </w:pPr>
      <w:r>
        <w:rPr>
          <w:rFonts w:ascii="宋体" w:hAnsi="宋体" w:eastAsia="宋体"/>
        </w:rPr>
        <w:t>进一步看，ODI统一表达的价值还体现在连续传递能力上。由于ODI在规划阶段已形成方案级统计指标，因此可直接作为后续采高调控、采掘接续和经济评价的上游输入，不需要在下游环节重新定义风险口径。</w:t>
      </w:r>
    </w:p>
    <w:p w14:paraId="0BEA2C11" w14:textId="77777777" w:rsidR="007E22B6" w:rsidRDefault="007E22B6">
      <w:pPr>
        <w:rPr>
          <w:lang w:eastAsia="zh-CN"/>
        </w:rPr>
      </w:pPr>
    </w:p>
    <w:p w14:paraId="31A950B5" w14:textId="77777777" w:rsidR="007E22B6" w:rsidRDefault="00DE4743" w:rsidP="00A046E0">
      <w:pPr>
        <w:pStyle w:val="12"/>
        <w:rPr>
          <w:lang w:eastAsia="zh-CN"/>
        </w:rPr>
      </w:pPr>
      <w:r>
        <w:rPr>
          <w:rFonts w:ascii="宋体" w:hAnsi="宋体" w:eastAsia="宋体"/>
        </w:rPr>
        <w:t>4.2 参数场驱动的规划方法相对于传统经验布置的意义</w:t>
      </w:r>
    </w:p>
    <w:p w14:paraId="478A0300"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采区规划结果的可靠性不仅取决于边界几何条件，还与地质属性的空间连续变化密切相关。传统经验式布置能够快速形成初始形态，但对钻孔控制下的厚度差异、资源富集区和低厚度区响应不足，容易造成资源评价与几何布置脱节。</w:t>
      </w:r>
    </w:p>
    <w:p w14:paraId="14A1E946"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研究区样例表明，参数场引入后，高低厚度区在规划评价中的作用可以被区分：样点煤厚从2.8 m变化到4.8 m，平均值为3.7933 m。高厚度区在资源覆盖评价中更具吸引力，而低厚度区则提示布局需结合边界约束和风险约束进行权衡。</w:t>
      </w:r>
    </w:p>
    <w:p w14:paraId="227EE6D7" w14:textId="77777777" w:rsidR="000B659F" w:rsidRPr="000B659F" w:rsidRDefault="00DE4743" w:rsidP="00DE4743">
      <w:pPr>
        <w:pStyle w:val="10"/>
        <w:spacing w:after="40"/>
        <w:ind w:firstLine="420"/>
        <w:rPr>
          <w:rFonts w:ascii="宋体" w:hAnsi="宋体" w:hint="eastAsia"/>
          <w:lang w:eastAsia="zh-CN"/>
        </w:rPr>
      </w:pPr>
      <w:r>
        <w:rPr>
          <w:rFonts w:ascii="宋体" w:hAnsi="宋体" w:eastAsia="宋体"/>
        </w:rPr>
        <w:t>因此，参数场不是独立的地质建模结果，而是服务规划决策的中间环节。只有当参数场、风险场和几何对象被组织在统一空间参照之下，规划结果才可能进一步传递至采掘接续与工程经济分析。</w:t>
      </w:r>
    </w:p>
    <w:p w14:paraId="796A99B9" w14:textId="77777777" w:rsidR="007E22B6" w:rsidRDefault="00DE4743" w:rsidP="00A046E0">
      <w:pPr>
        <w:pStyle w:val="12"/>
        <w:rPr>
          <w:lang w:eastAsia="zh-CN"/>
        </w:rPr>
      </w:pPr>
      <w:r>
        <w:rPr>
          <w:rFonts w:ascii="宋体" w:hAnsi="宋体" w:eastAsia="宋体"/>
        </w:rPr>
        <w:t>4.3 后续深化方向</w:t>
      </w:r>
    </w:p>
    <w:p w14:paraId="09984353" w14:textId="77777777" w:rsidR="00DE4743" w:rsidRPr="00DE4743" w:rsidRDefault="00DE4743" w:rsidP="00DE4743">
      <w:pPr>
        <w:pStyle w:val="10"/>
        <w:spacing w:after="40"/>
        <w:ind w:firstLine="420"/>
        <w:rPr>
          <w:rFonts w:ascii="宋体" w:hAnsi="宋体" w:hint="eastAsia"/>
          <w:lang w:eastAsia="zh-CN"/>
        </w:rPr>
      </w:pPr>
      <w:r>
        <w:t>本文当前结果主要证明所提方法在样例条件下的链路贯通能力，即能够实现采区边界、钻孔样点、连续参数场、ODI风险场、规划对象、接续任务和经济评价入口之间的连续组织与传递。现有结果形成5个工作面、15662.02 m推进长度和136个月接续序列，说明该方法在方法链和对象链层面具有较好的完整性。</w:t>
      </w:r>
    </w:p>
    <w:p w14:paraId="315B7708"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同时，本文结论具有明确适用边界。当前验证主要基于样例级输入和既有程序输出，尚未形成多个真实矿井案例下的系统对照，因此现阶段更适合支撑“方法可行”和“链路贯通”的结论，而不宜扩展为真实矿井条件下的优选幅度判断。</w:t>
      </w:r>
    </w:p>
    <w:p w14:paraId="1CF24A5F" w14:textId="77777777" w:rsidR="00DE4743" w:rsidRPr="00DE4743" w:rsidRDefault="00DE4743" w:rsidP="00DE4743">
      <w:pPr>
        <w:pStyle w:val="10"/>
        <w:spacing w:after="40"/>
        <w:ind w:firstLine="420"/>
        <w:rPr>
          <w:rFonts w:ascii="宋体" w:hAnsi="宋体" w:hint="eastAsia"/>
          <w:lang w:eastAsia="zh-CN"/>
        </w:rPr>
      </w:pPr>
      <w:r>
        <w:t>后续研究应在实矿数据中补充多方案对照、调控参数敏感性分析、现场生产制度约束、经济参数标定和风险成本校核，使当前已经打通的方法链进一步转化为可量化、可审计的工程优选依据。</w:t>
      </w:r>
    </w:p>
    <w:p w14:paraId="161BD789" w14:textId="77777777" w:rsidR="007E22B6" w:rsidRDefault="00DE4743" w:rsidP="00A046E0">
      <w:pPr>
        <w:pStyle w:val="11"/>
        <w:rPr>
          <w:lang w:eastAsia="zh-CN"/>
        </w:rPr>
      </w:pPr>
      <w:r>
        <w:rPr>
          <w:rFonts w:ascii="宋体" w:hAnsi="宋体" w:eastAsia="宋体"/>
        </w:rPr>
        <w:t>5 结论</w:t>
      </w:r>
    </w:p>
    <w:p w14:paraId="45285F03"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1）针对采区规划中地质信息离散、风险约束异构以及规划结果与后续评价脱节的问题，提出了基于ODI约束的采区多目标协同规划方法，构建了“有效布置域—连续参数场—ODI风险场—规划对象—后续评价输入”的一体化决策链。</w:t>
      </w:r>
    </w:p>
    <w:p w14:paraId="38D1D16E" w14:textId="77777777" w:rsidR="00DE4743" w:rsidRPr="00DE4743" w:rsidRDefault="00DE4743" w:rsidP="00DE4743">
      <w:pPr>
        <w:pStyle w:val="10"/>
        <w:spacing w:after="40"/>
        <w:ind w:firstLine="420"/>
        <w:rPr>
          <w:rFonts w:ascii="宋体" w:hAnsi="宋体" w:hint="eastAsia"/>
          <w:lang w:eastAsia="zh-CN"/>
        </w:rPr>
      </w:pPr>
      <w:r>
        <w:t>2）通过将地表沉陷、含水层扰动和上行开采等多场景风险统一组织为ODI指标，实现了异构风险在同一尺度下的前置表达。样例扰动控制口径下ODI均值为0.3872，P90为0.7414，ODI&gt;0.70比例为14.25%，能够为高扰动敏感区识别和方案级风险统计提供依据。</w:t>
      </w:r>
    </w:p>
    <w:p w14:paraId="645C2C8B" w14:textId="77777777" w:rsidR="00DE4743" w:rsidRPr="00DE4743" w:rsidRDefault="00DE4743" w:rsidP="00DE4743">
      <w:pPr>
        <w:pStyle w:val="10"/>
        <w:spacing w:after="40"/>
        <w:ind w:firstLine="420"/>
        <w:rPr>
          <w:rFonts w:ascii="宋体" w:hAnsi="宋体" w:hint="eastAsia"/>
          <w:lang w:eastAsia="zh-CN"/>
        </w:rPr>
      </w:pPr>
      <w:r>
        <w:t>3）研究区样例验证表明，在28个钻孔样点、15个边界点和5399414.60 m²有效规划域条件下，方法形成5个工作面，布置面积4823901.28 m²，推进长度合计15662.02 m，有效覆盖率89.34%，工程效率评分87.82，说明规划结果能够由输入数据稳定传递为工程布置对象。</w:t>
      </w:r>
    </w:p>
    <w:p w14:paraId="3F25CA8E" w14:textId="77777777" w:rsidR="00DE4743" w:rsidRPr="00DE4743" w:rsidRDefault="00DE4743" w:rsidP="00DE4743">
      <w:pPr>
        <w:pStyle w:val="10"/>
        <w:spacing w:after="40"/>
        <w:ind w:firstLine="420"/>
        <w:rPr>
          <w:rFonts w:ascii="宋体" w:hAnsi="宋体" w:hint="eastAsia"/>
          <w:lang w:eastAsia="zh-CN"/>
        </w:rPr>
      </w:pPr>
      <w:r>
        <w:t>4）当前结果主要支撑样例条件下的方法贯通和对象链有效性。接续导出结果形成136个月月度序列，并可传递至样例现金流测算；真实矿井条件下的工程优选结论仍需结合实矿案例、参数标定、现场约束和经济评价数据进一步检验。</w:t>
      </w:r>
    </w:p>
    <w:p w14:paraId="27D87F4E" w14:textId="77777777" w:rsidR="007E22B6" w:rsidRDefault="00000000" w:rsidP="00A046E0">
      <w:pPr>
        <w:pStyle w:val="11"/>
      </w:pPr>
      <w:r>
        <w:rPr>
          <w:rFonts w:ascii="宋体" w:hAnsi="宋体" w:eastAsia="宋体"/>
        </w:rPr>
        <w:t>参考文献</w:t>
      </w:r>
    </w:p>
    <w:p w14:paraId="3798A562" w14:textId="77777777" w:rsidR="007E22B6" w:rsidRDefault="00000000">
      <w:pPr>
        <w:pStyle w:val="17"/>
        <w:spacing w:after="40"/>
        <w:ind w:left="420" w:hanging="420"/>
      </w:pPr>
      <w:r>
        <w:t>[1]</w:t>
        <w:tab/>
        <w:t>WU Xuefei, LI Hongxia, WANG Baoli, et al. Review on improvements to the safety level of coal mines by applying intelligent coal mining[J]. Sustainability, 2022, 14(24): 16400. DOI: 10.3390/su142416400.</w:t>
      </w:r>
    </w:p>
    <w:p w14:paraId="760D7677" w14:textId="77777777" w:rsidR="007E22B6" w:rsidRDefault="00000000">
      <w:pPr>
        <w:pStyle w:val="17"/>
        <w:spacing w:after="40"/>
        <w:ind w:left="420" w:hanging="420"/>
      </w:pPr>
      <w:r>
        <w:t>[2]</w:t>
        <w:tab/>
        <w:t>WANG Guofa, REN Huaiwei, ZHAO Guorui, et al. Research and practice of intelligent coal mine technology systems in China[J]. International Journal of Coal Science &amp; Technology, 2022, 9(1). DOI: 10.1007/s40789-022-00491-3.</w:t>
      </w:r>
    </w:p>
    <w:p w14:paraId="7D86B993" w14:textId="77777777" w:rsidR="007E22B6" w:rsidRDefault="00000000">
      <w:pPr>
        <w:pStyle w:val="17"/>
        <w:spacing w:after="40"/>
        <w:ind w:left="420" w:hanging="420"/>
      </w:pPr>
      <w:r>
        <w:t>[3]</w:t>
        <w:tab/>
        <w:t>ZHANG Kexue, KANG Lei, CHEN Xuexi, et al. A review of intelligent unmanned mining current situation and development trend[J]. Energies, 2022, 15(2): 513. DOI: 10.3390/en15020513.</w:t>
      </w:r>
    </w:p>
    <w:p w14:paraId="348A3078" w14:textId="77777777" w:rsidR="007E22B6" w:rsidRDefault="00000000">
      <w:pPr>
        <w:pStyle w:val="17"/>
        <w:spacing w:after="40"/>
        <w:ind w:left="420" w:hanging="420"/>
      </w:pPr>
      <w:r>
        <w:t>[4]</w:t>
        <w:tab/>
        <w:t>YANG Yi, LI Yingchun, WANG Lujun, et al. On strata damage and stress disturbance induced by coal mining based on physical similarity simulation experiments[J]. Scientific Reports, 2023, 13(1). DOI: 10.1038/s41598-023-42148-4.</w:t>
      </w:r>
    </w:p>
    <w:p w14:paraId="34722D02" w14:textId="77777777" w:rsidR="007E22B6" w:rsidRDefault="00000000">
      <w:pPr>
        <w:pStyle w:val="17"/>
        <w:spacing w:after="40"/>
        <w:ind w:left="420" w:hanging="420"/>
      </w:pPr>
      <w:r>
        <w:t>[5]</w:t>
        <w:tab/>
        <w:t>REN Yiwei, YUAN Qiang, CHEN Jie, et al. Evolution characteristics of mining-induced fractures in overburden strata under close-multi coal seams mining based on optical fiber monitoring[J]. Engineering Geology, 2024, 343: 107802. DOI: 10.1016/j.enggeo.2024.107802.</w:t>
      </w:r>
    </w:p>
    <w:p w14:paraId="1B356F29" w14:textId="77777777" w:rsidR="007E22B6" w:rsidRDefault="00000000">
      <w:pPr>
        <w:pStyle w:val="17"/>
        <w:spacing w:after="40"/>
        <w:ind w:left="420" w:hanging="420"/>
      </w:pPr>
      <w:r>
        <w:t>[6]</w:t>
        <w:tab/>
        <w:t>YANG Xiao, SHI Longqing, QIU Mei, et al. Spatiotemporal evolution patterns of mining-induced overburden damage based on microseismic event response analysis[J]. Journal of Applied Geophysics, 2025, 242: 105876. DOI: 10.1016/j.jappgeo.2025.105876.</w:t>
      </w:r>
    </w:p>
    <w:p w14:paraId="6BF62BAB" w14:textId="77777777" w:rsidR="007E22B6" w:rsidRDefault="00000000">
      <w:pPr>
        <w:pStyle w:val="17"/>
        <w:spacing w:after="40"/>
        <w:ind w:left="420" w:hanging="420"/>
      </w:pPr>
      <w:r>
        <w:t>[7]</w:t>
        <w:tab/>
        <w:t>ZHANG Jie, WANG Li, YANG Tao, et al. Study on overburden failure characteristics and ground pressure behavior in shallow coal seam mining underneath the gully[J]. Frontiers in Earth Science, 2024, 12. DOI: 10.3389/feart.2024.1375979.</w:t>
      </w:r>
    </w:p>
    <w:p w14:paraId="5DF62CAA" w14:textId="77777777" w:rsidR="007E22B6" w:rsidRDefault="00000000">
      <w:pPr>
        <w:pStyle w:val="17"/>
        <w:spacing w:after="40"/>
        <w:ind w:left="420" w:hanging="420"/>
      </w:pPr>
      <w:r>
        <w:t>[8]</w:t>
        <w:tab/>
        <w:t>CAO Jian, HUANG Qingxiang, GUO Lingfei. Subsidence prediction of overburden strata and ground surface in shallow coal seam mining[J]. Scientific Reports, 2021, 11(1). DOI: 10.1038/s41598-021-98520-9.</w:t>
      </w:r>
    </w:p>
    <w:p w14:paraId="481C652D" w14:textId="77777777" w:rsidR="007E22B6" w:rsidRDefault="00000000">
      <w:pPr>
        <w:pStyle w:val="17"/>
        <w:spacing w:after="40"/>
        <w:ind w:left="420" w:hanging="420"/>
      </w:pPr>
      <w:r>
        <w:t>[9]</w:t>
        <w:tab/>
        <w:t>PRAKASH Amar, BHARTI Abhay Kumar, VERMA Aniket. Unearthing underground mining-induced strata disturbance by electrical resistivity tomography interpretation[J]. Environmental &amp; Engineering Geoscience, 2022, 28(4): 361-369. DOI: 10.2113/eeg-d-21-00073.</w:t>
      </w:r>
    </w:p>
    <w:p w14:paraId="04624D03" w14:textId="77777777" w:rsidR="007E22B6" w:rsidRDefault="00000000">
      <w:pPr>
        <w:pStyle w:val="17"/>
        <w:spacing w:after="40"/>
        <w:ind w:left="420" w:hanging="420"/>
      </w:pPr>
      <w:r>
        <w:t>[10]</w:t>
        <w:tab/>
        <w:t>SHI Xiuchang, ZHANG Jixing. Characteristics of overburden failure and fracture evolution in shallow buried working face with large mining height[J]. Sustainability, 2021, 13(24): 13775. DOI: 10.3390/su132413775.</w:t>
      </w:r>
    </w:p>
    <w:p w14:paraId="4A312183" w14:textId="77777777" w:rsidR="007E22B6" w:rsidRDefault="00000000">
      <w:pPr>
        <w:pStyle w:val="17"/>
        <w:spacing w:after="40"/>
        <w:ind w:left="420" w:hanging="420"/>
      </w:pPr>
      <w:r>
        <w:t>[11]</w:t>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59DF8BFC" w14:textId="77777777" w:rsidR="007E22B6" w:rsidRDefault="00000000">
      <w:pPr>
        <w:pStyle w:val="17"/>
        <w:spacing w:after="40"/>
        <w:ind w:left="420" w:hanging="420"/>
      </w:pPr>
      <w:r>
        <w:t>[12]</w:t>
        <w:tab/>
        <w:t>SHAN Yang, KE Li, XIANG Jun, et al. Multi-objective optimisation based on NSGA-II of mine cut-off grade from the perspective of resource security[J]. International Journal of Mining, Reclamation and Environment, 2025: 1-20. DOI: 10.1080/17480930.2025.2532460.</w:t>
      </w:r>
    </w:p>
    <w:p w14:paraId="700A23E0" w14:textId="77777777" w:rsidR="007E22B6" w:rsidRDefault="00000000">
      <w:pPr>
        <w:pStyle w:val="17"/>
        <w:spacing w:after="40"/>
        <w:ind w:left="420" w:hanging="420"/>
      </w:pPr>
      <w:r>
        <w:t>[13]</w:t>
        <w:tab/>
        <w:t>GU Xiaowei, WANG Xunhong, LIU Zaobao, et al. A multi-objective optimization model using improved NSGA-II for optimizing metal mines production process[J]. IEEE Access, 2020, 8: 28847-28858. DOI: 10.1109/access.2020.2972018.</w:t>
      </w:r>
    </w:p>
    <w:p w14:paraId="500F46B4" w14:textId="77777777" w:rsidR="007E22B6" w:rsidRDefault="00000000">
      <w:pPr>
        <w:pStyle w:val="17"/>
        <w:spacing w:after="40"/>
        <w:ind w:left="420" w:hanging="420"/>
      </w:pPr>
      <w:r>
        <w:t>[14]</w:t>
        <w:tab/>
        <w:t>NESBITT Peter, BLAKE Lewis R., LAMAS Patricio, et al. Underground mine scheduling under uncertainty[J]. European Journal of Operational Research, 2021, 294(1): 340-352. DOI: 10.1016/j.ejor.2021.01.011.</w:t>
      </w:r>
    </w:p>
    <w:p w14:paraId="75184AD1" w14:textId="77777777" w:rsidR="007E22B6" w:rsidRDefault="00000000">
      <w:pPr>
        <w:pStyle w:val="17"/>
        <w:spacing w:after="40"/>
        <w:ind w:left="420" w:hanging="420"/>
      </w:pPr>
      <w:r>
        <w:t>[15]</w:t>
        <w:tab/>
        <w:t>PATHIRANAGE Ishara Hewa, NEUMANN Aneta. Multi-objective evolutionary optimization for large-scale open pit mine scheduling[C]//2024 IEEE Congress on Evolutionary Computation (CEC). 2024: 1-8. DOI: 10.1109/CEC60901.2024.10612008.</w:t>
      </w:r>
    </w:p>
    <w:p w14:paraId="3FFB358D" w14:textId="77777777" w:rsidR="007E22B6" w:rsidRDefault="00000000">
      <w:pPr>
        <w:pStyle w:val="17"/>
        <w:spacing w:after="40"/>
        <w:ind w:left="420" w:hanging="420"/>
      </w:pPr>
      <w:r>
        <w:t>[16]</w:t>
        <w:tab/>
        <w:t>ZHANG Xuhui, LV Xinyuan, WANG Yan, et al. Production process management for intelligent coal mining based on digital twin[M]//Digital Twin Driven Service. 2022: 251-277. DOI: 10.1016/B978-0-323-91300-3.00008-5.</w:t>
      </w:r>
    </w:p>
    <w:p w14:paraId="2342455B" w14:textId="77777777" w:rsidR="007E22B6" w:rsidRDefault="00000000">
      <w:pPr>
        <w:pStyle w:val="17"/>
        <w:spacing w:after="40"/>
        <w:ind w:left="420" w:hanging="420"/>
      </w:pPr>
      <w:r>
        <w:t>[17]</w:t>
        <w:tab/>
        <w:t>QU Juncong, KIZIL Mehmet S., YAHYAEI Mohsen, et al. Digital twins in the minerals industry: a comprehensive review[J]. Mining Technology, 2023, 132(4): 267-289. DOI: 10.1080/25726668.2023.2257479.</w:t>
      </w:r>
    </w:p>
    <w:p w14:paraId="406B7373" w14:textId="77777777" w:rsidR="007E22B6" w:rsidRDefault="00000000">
      <w:pPr>
        <w:pStyle w:val="17"/>
        <w:spacing w:after="40"/>
        <w:ind w:left="420" w:hanging="420"/>
      </w:pPr>
      <w:r>
        <w:t>[18]</w:t>
        <w:tab/>
        <w:t>PAN Dongdong, XU Zhenhao, LU Xinming, et al. 3D scene and geological modeling using integrated multi-source spatial data: methodology, challenges, and suggestions[J]. Tunnelling and Underground Space Technology, 2020, 100: 103393. DOI: 10.1016/j.tust.2020.103393.</w:t>
      </w:r>
    </w:p>
    <w:p w14:paraId="7538CFE0" w14:textId="77777777" w:rsidR="007E22B6" w:rsidRDefault="00000000">
      <w:pPr>
        <w:pStyle w:val="17"/>
        <w:spacing w:after="40"/>
        <w:ind w:left="420" w:hanging="420"/>
      </w:pPr>
      <w:r>
        <w:t>[19]</w:t>
        <w:tab/>
        <w:t>AHMED Haitham M., ADEWUYI Sefiu, AHMED Hussin M. A. Continuous cash flow modeling for economic evaluation and risk analysis in mine planning using Monte Carlo simulation[J]. Journal of King Abdulaziz University: Engineering Sciences, 2024, 34(2). DOI: 10.4197/eng.34-2.6.</w:t>
      </w:r>
    </w:p>
    <w:p w14:paraId="1F8BC10F" w14:textId="77777777" w:rsidR="007E22B6" w:rsidRDefault="00000000">
      <w:pPr>
        <w:pStyle w:val="17"/>
        <w:spacing w:after="40"/>
        <w:ind w:left="420" w:hanging="420"/>
      </w:pPr>
      <w:r>
        <w:t>[20]</w:t>
        <w:tab/>
        <w:t>LI Jiaoqun, WU Tong, LU Zengxiang, et al. Investigation into mining economic evaluation approaches based on the Rosenblueth point estimate method[J]. Applied Sciences, 2023, 13(15): 9011. DOI: 10.3390/app13159011.</w:t>
      </w:r>
    </w:p>
    <w:p w14:paraId="4F7A1984" w14:textId="77777777" w:rsidR="007E22B6" w:rsidRDefault="00000000">
      <w:pPr>
        <w:pStyle w:val="17"/>
        <w:spacing w:after="40"/>
        <w:ind w:left="420" w:hanging="420"/>
      </w:pPr>
      <w:r>
        <w:t>[21]</w:t>
        <w:tab/>
        <w:t>DEHGHANI Hesam, ATAEE-POUR Majid, ESFAHANIPOUR Akbar. Evaluation of the mining projects under economic uncertainties using multidimensional binomial tree[J]. Resources Policy, 2014, 39: 124-133. DOI: 10.1016/j.resourpol.2014.01.003.</w:t>
      </w:r>
    </w:p>
    <w:p w14:paraId="1A31B838" w14:textId="77777777" w:rsidR="007E22B6" w:rsidRDefault="00000000">
      <w:pPr>
        <w:pStyle w:val="17"/>
        <w:spacing w:after="40"/>
        <w:ind w:left="420" w:hanging="420"/>
      </w:pPr>
      <w:r>
        <w:t>[22]</w:t>
        <w:tab/>
        <w:t>LIU Xiong, ZHENG Lulin, LIU Hao, et al. Evolution of overburden fractures and the water-conducting fracture zone in closely spaced coal mine seams under highly water-rich aquifers[J]. ACS Omega, 2025. DOI: 10.1021/acsomega.5c09774.</w:t>
      </w:r>
    </w:p>
    <w:p w14:paraId="0074F8F7" w14:textId="77777777" w:rsidR="007E22B6" w:rsidRDefault="00000000">
      <w:pPr>
        <w:pStyle w:val="17"/>
        <w:spacing w:after="40"/>
        <w:ind w:left="420" w:hanging="420"/>
      </w:pPr>
      <w:r>
        <w:t>[23]</w:t>
        <w:tab/>
        <w:t>XUE Sen, WANG Qiqing, SONG Zhen. Analysis of water-permeable fractured zone in weakly cemented overburden considering rock strain-softening[J]. Scientific Reports, 2026, 16(1). DOI: 10.1038/s41598-026-45413-4.</w:t>
      </w:r>
    </w:p>
    <w:p w14:paraId="227FCD2F" w14:textId="77777777" w:rsidR="007E22B6" w:rsidRDefault="00000000">
      <w:pPr>
        <w:pStyle w:val="17"/>
        <w:spacing w:after="40"/>
        <w:ind w:left="420" w:hanging="420"/>
      </w:pPr>
      <w:r>
        <w:t>[24]</w:t>
        <w:tab/>
        <w:t>ZHU Xiaojun, ZHA Feng, GUO Guangli, et al. Mechanical prediction method of strata movement and surface subsidence in backfill-strip mining[J]. Scientific Reports, 2024, 14(1). DOI: 10.1038/s41598-024-82761-5.</w:t>
      </w:r>
    </w:p>
    <w:p w14:paraId="1BEF596C" w14:textId="77777777" w:rsidR="009330B5" w:rsidRDefault="00000000">
      <w:pPr>
        <w:pStyle w:val="17"/>
        <w:spacing w:after="40"/>
        <w:ind w:left="420" w:hanging="420"/>
        <w:rPr>
          <w:rFonts w:ascii="宋体" w:hAnsi="宋体" w:hint="eastAsia"/>
          <w:sz w:val="18"/>
        </w:rPr>
      </w:pPr>
      <w:r>
        <w:t>[25]</w:t>
        <w:tab/>
        <w:t>KRATZSCH Helmut. Strata movement at the mining horizon[M]//Mining Subsidence Engineering. Berlin, , Heidelberg: Springer, 1983: 7-40. DOI: 10.1007/978-3-642-81923-0_2.</w:t>
      </w:r>
    </w:p>
    <w:sectPr w:rsidR="007E22B6" w:rsidSect="009330B5">
      <w:type w:val="continuous"/>
      <w:pgSz w:w="11906" w:h="16838"/>
      <w:pgMar w:top="1417" w:right="1134" w:bottom="1417" w:left="1134" w:header="720" w:footer="720" w:gutter="0"/>
      <w:cols w:space="425"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81C29" w14:textId="77777777" w:rsidR="002D5CF2" w:rsidRDefault="002D5CF2" w:rsidP="00A31ACE">
      <w:pPr>
        <w:spacing w:after="0" w:line="240" w:lineRule="auto"/>
      </w:pPr>
      <w:r>
        <w:separator/>
      </w:r>
    </w:p>
  </w:endnote>
  <w:endnote w:type="continuationSeparator" w:id="0">
    <w:p w14:paraId="37CDD74E" w14:textId="77777777" w:rsidR="002D5CF2" w:rsidRDefault="002D5CF2" w:rsidP="00A31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209C8" w14:textId="77777777" w:rsidR="002D5CF2" w:rsidRDefault="002D5CF2" w:rsidP="00A31ACE">
      <w:pPr>
        <w:spacing w:after="0" w:line="240" w:lineRule="auto"/>
      </w:pPr>
      <w:r>
        <w:separator/>
      </w:r>
    </w:p>
  </w:footnote>
  <w:footnote w:type="continuationSeparator" w:id="0">
    <w:p w14:paraId="7020D02B" w14:textId="77777777" w:rsidR="002D5CF2" w:rsidRDefault="002D5CF2" w:rsidP="00A31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40007B"/>
    <w:rsid w:val="004D2816"/>
    <w:rsid w:val="00532DB1"/>
    <w:rsid w:val="0059553B"/>
    <w:rsid w:val="00633AE9"/>
    <w:rsid w:val="006B0BC3"/>
    <w:rsid w:val="007E22B6"/>
    <w:rsid w:val="00801D65"/>
    <w:rsid w:val="008200F3"/>
    <w:rsid w:val="008D74B9"/>
    <w:rsid w:val="009330B5"/>
    <w:rsid w:val="00A046E0"/>
    <w:rsid w:val="00A31ACE"/>
    <w:rsid w:val="00A85C05"/>
    <w:rsid w:val="00AA1D8D"/>
    <w:rsid w:val="00AE7336"/>
    <w:rsid w:val="00B47730"/>
    <w:rsid w:val="00B66552"/>
    <w:rsid w:val="00CB0664"/>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993508"/>
  <w14:defaultImageDpi w14:val="300"/>
  <w15:docId w15:val="{94CA1DDA-5E12-4E33-B8FA-670716E01F4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next w:val="Style18"/>
    <w:qFormat/>
    <w:pPr>
      <w:widowControl w:val="false"/>
      <w:suppressAutoHyphens w:val="false"/>
      <w:bidi w:val="0"/>
      <w:spacing w:before="120" w:after="120"/>
      <w:jc w:val="both"/>
    </w:pPr>
    <w:rPr>
      <w:rFonts w:ascii="Times New Roman" w:hAnsi="Times New Roman" w:eastAsia="黑体;SimHei" w:cs="Times New Roman"/>
      <w:color w:val="auto"/>
      <w:kern w:val="2"/>
      <w:sz w:val="44"/>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1z0">
    <w:name w:val="WW8Num1z0"/>
    <w:qFormat/>
    <w:rPr/>
  </w:style>
  <w:style w:type="character" w:styleId="WW8Num1z1">
    <w:name w:val="WW8Num1z1"/>
    <w:qFormat/>
    <w:rPr>
      <w:rFonts w:ascii="Wingdings" w:hAnsi="Wingdings" w:cs="Wingdings"/>
    </w:rPr>
  </w:style>
  <w:style w:type="character" w:styleId="WW8Num2z0">
    <w:name w:val="WW8Num2z0"/>
    <w:qFormat/>
    <w:rPr>
      <w:rFonts w:ascii="华文仿宋;华文仿宋" w:hAnsi="华文仿宋;华文仿宋" w:eastAsia="华文仿宋;华文仿宋" w:cs="华文仿宋;华文仿宋"/>
      <w:sz w:val="21"/>
    </w:rPr>
  </w:style>
  <w:style w:type="character" w:styleId="WW8Num3z0">
    <w:name w:val="WW8Num3z0"/>
    <w:qFormat/>
    <w:rPr/>
  </w:style>
  <w:style w:type="character" w:styleId="WW8Num4z0">
    <w:name w:val="WW8Num4z0"/>
    <w:qFormat/>
    <w:rPr/>
  </w:style>
  <w:style w:type="character" w:styleId="WW8Num5z0">
    <w:name w:val="WW8Num5z0"/>
    <w:qFormat/>
    <w:rPr>
      <w:rFonts w:ascii="华文仿宋;华文仿宋" w:hAnsi="华文仿宋;华文仿宋" w:eastAsia="华文仿宋;华文仿宋" w:cs="华文仿宋;华文仿宋"/>
    </w:rPr>
  </w:style>
  <w:style w:type="character" w:styleId="WW8Num6z0">
    <w:name w:val="WW8Num6z0"/>
    <w:qFormat/>
    <w:rPr>
      <w:rFonts w:ascii="Wingdings" w:hAnsi="Wingdings" w:cs="Wingdings"/>
    </w:rPr>
  </w:style>
  <w:style w:type="character" w:styleId="WW8Num6z1">
    <w:name w:val="WW8Num6z1"/>
    <w:qFormat/>
    <w:rPr/>
  </w:style>
  <w:style w:type="character" w:styleId="WW8Num7z0">
    <w:name w:val="WW8Num7z0"/>
    <w:qFormat/>
    <w:rPr/>
  </w:style>
  <w:style w:type="character" w:styleId="WW8Num8z0">
    <w:name w:val="WW8Num8z0"/>
    <w:qFormat/>
    <w:rPr>
      <w:rFonts w:ascii="Wingdings" w:hAnsi="Wingdings" w:cs="Wingdings"/>
    </w:rPr>
  </w:style>
  <w:style w:type="character" w:styleId="WW8Num9z0">
    <w:name w:val="WW8Num9z0"/>
    <w:qFormat/>
    <w:rPr>
      <w:rFonts w:ascii="华文仿宋;华文仿宋" w:hAnsi="华文仿宋;华文仿宋" w:eastAsia="华文仿宋;华文仿宋" w:cs="Times New Roman"/>
    </w:rPr>
  </w:style>
  <w:style w:type="character" w:styleId="WW8Num10z0">
    <w:name w:val="WW8Num10z0"/>
    <w:qFormat/>
    <w:rPr>
      <w:rFonts w:ascii="Wingdings" w:hAnsi="Wingdings" w:cs="Wingdings"/>
    </w:rPr>
  </w:style>
  <w:style w:type="character" w:styleId="WW8Num11z0">
    <w:name w:val="WW8Num11z0"/>
    <w:qFormat/>
    <w:rPr>
      <w:rFonts w:hint="eastAsia"/>
    </w:rPr>
  </w:style>
  <w:style w:type="character" w:styleId="WW8Num12z0">
    <w:name w:val="WW8Num12z0"/>
    <w:qFormat/>
    <w:rPr>
      <w:rFonts w:ascii="宋体;SimSun" w:hAnsi="宋体;SimSun" w:cs="宋体;SimSun"/>
    </w:rPr>
  </w:style>
  <w:style w:type="character" w:styleId="WW8Num13z0">
    <w:name w:val="WW8Num13z0"/>
    <w:qFormat/>
    <w:rPr/>
  </w:style>
  <w:style w:type="character" w:styleId="Style11">
    <w:name w:val="默认段落字体"/>
    <w:qFormat/>
    <w:rPr/>
  </w:style>
  <w:style w:type="character" w:styleId="LineNumber">
    <w:name w:val="line number"/>
    <w:basedOn w:val="Style11"/>
    <w:rPr/>
  </w:style>
  <w:style w:type="character" w:styleId="PageNumber">
    <w:name w:val="page number"/>
    <w:basedOn w:val="Style11"/>
    <w:rPr/>
  </w:style>
  <w:style w:type="character" w:styleId="Char">
    <w:name w:val="文本块 Char"/>
    <w:qFormat/>
    <w:rPr>
      <w:rFonts w:eastAsia="宋体;SimSun"/>
      <w:kern w:val="2"/>
      <w:sz w:val="15"/>
      <w:szCs w:val="24"/>
      <w:lang w:bidi="ar-SA"/>
    </w:rPr>
  </w:style>
  <w:style w:type="character" w:styleId="1Char">
    <w:name w:val="标题 1 Char"/>
    <w:qFormat/>
    <w:rPr>
      <w:rFonts w:eastAsia="黑体;SimHei"/>
      <w:b/>
      <w:bCs/>
      <w:kern w:val="2"/>
      <w:sz w:val="44"/>
      <w:szCs w:val="44"/>
      <w:lang w:bidi="ar-SA"/>
    </w:rPr>
  </w:style>
  <w:style w:type="character" w:styleId="MTDisplayEquationChar">
    <w:name w:val="MTDisplayEquation Char"/>
    <w:qFormat/>
    <w:rPr>
      <w:rFonts w:eastAsia="宋体;SimSun"/>
      <w:kern w:val="2"/>
      <w:sz w:val="24"/>
      <w:szCs w:val="22"/>
      <w:lang w:bidi="ar-SA"/>
    </w:rPr>
  </w:style>
  <w:style w:type="character" w:styleId="11Char">
    <w:name w:val="11一级标题 Char"/>
    <w:qFormat/>
    <w:rPr>
      <w:rFonts w:eastAsia="黑体;SimHei"/>
      <w:b/>
      <w:bCs/>
      <w:kern w:val="2"/>
      <w:sz w:val="28"/>
      <w:szCs w:val="28"/>
      <w:vertAlign w:val="superscript"/>
      <w:lang w:bidi="ar-SA"/>
    </w:rPr>
  </w:style>
  <w:style w:type="character" w:styleId="Strong">
    <w:name w:val="Strong"/>
    <w:qFormat/>
    <w:rPr>
      <w:b/>
      <w:bCs/>
    </w:rPr>
  </w:style>
  <w:style w:type="character" w:styleId="Style12">
    <w:name w:val="批注框文本 字符"/>
    <w:qFormat/>
    <w:rPr>
      <w:rFonts w:eastAsia="黑体;SimHei"/>
      <w:kern w:val="2"/>
      <w:sz w:val="18"/>
      <w:szCs w:val="18"/>
    </w:rPr>
  </w:style>
  <w:style w:type="paragraph" w:styleId="Style13">
    <w:name w:val="标题样式"/>
    <w:basedOn w:val="Normal"/>
    <w:next w:val="BodyText"/>
    <w:qFormat/>
    <w:pPr>
      <w:spacing w:before="240" w:after="60"/>
      <w:jc w:val="center"/>
      <w:outlineLvl w:val="0"/>
    </w:pPr>
    <w:rPr>
      <w:rFonts w:ascii="Arial" w:hAnsi="Arial" w:eastAsia="宋体;SimSun" w:cs="Arial"/>
      <w:b/>
      <w:bCs/>
      <w:sz w:val="32"/>
      <w:szCs w:val="32"/>
    </w:rPr>
  </w:style>
  <w:style w:type="paragraph" w:styleId="BodyText">
    <w:name w:val="Body Text"/>
    <w:basedOn w:val="Normal"/>
    <w:pPr>
      <w:spacing w:before="12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Style15">
    <w:name w:val="文档结构图"/>
    <w:basedOn w:val="Normal"/>
    <w:qFormat/>
    <w:pPr/>
    <w:rPr>
      <w:sz w:val="21"/>
    </w:rPr>
  </w:style>
  <w:style w:type="paragraph" w:styleId="Style16">
    <w:name w:val="页眉与页脚"/>
    <w:basedOn w:val="Normal"/>
    <w:qFormat/>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153" w:leader="none"/>
        <w:tab w:val="right" w:pos="8306" w:leader="none"/>
      </w:tabs>
      <w:snapToGrid w:val="false"/>
      <w:jc w:val="start"/>
    </w:pPr>
    <w:rPr>
      <w:sz w:val="18"/>
      <w:szCs w:val="18"/>
    </w:rPr>
  </w:style>
  <w:style w:type="paragraph" w:styleId="Style17">
    <w:name w:val="文本块"/>
    <w:basedOn w:val="Normal"/>
    <w:qFormat/>
    <w:pPr>
      <w:spacing w:before="0" w:after="0"/>
      <w:ind w:hanging="567" w:start="567" w:end="0"/>
    </w:pPr>
    <w:rPr>
      <w:rFonts w:eastAsia="宋体;SimSun"/>
      <w:sz w:val="15"/>
    </w:rPr>
  </w:style>
  <w:style w:type="paragraph" w:styleId="Style18">
    <w:name w:val="纯文本"/>
    <w:basedOn w:val="Normal"/>
    <w:qFormat/>
    <w:pPr/>
    <w:rPr>
      <w:rFonts w:ascii="宋体;SimSun" w:hAnsi="宋体;SimSun" w:eastAsia="宋体;SimSun" w:cs="Courier New"/>
      <w:sz w:val="21"/>
      <w:szCs w:val="21"/>
    </w:rPr>
  </w:style>
  <w:style w:type="paragraph" w:styleId="Header">
    <w:name w:val="header"/>
    <w:basedOn w:val="Normal"/>
    <w:pPr>
      <w:pBdr>
        <w:bottom w:val="single" w:sz="6" w:space="1" w:color="000000"/>
      </w:pBdr>
      <w:tabs>
        <w:tab w:val="clear" w:pos="709"/>
        <w:tab w:val="center" w:pos="4153" w:leader="none"/>
        <w:tab w:val="right" w:pos="8306" w:leader="none"/>
      </w:tabs>
      <w:snapToGrid w:val="false"/>
      <w:jc w:val="center"/>
    </w:pPr>
    <w:rPr>
      <w:sz w:val="18"/>
      <w:szCs w:val="18"/>
    </w:rPr>
  </w:style>
  <w:style w:type="paragraph" w:styleId="MTDisplayEquation">
    <w:name w:val="MTDisplayEquation"/>
    <w:basedOn w:val="Normal"/>
    <w:next w:val="Normal"/>
    <w:qFormat/>
    <w:pPr>
      <w:tabs>
        <w:tab w:val="clear" w:pos="709"/>
        <w:tab w:val="center" w:pos="4160" w:leader="none"/>
        <w:tab w:val="right" w:pos="8300" w:leader="none"/>
      </w:tabs>
      <w:spacing w:lineRule="auto" w:line="264" w:before="0" w:after="0"/>
      <w:ind w:firstLineChars="200" w:startChars="0" w:start="0" w:endChars="0" w:end="0"/>
    </w:pPr>
    <w:rPr>
      <w:rFonts w:eastAsia="宋体;SimSun"/>
      <w:sz w:val="24"/>
      <w:szCs w:val="22"/>
    </w:rPr>
  </w:style>
  <w:style w:type="paragraph" w:styleId="03">
    <w:name w:val="03中文姓名"/>
    <w:basedOn w:val="Normal"/>
    <w:qFormat/>
    <w:pPr>
      <w:spacing w:before="0" w:after="50"/>
      <w:jc w:val="center"/>
    </w:pPr>
    <w:rPr>
      <w:rFonts w:eastAsia="仿宋"/>
      <w:w w:val="85"/>
      <w:sz w:val="24"/>
      <w:szCs w:val="28"/>
    </w:rPr>
  </w:style>
  <w:style w:type="paragraph" w:styleId="07">
    <w:name w:val="07英文姓名"/>
    <w:basedOn w:val="03"/>
    <w:qFormat/>
    <w:pPr/>
    <w:rPr>
      <w:rFonts w:eastAsia="Times New Roman"/>
      <w:w w:val="100"/>
      <w:sz w:val="21"/>
    </w:rPr>
  </w:style>
  <w:style w:type="paragraph" w:styleId="17">
    <w:name w:val="17参考文献"/>
    <w:qFormat/>
    <w:pPr>
      <w:widowControl/>
      <w:tabs>
        <w:tab w:val="clear" w:pos="709"/>
        <w:tab w:val="left" w:pos="510" w:leader="none"/>
      </w:tabs>
      <w:bidi w:val="0"/>
      <w:spacing w:lineRule="atLeast" w:line="260"/>
      <w:ind w:hanging="510" w:start="510" w:end="0"/>
      <w:jc w:val="both"/>
    </w:pPr>
    <w:rPr>
      <w:rFonts w:ascii="Times New Roman" w:hAnsi="Times New Roman" w:eastAsia="宋体;SimSun" w:cs="Times New Roman"/>
      <w:color w:val="auto"/>
      <w:kern w:val="2"/>
      <w:sz w:val="15"/>
      <w:szCs w:val="24"/>
      <w:lang w:bidi="ar-SA" w:val="en-US" w:eastAsia="zh-CN"/>
    </w:rPr>
  </w:style>
  <w:style w:type="paragraph" w:styleId="01">
    <w:name w:val="01首页顶部引用格式"/>
    <w:basedOn w:val="Normal"/>
    <w:qFormat/>
    <w:pPr>
      <w:spacing w:lineRule="exact" w:line="280" w:before="0" w:after="0"/>
    </w:pPr>
    <w:rPr>
      <w:rFonts w:eastAsia="宋体;SimSun" w:cs="宋体;SimSun"/>
      <w:sz w:val="18"/>
      <w:szCs w:val="20"/>
    </w:rPr>
  </w:style>
  <w:style w:type="paragraph" w:styleId="10505">
    <w:name w:val="样式 1首页顶部引用格式 + 段前: 0.5 行 段后: 0.5 行"/>
    <w:basedOn w:val="01"/>
    <w:qFormat/>
    <w:pPr/>
    <w:rPr/>
  </w:style>
  <w:style w:type="paragraph" w:styleId="16">
    <w:name w:val="16公式编号"/>
    <w:qFormat/>
    <w:pPr>
      <w:widowControl w:val="false"/>
      <w:tabs>
        <w:tab w:val="clear" w:pos="709"/>
        <w:tab w:val="right" w:pos="4536" w:leader="none"/>
        <w:tab w:val="right" w:pos="9680" w:leader="none"/>
      </w:tabs>
      <w:bidi w:val="0"/>
      <w:spacing w:lineRule="atLeast" w:line="312"/>
    </w:pPr>
    <w:rPr>
      <w:rFonts w:ascii="Times New Roman" w:hAnsi="Times New Roman" w:eastAsia="宋体;SimSun" w:cs="Times New Roman"/>
      <w:color w:val="auto"/>
      <w:kern w:val="2"/>
      <w:sz w:val="21"/>
      <w:szCs w:val="21"/>
      <w:lang w:bidi="ar-SA" w:val="en-US" w:eastAsia="zh-CN"/>
    </w:rPr>
  </w:style>
  <w:style w:type="paragraph" w:styleId="11">
    <w:name w:val="11一级标题"/>
    <w:basedOn w:val="Heading1"/>
    <w:qFormat/>
    <w:pPr>
      <w:numPr>
        <w:ilvl w:val="0"/>
        <w:numId w:val="0"/>
      </w:numPr>
      <w:spacing w:lineRule="atLeast" w:line="624" w:before="0" w:after="0"/>
      <w:outlineLvl w:val="9"/>
    </w:pPr>
    <w:rPr>
      <w:b w:val="false"/>
      <w:sz w:val="28"/>
      <w:szCs w:val="28"/>
      <w:vertAlign w:val="superscript"/>
    </w:rPr>
  </w:style>
  <w:style w:type="paragraph" w:styleId="10">
    <w:name w:val="10正文"/>
    <w:basedOn w:val="BodyText"/>
    <w:qFormat/>
    <w:pPr>
      <w:spacing w:lineRule="atLeast" w:line="312" w:before="0" w:after="0"/>
      <w:ind w:firstLineChars="200" w:startChars="0" w:start="0" w:endChars="0" w:end="0"/>
    </w:pPr>
    <w:rPr>
      <w:rFonts w:eastAsia="宋体;SimSun"/>
      <w:sz w:val="21"/>
    </w:rPr>
  </w:style>
  <w:style w:type="paragraph" w:styleId="04">
    <w:name w:val="04中文单位"/>
    <w:basedOn w:val="10"/>
    <w:qFormat/>
    <w:pPr>
      <w:spacing w:lineRule="atLeast" w:line="200"/>
      <w:jc w:val="center"/>
    </w:pPr>
    <w:rPr>
      <w:sz w:val="15"/>
    </w:rPr>
  </w:style>
  <w:style w:type="paragraph" w:styleId="15">
    <w:name w:val="15表题"/>
    <w:basedOn w:val="04"/>
    <w:qFormat/>
    <w:pPr>
      <w:spacing w:lineRule="atLeast" w:line="260"/>
      <w:ind w:firstLineChars="0" w:firstLine="0" w:startChars="0" w:start="0" w:endChars="0" w:end="0"/>
      <w:jc w:val="center"/>
    </w:pPr>
    <w:rPr>
      <w:rFonts w:eastAsia="黑体;SimHei"/>
      <w:sz w:val="18"/>
    </w:rPr>
  </w:style>
  <w:style w:type="paragraph" w:styleId="06">
    <w:name w:val="06英文题目"/>
    <w:qFormat/>
    <w:pPr>
      <w:widowControl/>
      <w:bidi w:val="0"/>
      <w:jc w:val="center"/>
    </w:pPr>
    <w:rPr>
      <w:rFonts w:ascii="Times New Roman" w:hAnsi="Times New Roman" w:eastAsia="宋体;SimSun" w:cs="Arial"/>
      <w:b/>
      <w:bCs/>
      <w:color w:val="auto"/>
      <w:kern w:val="2"/>
      <w:sz w:val="28"/>
      <w:szCs w:val="32"/>
      <w:lang w:bidi="ar-SA" w:val="en-US" w:eastAsia="zh-CN"/>
    </w:rPr>
  </w:style>
  <w:style w:type="paragraph" w:styleId="171">
    <w:name w:val="17+参考文献英文翻译"/>
    <w:qFormat/>
    <w:pPr>
      <w:widowControl/>
      <w:bidi w:val="0"/>
      <w:spacing w:lineRule="atLeast" w:line="260"/>
      <w:ind w:hanging="0" w:start="510" w:end="0"/>
    </w:pPr>
    <w:rPr>
      <w:rFonts w:ascii="Times New Roman" w:hAnsi="Times New Roman" w:eastAsia="Times New Roman" w:cs="Times New Roman"/>
      <w:color w:val="auto"/>
      <w:kern w:val="2"/>
      <w:sz w:val="15"/>
      <w:szCs w:val="24"/>
      <w:lang w:bidi="ar-SA" w:val="en-US" w:eastAsia="zh-CN"/>
    </w:rPr>
  </w:style>
  <w:style w:type="paragraph" w:styleId="05">
    <w:name w:val="05中文摘要、关键词"/>
    <w:basedOn w:val="10"/>
    <w:qFormat/>
    <w:pPr>
      <w:tabs>
        <w:tab w:val="clear" w:pos="709"/>
        <w:tab w:val="right" w:pos="567" w:leader="none"/>
        <w:tab w:val="right" w:pos="624" w:leader="none"/>
      </w:tabs>
      <w:ind w:firstLineChars="0" w:firstLine="0" w:startChars="0" w:start="0" w:endChars="0" w:end="0"/>
    </w:pPr>
    <w:rPr>
      <w:rFonts w:eastAsia="楷体"/>
    </w:rPr>
  </w:style>
  <w:style w:type="paragraph" w:styleId="09">
    <w:name w:val="09英文摘要、关键词"/>
    <w:basedOn w:val="05"/>
    <w:qFormat/>
    <w:pPr>
      <w:tabs>
        <w:tab w:val="clear" w:pos="567"/>
        <w:tab w:val="clear" w:pos="624"/>
      </w:tabs>
      <w:ind w:firstLineChars="0" w:firstLine="0" w:startChars="0" w:start="0" w:endChars="0" w:end="0"/>
    </w:pPr>
    <w:rPr/>
  </w:style>
  <w:style w:type="paragraph" w:styleId="12">
    <w:name w:val="12二级标题"/>
    <w:basedOn w:val="Heading2"/>
    <w:qFormat/>
    <w:pPr>
      <w:numPr>
        <w:ilvl w:val="0"/>
        <w:numId w:val="0"/>
      </w:numPr>
      <w:spacing w:lineRule="exact" w:line="312" w:before="0" w:after="0"/>
      <w:outlineLvl w:val="9"/>
    </w:pPr>
    <w:rPr>
      <w:rFonts w:ascii="Times New Roman" w:hAnsi="Times New Roman" w:cs="Times New Roman"/>
      <w:b w:val="false"/>
      <w:sz w:val="24"/>
    </w:rPr>
  </w:style>
  <w:style w:type="paragraph" w:styleId="02">
    <w:name w:val="02论文题目"/>
    <w:basedOn w:val="Style13"/>
    <w:qFormat/>
    <w:pPr>
      <w:spacing w:before="100" w:after="100"/>
    </w:pPr>
    <w:rPr>
      <w:rFonts w:ascii="Times New Roman" w:hAnsi="Times New Roman" w:eastAsia="黑体;SimHei" w:cs="Times New Roman"/>
      <w:b w:val="false"/>
    </w:rPr>
  </w:style>
  <w:style w:type="paragraph" w:styleId="1">
    <w:name w:val="1磅行距"/>
    <w:basedOn w:val="02"/>
    <w:qFormat/>
    <w:pPr>
      <w:spacing w:lineRule="exact" w:line="20" w:before="0" w:after="0"/>
      <w:outlineLvl w:val="9"/>
    </w:pPr>
    <w:rPr>
      <w:sz w:val="21"/>
    </w:rPr>
  </w:style>
  <w:style w:type="paragraph" w:styleId="14">
    <w:name w:val="14图题"/>
    <w:basedOn w:val="04"/>
    <w:qFormat/>
    <w:pPr>
      <w:spacing w:lineRule="atLeast" w:line="260"/>
      <w:ind w:firstLineChars="0" w:firstLine="0" w:startChars="0" w:start="0" w:endChars="0" w:end="0"/>
      <w:jc w:val="center"/>
    </w:pPr>
    <w:rPr>
      <w:sz w:val="18"/>
    </w:rPr>
  </w:style>
  <w:style w:type="paragraph" w:styleId="08">
    <w:name w:val="08英文单位"/>
    <w:basedOn w:val="04"/>
    <w:qFormat/>
    <w:pPr>
      <w:spacing w:lineRule="atLeast" w:line="200"/>
      <w:ind w:firstLineChars="200" w:startChars="0" w:start="0" w:endChars="0" w:end="0"/>
    </w:pPr>
    <w:rPr>
      <w:i/>
    </w:rPr>
  </w:style>
  <w:style w:type="paragraph" w:styleId="13">
    <w:name w:val="13三级标题"/>
    <w:basedOn w:val="Heading3"/>
    <w:qFormat/>
    <w:pPr>
      <w:numPr>
        <w:ilvl w:val="0"/>
        <w:numId w:val="0"/>
      </w:numPr>
      <w:spacing w:lineRule="atLeast" w:line="312" w:before="0" w:after="0"/>
      <w:outlineLvl w:val="9"/>
    </w:pPr>
    <w:rPr>
      <w:rFonts w:eastAsia="宋体;SimSun"/>
      <w:b w:val="false"/>
      <w:sz w:val="21"/>
    </w:rPr>
  </w:style>
  <w:style w:type="paragraph" w:styleId="18">
    <w:name w:val="18脚注"/>
    <w:basedOn w:val="10"/>
    <w:qFormat/>
    <w:pPr>
      <w:spacing w:lineRule="atLeast" w:line="240"/>
      <w:ind w:hangingChars="400" w:startChars="0" w:start="0" w:endChars="0" w:end="0"/>
    </w:pPr>
    <w:rPr>
      <w:sz w:val="15"/>
      <w:szCs w:val="15"/>
    </w:rPr>
  </w:style>
  <w:style w:type="paragraph" w:styleId="051">
    <w:name w:val="0.5磅缩字间距"/>
    <w:basedOn w:val="10"/>
    <w:qFormat/>
    <w:pPr>
      <w:ind w:firstLineChars="200" w:startChars="0" w:start="0" w:endChars="0" w:end="0"/>
    </w:pPr>
    <w:rPr>
      <w:spacing w:val="-10"/>
    </w:rPr>
  </w:style>
  <w:style w:type="paragraph" w:styleId="Style19">
    <w:name w:val="普通(网站)"/>
    <w:basedOn w:val="Normal"/>
    <w:qFormat/>
    <w:pPr>
      <w:widowControl/>
      <w:spacing w:before="280" w:after="280"/>
      <w:jc w:val="start"/>
    </w:pPr>
    <w:rPr>
      <w:rFonts w:ascii="宋体;SimSun" w:hAnsi="宋体;SimSun" w:eastAsia="宋体;SimSun" w:cs="宋体;SimSun"/>
      <w:kern w:val="0"/>
      <w:sz w:val="24"/>
    </w:rPr>
  </w:style>
  <w:style w:type="paragraph" w:styleId="Style20">
    <w:name w:val="批注框文本"/>
    <w:basedOn w:val="Normal"/>
    <w:qFormat/>
    <w:pPr>
      <w:spacing w:before="0" w:after="0"/>
    </w:pPr>
    <w:rPr>
      <w:sz w:val="18"/>
      <w:szCs w:val="18"/>
    </w:rPr>
  </w:style>
  <w:style w:type="paragraph" w:styleId="Style21">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20</Pages>
  <Words>10317</Words>
  <Characters>14652</Characters>
  <Application>Microsoft Office Word</Application>
  <DocSecurity>0</DocSecurity>
  <Lines>472</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d63431</cp:lastModifiedBy>
  <cp:revision>9</cp:revision>
  <dcterms:created xsi:type="dcterms:W3CDTF">2013-12-23T23:15:00Z</dcterms:created>
  <dcterms:modified xsi:type="dcterms:W3CDTF">2026-04-17T05:10:00Z</dcterms:modified>
  <cp:category/>
</cp:coreProperties>
</file>