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与后续评价脱节等问题，提出一种面向采区规划设计的一体化方法及其平台化实现框架。该方法通过多源数据标准化与项目快照机制统一组织边界、钻孔、分层和设计参数，利用连续参数场将离散钻孔信息转换为规划域地质表达，并以覆岩扰动指数（overburden disturbance index，ODI）统一表征地表沉陷、含水层扰动和上行开采等多场景风险；在此基础上，联接候选方案池、多模式规划比选、三阶段接续组织与净现值分析，形成连续决策链。样例验证表明：系统以 15 个钻孔样点为输入，可输出采区边界与钻孔分布图、煤层厚度插值图、多场景 ODI 风险图、规划结果图及扩展建模结果，并生成 3 个工作面、11 条巷道和相关结构化文件。结果说明，所提方法已经具备从数据组织、参数场构建和风险约束到方案生成、结果传递与导出的贯通能力。当前证据主要支撑方法链与对象链可行性，不足以推导真实矿井条件下的优选结论，相关判断仍需通过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disconnection among discrete geological data, heterogeneous risk constraints, scheme comparison, and downstream evaluation in mining-district planning and design, an integrated method and its platform-based implementation framework are proposed. The method unifies boundary, borehole, stratigraphic, and design-parameter data through multi-source standardization and project snapshots, transforms discrete borehole observations into continuous geological representations via parameter-field construction, and organizes multi-scenario risks, including surface subsidence, aquifer disturbance, and upward mining, within a unified overburden disturbance index (ODI) framework. By coupling candidate-scheme pools, multi-mode planning comparison, three-stage succession organization, and net present value analysis, a continuous decision chain is established. Sample-data validation shows that, with 15 borehole points as input, the system can produce boundary-and-borehole maps, coal-seam thickness interpolation maps, multi-scenario ODI risk maps, planning-result figures, extended-modeling outputs, 3 working faces, 11 roadways, and corresponding structured files. These results indicate that the proposed method has achieved end-to-end connectivity from data organization, parameter-field construction, and risk integration to scheme generation, result transmission, and export. The current evidence supports the feasibility of the method chain and object chain, rather than optimization conclusions under real mine conditions, and further validation is still required through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基于此，本文针对采区规划设计流程割裂、结果难以贯通的现实问题，提出采区智能规划设计一体化方法，并依托既有平台系统开展样例验证。本文的贡献主要体现在 3 个方面：其一，构建覆盖参数场、风险场、候选规划、接续组织和经济评价的一体化方法链，明确规划对象在“数据-模型-决策-评价”各阶段的传递关系；其二，建立面向地表沉陷、含水层扰动和上行开采的多场景 ODI 风险组织框架，使异构风险能够以统一口径进入方案生成与比选；其三，在样例数据条件下完成从输入、建模、规划到导出的连续验证，证明方法链与对象链具有可执行性。需要说明的是，本文当前结论仅适用于方法可行性与链路有效性层面的论证，不直接外推为真实矿井条件下的优选结论。</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070039"/>
            <wp:docPr id="1" name="Picture 1"/>
            <wp:cNvGraphicFramePr>
              <a:graphicFrameLocks noChangeAspect="1"/>
            </wp:cNvGraphicFramePr>
            <a:graphic>
              <a:graphicData uri="http://schemas.openxmlformats.org/drawingml/2006/picture">
                <pic:pic>
                  <pic:nvPicPr>
                    <pic:cNvPr id="0" name="流程图.png"/>
                    <pic:cNvPicPr/>
                  </pic:nvPicPr>
                  <pic:blipFill>
                    <a:blip r:embed="rId9"/>
                    <a:stretch>
                      <a:fillRect/>
                    </a:stretch>
                  </pic:blipFill>
                  <pic:spPr>
                    <a:xfrm>
                      <a:off x="0" y="0"/>
                      <a:ext cx="6263640" cy="3070039"/>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pacing w:after="40"/>
        <w:ind w:firstLine="420"/>
      </w:pPr>
      <w:r>
        <w:rPr>
          <w:rFonts w:ascii="宋体" w:hAnsi="宋体" w:eastAsia="宋体"/>
          <w:sz w:val="21"/>
        </w:rPr>
        <w:t>从功能承载看，现有系统前端可进一步归纳为 geology、odi、planning、cocontrol、succession 和 economics 6 类主视图；后端则围绕边界、钻孔、设计、规划、接续、地质建模和成果导出组织业务接口。前后端之间并不是松散拼接关系，而是通过统一项目状态、共享参数场和结构化中间结果对象实现耦合。这种组织方式使参数场、候选方案、接续结果和经济指标能够在同一项目上下文中反复调用，也使系统更接近真实采区规划工作所要求的“连续分析-连续修订-连续交付”流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需要强调的是，规划求解并不是直接在原始采区边界上进行。实际运行时，系统首先对边界点序列进行闭合和合法性修复；随后结合边界煤柱、隔离煤柱以及保护对象约束，对原始边界进行内缩与裁剪，形成用于候选工作面生成的有效布置域。若内缩后出现多连通域或局部狭长畸变，则保留主连通区域，并在极端情况下采用降级内缩或回退策略保障几何可解性。因此，图3中的外轮廓主要用于定义研究范围和钻孔参照，而真正参与布局求解的是经过边界约束处理后的有效布置域。这一点对于理解采区边界划分、工作面保护距离以及后续方案可实施性具有基础性意义。</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图3给出了样例采区边界及 15 个钻孔样点的空间分布。该图首先确定了研究对象的原始几何边界和采样基础，也为后续参数场构建、风险组织与布局求解提供了统一的空间参照。需要说明的是，图中所示边界是研究范围的外轮廓，而不是工作面可直接布置的最终边界；在进入规划阶段前，系统还需结合边界煤柱、局部保护距离和几何合法性对其进一步处理，形成真正可用于候选布局生成的有效范围。</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5" name="Picture 5"/>
            <wp:cNvGraphicFramePr>
              <a:graphicFrameLocks noChangeAspect="1"/>
            </wp:cNvGraphicFramePr>
            <a:graphic>
              <a:graphicData uri="http://schemas.openxmlformats.org/drawingml/2006/picture">
                <pic:pic>
                  <pic:nvPicPr>
                    <pic:cNvPr id="0" name="图5_采区规划参数体系构建图.png"/>
                    <pic:cNvPicPr/>
                  </pic:nvPicPr>
                  <pic:blipFill>
                    <a:blip r:embed="rId13"/>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图5 采区规划参数体系构建图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5进一步概括了参数体系从原始资料到候选方案池的转换关系。采区边界、钻孔和设计参数并不直接等同于最终工程方案，而是需要先经过边界合法性修复、有效布置域构建、约束条件整理和目标函数定义，才能进入候选工作面与巷道生成过程。该图补足了图3和图4之后的关键中间环节，说明本文方法并非仅完成地质参数可视化，而是将原始资料组织为可被规划模块直接消费的工程参数体系。</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5835315" cy="4434839"/>
            <wp:docPr id="6" name="Picture 6"/>
            <wp:cNvGraphicFramePr>
              <a:graphicFrameLocks noChangeAspect="1"/>
            </wp:cNvGraphicFramePr>
            <a:graphic>
              <a:graphicData uri="http://schemas.openxmlformats.org/drawingml/2006/picture">
                <pic:pic>
                  <pic:nvPicPr>
                    <pic:cNvPr id="0" name="图5_多场景ODI风险分布组合图.png"/>
                    <pic:cNvPicPr/>
                  </pic:nvPicPr>
                  <pic:blipFill>
                    <a:blip r:embed="rId14"/>
                    <a:stretch>
                      <a:fillRect/>
                    </a:stretch>
                  </pic:blipFill>
                  <pic:spPr>
                    <a:xfrm>
                      <a:off x="0" y="0"/>
                      <a:ext cx="5835315" cy="4434839"/>
                    </a:xfrm>
                    <a:prstGeom prst="rect"/>
                  </pic:spPr>
                </pic:pic>
              </a:graphicData>
            </a:graphic>
          </wp:inline>
        </w:drawing>
      </w:r>
    </w:p>
    <w:p>
      <w:pPr>
        <w:spacing w:after="40"/>
        <w:jc w:val="center"/>
      </w:pPr>
      <w:r>
        <w:rPr>
          <w:rFonts w:ascii="宋体" w:hAnsi="宋体" w:eastAsia="宋体"/>
          <w:b w:val="0"/>
          <w:sz w:val="20"/>
        </w:rPr>
        <w:t>图6 多场景ODI风险分布结果图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图6给出了由 export_package 批量导出的多场景 ODI 风险分布结果。其中，子图 (a)、(b)、(c) 和 (d) 分别对应地表沉陷、含水层扰动评价、采掘接续以及全覆岩综合评价场景。与仅给出概念性技术路线相比，这组图更直接地表明本文提出的 ODI 组织框架已经能够在不同业务场景下形成可复核的空间风险结果，并保持统一的颜色标度、钻孔参照和结果表达口径。需要说明的是，批量导出包中同时还包含 ODI直方图、ODI等级饼图、参数散点矩阵 和结果摘要 JSON 等图件与结构化文件；本文主文仅保留最能支撑论证主线的热力图结果，用于说明 ODI 已从方法定义阶段进入可计算、可导出、可比较的样例验证阶段。</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7" name="Picture 7"/>
            <wp:cNvGraphicFramePr>
              <a:graphicFrameLocks noChangeAspect="1"/>
            </wp:cNvGraphicFramePr>
            <a:graphic>
              <a:graphicData uri="http://schemas.openxmlformats.org/drawingml/2006/picture">
                <pic:pic>
                  <pic:nvPicPr>
                    <pic:cNvPr id="0" name="图7_基于ODI分布的协同调控框架图.png"/>
                    <pic:cNvPicPr/>
                  </pic:nvPicPr>
                  <pic:blipFill>
                    <a:blip r:embed="rId15"/>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图7 基于ODI分布的协同调控框架图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图7说明了 ODI 风险场进入规划调控的具体路径。首先，不同风险因子被组织为统一 ODI 场；其次，系统依据均值、分位数和阈值超限比例等统计量识别低、中、高扰动区；随后，高扰动空间被映射为工作面位置、推进顺序、巷道组织和煤柱边界等调控对象；最后，风险分区结果参与候选方案筛选，并把高扰动月份和高暴露空间反馈至接续与经济评价环节。因此，ODI 在本文中不是单独的展示指标，而是贯穿风险识别、方案生成和后续评价的协同调控接口。</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pacing w:after="40"/>
        <w:ind w:firstLine="420"/>
      </w:pPr>
      <w:r>
        <w:rPr>
          <w:rFonts w:ascii="宋体" w:hAnsi="宋体" w:eastAsia="宋体"/>
          <w:sz w:val="21"/>
        </w:rPr>
        <w:t>四种模式的差别主要体现在评价口径，而不是几何候选生成框架完全彼此独立。工程效率优先模式以有效布置域覆盖率、工作面连续性、巷道组织便利性和工程实施稳定性为核心，更强调在规程允许范围内快速形成高可实施性的布局结果；资源回收优先模式在覆盖率基础上进一步引入厚度场与可采吨位估计，使高厚度区和高资源价值区在排序中获得更高权重；覆岩扰动优先模式则把候选区域内 ODI 均值、P90 及阈值超标比例等统计量作为主要依据，以“低扰动暴露”优先对候选方案进行筛选；综合权衡模式将工程效率、资源回收和扰动控制 3 类目标统一到同一候选池中，通过非支配排序与权重合成完成方案比较。由此，系统既能给出单目标偏好下的解释性方案，也能支持多目标折中条件下的工程决策。</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8" name="Picture 8"/>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6"/>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图8 四模式智能规划协同关系图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图8展示了候选池生成、多目标评分和四模式筛选之间的协同关系。与传统“只输出一个结果方案”的方式相比，这种组织方式更符合采区规划中“多方案并行比较、人工与算法协同决策”的工程实际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9" name="Picture 9"/>
            <wp:cNvGraphicFramePr>
              <a:graphicFrameLocks noChangeAspect="1"/>
            </wp:cNvGraphicFramePr>
            <a:graphic>
              <a:graphicData uri="http://schemas.openxmlformats.org/drawingml/2006/picture">
                <pic:pic>
                  <pic:nvPicPr>
                    <pic:cNvPr id="0" name="图7_规划接续经济闭环评价图.png"/>
                    <pic:cNvPicPr/>
                  </pic:nvPicPr>
                  <pic:blipFill>
                    <a:blip r:embed="rId17"/>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图9 规划-接续-经济闭环评价图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9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10" name="Picture 10"/>
            <wp:cNvGraphicFramePr>
              <a:graphicFrameLocks noChangeAspect="1"/>
            </wp:cNvGraphicFramePr>
            <a:graphic>
              <a:graphicData uri="http://schemas.openxmlformats.org/drawingml/2006/picture">
                <pic:pic>
                  <pic:nvPicPr>
                    <pic:cNvPr id="0" name="图10_采掘接续流程与结果组织图.png"/>
                    <pic:cNvPicPr/>
                  </pic:nvPicPr>
                  <pic:blipFill>
                    <a:blip r:embed="rId18"/>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图10 采掘接续流程与结果组织图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图10进一步展开了规划结果进入采掘接续模块后的对象转换过程。规划阶段输出的工作面几何、巷道对象和 ODI 暴露信息被组织为接续任务，随后形成阶段排序、月度推进、产量序列和风险暴露序列。该流程说明，接续分析消费的并不是静态图片或人工记录，而是规划阶段生成的结构化对象；因此，后续风险联动评价和方案修订能够建立在同一批上游对象之上。</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11" name="Picture 11"/>
            <wp:cNvGraphicFramePr>
              <a:graphicFrameLocks noChangeAspect="1"/>
            </wp:cNvGraphicFramePr>
            <a:graphic>
              <a:graphicData uri="http://schemas.openxmlformats.org/drawingml/2006/picture">
                <pic:pic>
                  <pic:nvPicPr>
                    <pic:cNvPr id="0" name="图11_工程经济分析流程与结果图.png"/>
                    <pic:cNvPicPr/>
                  </pic:nvPicPr>
                  <pic:blipFill>
                    <a:blip r:embed="rId19"/>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图11 工程经济分析流程与结果图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11给出了经济评价链路的输入、计算和结果解释关系。接续计划提供月度产量、推进顺序和风险暴露月份，经济模块据此计算收入、成本和风险联动成本，并形成月度净现金流、累计现金流、净现值和回收期等指标。当高风险月份、低收益阶段或方案收益差异较为突出时，评价结果可反馈至候选方案偏好和接续顺序调整。该图的作用在于说明经济评价已经嵌入一体化链路，而不是作为规划完成后的孤立附表。</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data/export_package 中批量导出的多场景 ODI 图件与摘要文件，以及 GNN 训练输出和网格预测结果。文字整理与图件重构均基于代码快照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3111"/>
            <wp:docPr id="12" name="Picture 12"/>
            <wp:cNvGraphicFramePr>
              <a:graphicFrameLocks noChangeAspect="1"/>
            </wp:cNvGraphicFramePr>
            <a:graphic>
              <a:graphicData uri="http://schemas.openxmlformats.org/drawingml/2006/picture">
                <pic:pic>
                  <pic:nvPicPr>
                    <pic:cNvPr id="0" name="图3_采区工作面与巷道布局图.png"/>
                    <pic:cNvPicPr/>
                  </pic:nvPicPr>
                  <pic:blipFill>
                    <a:blip r:embed="rId20"/>
                    <a:stretch>
                      <a:fillRect/>
                    </a:stretch>
                  </pic:blipFill>
                  <pic:spPr>
                    <a:xfrm>
                      <a:off x="0" y="0"/>
                      <a:ext cx="6263640" cy="4243111"/>
                    </a:xfrm>
                    <a:prstGeom prst="rect"/>
                  </pic:spPr>
                </pic:pic>
              </a:graphicData>
            </a:graphic>
          </wp:inline>
        </w:drawing>
      </w:r>
    </w:p>
    <w:p>
      <w:pPr>
        <w:spacing w:after="40"/>
        <w:jc w:val="center"/>
      </w:pPr>
      <w:r>
        <w:rPr>
          <w:rFonts w:ascii="宋体" w:hAnsi="宋体" w:eastAsia="宋体"/>
          <w:b w:val="0"/>
          <w:sz w:val="20"/>
        </w:rPr>
        <w:t>图12 边界约束下的工作面与巷道布局结果图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图12给出了原始边界约束下经几何修复、边界内缩、条带切割和巷道生成后形成的布局结果。图中 3 个工作面与配套巷道并不是直接贴附在图3的外边界上，而是在有效布置域内形成必要的保护距离和工程边界。这一结果说明，采区边界划分在规划语境中不能简单理解为“外轮廓包络”，而应理解为“原始边界经边界煤柱、保护条件和几何合法性处理后的可布置范围”。从论文论证角度看，这张图补足了从原始空间输入到结构化布局输出之间的中间环节，也更直接地说明了规划模块如何把边界、钻孔和参数场转化为可消费的几何对象。</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2305020"/>
            <wp:docPr id="13" name="Picture 13"/>
            <wp:cNvGraphicFramePr>
              <a:graphicFrameLocks noChangeAspect="1"/>
            </wp:cNvGraphicFramePr>
            <a:graphic>
              <a:graphicData uri="http://schemas.openxmlformats.org/drawingml/2006/picture">
                <pic:pic>
                  <pic:nvPicPr>
                    <pic:cNvPr id="0" name="图8_规划与采掘接续空间分布结果图.png"/>
                    <pic:cNvPicPr/>
                  </pic:nvPicPr>
                  <pic:blipFill>
                    <a:blip r:embed="rId21"/>
                    <a:stretch>
                      <a:fillRect/>
                    </a:stretch>
                  </pic:blipFill>
                  <pic:spPr>
                    <a:xfrm>
                      <a:off x="0" y="0"/>
                      <a:ext cx="6263640" cy="2305020"/>
                    </a:xfrm>
                    <a:prstGeom prst="rect"/>
                  </pic:spPr>
                </pic:pic>
              </a:graphicData>
            </a:graphic>
          </wp:inline>
        </w:drawing>
      </w:r>
    </w:p>
    <w:p>
      <w:pPr>
        <w:spacing w:after="40"/>
        <w:jc w:val="center"/>
      </w:pPr>
      <w:r>
        <w:rPr>
          <w:rFonts w:ascii="宋体" w:hAnsi="宋体" w:eastAsia="宋体"/>
          <w:b w:val="0"/>
          <w:sz w:val="20"/>
        </w:rPr>
        <w:t>图13 规划结果到采掘接续的空间传递结果图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图13给出了由 export_package 中采区规划案例和采掘接续案例拼接形成的组合式结果图。其中，子图 (a) 展示采区规划阶段的空间分布结果，说明在完成边界、钻孔与参数场构建后，规划模块已经能够形成统一边界约束下的候选空间对象；子图 (b) 则展示采掘接续阶段的空间分布结果，说明同一批规划对象可以继续进入接续组织环节，并以规则化工作面条带的形式输出。与单纯界面截图相比，这张组合图更直接支撑本文“对象可传递、链路可贯通”的核心论点，即规划阶段形成的空间结果并不是终点，而是后续接续分析与经济评价的上游输入。需要同时说明的是，当前接续结果仍属于样例级输出，接口校核中的约束提示尚未完全消除，因此这里更适合作为链路贯通证据，而非真实矿井条件下的最终工程定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的扩展建模接口，用于探索小样本条件下的结构化地质预测。样例运行结果如图14所示。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489466"/>
            <wp:docPr id="14" name="Picture 14"/>
            <wp:cNvGraphicFramePr>
              <a:graphicFrameLocks noChangeAspect="1"/>
            </wp:cNvGraphicFramePr>
            <a:graphic>
              <a:graphicData uri="http://schemas.openxmlformats.org/drawingml/2006/picture">
                <pic:pic>
                  <pic:nvPicPr>
                    <pic:cNvPr id="0" name="图9_GNN煤层厚度预测网格图_论文版.png"/>
                    <pic:cNvPicPr/>
                  </pic:nvPicPr>
                  <pic:blipFill>
                    <a:blip r:embed="rId22"/>
                    <a:stretch>
                      <a:fillRect/>
                    </a:stretch>
                  </pic:blipFill>
                  <pic:spPr>
                    <a:xfrm>
                      <a:off x="0" y="0"/>
                      <a:ext cx="6263640" cy="3489466"/>
                    </a:xfrm>
                    <a:prstGeom prst="rect"/>
                  </pic:spPr>
                </pic:pic>
              </a:graphicData>
            </a:graphic>
          </wp:inline>
        </w:drawing>
      </w:r>
    </w:p>
    <w:p>
      <w:pPr>
        <w:spacing w:after="40"/>
        <w:jc w:val="center"/>
      </w:pPr>
      <w:r>
        <w:rPr>
          <w:rFonts w:ascii="宋体" w:hAnsi="宋体" w:eastAsia="宋体"/>
          <w:b w:val="0"/>
          <w:sz w:val="20"/>
        </w:rPr>
        <w:t>图14 GNN煤层厚度预测网格图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图14表明扩展建模链路已经具备从样本装载、模型训练到空间网格输出的完整技术接口。图中给出的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替代现有地质建模、规划求解或经济评价理论的新算法，而在于把原本分散在多个工作环节中的输入、约束、求解和评价过程组织为可连续传递的方法链。相较于传统“先布局、后校核、再补评价”的割裂流程，本文强调在规划早期即同步组织地质参数场、风险约束和后续评价需求，从而减少由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复核和比较建立在同一对象体系之上，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界定为方法论验证稿：其主要贡献在于建立统一链路、明确对象关系并完成样例条件下的端到端证据闭环。至于相对于传统流程究竟能够带来多大幅度的工程收益，仍需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本文当前更适合论证方法可行性与链路有效性，而不宜直接外推为普适工程优越性。其次，ODI 在不同地质条件、风险偏好和约束场景下的参数标定尚未系统展开，因此更适合被界定为统一风险组织框架，而非已完成广泛工程标定的标准化行业模型。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正文对这一点作出明确说明，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主要包括敏东矿实证材料的进一步补充、目标期刊首页脚注规则核定、收稿与修回日期是否留空的模板确认，以及英文二级单位是否需按学校官网正式译名微调。因此，就当前状态而言，本文已经基本具备方法稿主体形态，但距离“实矿对照证据充分、模板细节完全匹配、可直接送审的终稿”仍存在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不确定性与统计检验信息，增强方法的可解释性和可复现性。第三，继续核定目标期刊模板细节、英文单位正式译名和图件分辨率要求，使稿件由“方法链可证明”进一步推进到“案例证据可支撑、模板要素可核验”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统一风险表达，将地表沉陷、含水层扰动和上行开采等异构风险纳入同一约束框架，使风险分析能够以前置方式进入候选方案生成、筛选和后续接续评价过程。</w:t>
      </w:r>
    </w:p>
    <w:p>
      <w:pPr>
        <w:pStyle w:val="ListNumber"/>
      </w:pPr>
      <w:r>
        <w:rPr>
          <w:rFonts w:ascii="宋体" w:hAnsi="宋体" w:eastAsia="宋体"/>
          <w:sz w:val="21"/>
        </w:rPr>
        <w:t>样例验证表明，系统能够以 15 个钻孔样点为输入，输出 3 个工作面、11 条巷道以及多类关键图件和结构化结果文件，说明所提方法已具备连续运行与对象传递能力；但当前证据仍主要停留在样例论证层面，真实矿井条件下的优选结论仍需结合实矿案例、参数标定和基线对照进一步检验。</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