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0"/>
        </w:rPr>
        <w:t>Table 1</w:t>
      </w:r>
    </w:p>
    <w:p>
      <w:pPr>
        <w:jc w:val="left"/>
      </w:pPr>
      <w:r>
        <w:rPr>
          <w:rFonts w:ascii="Times New Roman" w:hAnsi="Times New Roman" w:eastAsia="Times New Roman"/>
          <w:i/>
          <w:sz w:val="16"/>
        </w:rPr>
        <w:t>Statistical summary of ODI values across all engineering cases.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Case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Tab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Min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Max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Mean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Std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P50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P90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Skewness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0-地表下沉.miningplan.json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Surface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0.3250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0.3630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0.1352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0.9557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1.090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1-含水层扰动预评价.miningplan.json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0.5666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0.2730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0.5345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0.9421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-0.121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2-含水层扰动评价.miningplan.json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376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0.4485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0.2553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0.3263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0.8584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0.823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3-采区规划案例.miningplan.json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0.5666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0.2730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0.5345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0.9421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-0.121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4-协同调控-突水点.miningplan.json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0.3519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0.3195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0.1784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0.9148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1.111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5-采掘接续.miningplan.json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1976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0.4406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0.2790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0.2910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0.8798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0.818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6-全覆岩扰动.miningplan.json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Full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0.5403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0.2774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0.5457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0.8141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-0.482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