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0"/>
        </w:rPr>
        <w:t>Table 2</w:t>
      </w:r>
    </w:p>
    <w:p>
      <w:pPr>
        <w:jc w:val="left"/>
      </w:pPr>
      <w:r>
        <w:rPr>
          <w:rFonts w:ascii="Times New Roman" w:hAnsi="Times New Roman" w:eastAsia="Times New Roman"/>
          <w:i/>
          <w:sz w:val="16"/>
        </w:rPr>
        <w:t>Comparison of ODI weight coefficients (geological $w_d$, mining $w_o$, composite $w_f$) across cases.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Case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Tab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 points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$w_d$ (Geology)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$w_o$ (Mining)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$w_f$ (Composite)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0-地表下沉.miningplan.json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Surface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1-含水层扰动预评价.miningplan.json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2-含水层扰动评价.miningplan.json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3-采区规划案例.miningplan.json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5-采掘接续.miningplan.json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6-全覆岩扰动.miningplan.json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Full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