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0"/>
        </w:rPr>
        <w:t>Table 3</w:t>
      </w:r>
    </w:p>
    <w:p>
      <w:pPr>
        <w:jc w:val="left"/>
      </w:pPr>
      <w:r>
        <w:rPr>
          <w:rFonts w:ascii="Times New Roman" w:hAnsi="Times New Roman" w:eastAsia="Times New Roman"/>
          <w:i/>
          <w:sz w:val="16"/>
        </w:rPr>
        <w:t>Error analysis between ODI predictions and measured values (Case 0, Surface Subsidence).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Survey Line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MAE (m)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RMSE (m)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Mean Error Ratio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Max Error Ratio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Measured Range (m)</w:t>
            </w:r>
          </w:p>
        </w:tc>
        <w:tc>
          <w:tcPr>
            <w:tcW w:type="dxa" w:w="108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ODI Renorm Range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Line 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0.9498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1.1384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0.1324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0.3376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[0.130, 2.994]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[0.000, 1.000]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Line 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1.4733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1.8651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0.1364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0.3374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[0.121, 4.437]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[0.000, 1.000]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Line 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2.4317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2.6782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0.2120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0.4600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[0.066, 5.107]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[0.000, 1.000]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