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0"/>
        </w:rPr>
        <w:t>Table 4</w:t>
      </w:r>
    </w:p>
    <w:p>
      <w:pPr>
        <w:jc w:val="left"/>
      </w:pPr>
      <w:r>
        <w:rPr>
          <w:rFonts w:ascii="Times New Roman" w:hAnsi="Times New Roman" w:eastAsia="Times New Roman"/>
          <w:i/>
          <w:sz w:val="16"/>
        </w:rPr>
        <w:t>Statistical summary of geological and mining parameters across all cases.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Case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Tab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Parameter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Min (m)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Max (m)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Mean (m)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Std (m)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0-地表下沉.miningplan.json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Surface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 (Stratum thickness)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5.44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45.23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8.93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0-地表下沉.miningplan.json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Surface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 (Distance to aquifer)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238.38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316.35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252.00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9.45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0-地表下沉.miningplan.json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Surface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 (Depth)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0-地表下沉.miningplan.json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Surface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 (Mining height)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3.07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1-含水层扰动预评价.miningplan.json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 (Stratum thickness)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14.35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1-含水层扰动预评价.miningplan.json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 (Distance to aquifer)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194.58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95.48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35.80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1-含水层扰动预评价.miningplan.json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 (Depth)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96.34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417.56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278.26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77.96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1-含水层扰动预评价.miningplan.json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 (Mining height)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7.79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2-含水层扰动评价.miningplan.json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 (Stratum thickness)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6.20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2-含水层扰动评价.miningplan.json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 (Distance to aquifer)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194.58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28.47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2-含水层扰动评价.miningplan.json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 (Depth)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96.34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417.56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244.89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45.69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2-含水层扰动评价.miningplan.json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 (Mining height)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11.72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3.87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3-采区规划案例.miningplan.json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 (Stratum thickness)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14.35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3-采区规划案例.miningplan.json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 (Distance to aquifer)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194.58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95.48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35.80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3-采区规划案例.miningplan.json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 (Depth)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96.34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417.56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278.26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77.96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3-采区规划案例.miningplan.json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 (Mining height)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7.79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4-协同调控-突水点.miningplan.json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 (Stratum thickness)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13.01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4-协同调控-突水点.miningplan.json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 (Distance to aquifer)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194.58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32.81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4-协同调控-突水点.miningplan.json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 (Depth)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96.34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417.56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271.65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74.14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4-协同调控-突水点.miningplan.json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 (Mining height)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7.08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5-采掘接续.miningplan.json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 (Stratum thickness)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6.90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5-采掘接续.miningplan.json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 (Distance to aquifer)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194.58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19.75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5-采掘接续.miningplan.json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 (Depth)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96.34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417.56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291.38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54.54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5-采掘接续.miningplan.json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 (Mining height)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6.94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6.65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6-全覆岩扰动.miningplan.json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Full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 (Stratum thickness)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60.91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23.32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12.91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6-全覆岩扰动.miningplan.json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Full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 (Distance to aquifer)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92.08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295.46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208.99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66.90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6-全覆岩扰动.miningplan.json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Full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Di (Depth)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199.50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111.76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47.85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6-全覆岩扰动.miningplan.json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Full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 (Mining height)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31.08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