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0"/>
        </w:rPr>
        <w:t>Table 5</w:t>
      </w:r>
    </w:p>
    <w:p>
      <w:pPr>
        <w:jc w:val="left"/>
      </w:pPr>
      <w:r>
        <w:rPr>
          <w:rFonts w:ascii="Times New Roman" w:hAnsi="Times New Roman" w:eastAsia="Times New Roman"/>
          <w:i/>
          <w:sz w:val="16"/>
        </w:rPr>
        <w:t>ODI level zoning distribution across all engineering cases (Levels I-V).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Case</w:t>
            </w:r>
          </w:p>
        </w:tc>
        <w:tc>
          <w:tcPr>
            <w:tcW w:type="dxa" w:w="108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Tab</w:t>
            </w:r>
          </w:p>
        </w:tc>
        <w:tc>
          <w:tcPr>
            <w:tcW w:type="dxa" w:w="108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N</w:t>
            </w:r>
          </w:p>
        </w:tc>
        <w:tc>
          <w:tcPr>
            <w:tcW w:type="dxa" w:w="108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I (Stable)</w:t>
            </w:r>
          </w:p>
        </w:tc>
        <w:tc>
          <w:tcPr>
            <w:tcW w:type="dxa" w:w="108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II (Slight)</w:t>
            </w:r>
          </w:p>
        </w:tc>
        <w:tc>
          <w:tcPr>
            <w:tcW w:type="dxa" w:w="108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III (Moderate)</w:t>
            </w:r>
          </w:p>
        </w:tc>
        <w:tc>
          <w:tcPr>
            <w:tcW w:type="dxa" w:w="108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IV (Strong)</w:t>
            </w:r>
          </w:p>
        </w:tc>
        <w:tc>
          <w:tcPr>
            <w:tcW w:type="dxa" w:w="108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V (Severe)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0-地表下沉.miningplan.json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Surface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185</w:t>
            </w:r>
          </w:p>
        </w:tc>
        <w:tc>
          <w:tcPr>
            <w:tcW w:type="dxa" w:w="1080"/>
            <w:shd w:fill="C6EFCE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 (3.2%)</w:t>
            </w:r>
          </w:p>
        </w:tc>
        <w:tc>
          <w:tcPr>
            <w:tcW w:type="dxa" w:w="1080"/>
            <w:shd w:fill="FFEB9C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131 (70.8%)</w:t>
            </w:r>
          </w:p>
        </w:tc>
        <w:tc>
          <w:tcPr>
            <w:tcW w:type="dxa" w:w="1080"/>
            <w:shd w:fill="FCE4D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 (0.5%)</w:t>
            </w:r>
          </w:p>
        </w:tc>
        <w:tc>
          <w:tcPr>
            <w:tcW w:type="dxa" w:w="1080"/>
            <w:shd w:fill="F8CBAD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 (0.0%)</w:t>
            </w:r>
          </w:p>
        </w:tc>
        <w:tc>
          <w:tcPr>
            <w:tcW w:type="dxa" w:w="1080"/>
            <w:shd w:fill="FFC7CE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47 (25.4%)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1-含水层扰动预评价.miningplan.json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Aquifer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32</w:t>
            </w:r>
          </w:p>
        </w:tc>
        <w:tc>
          <w:tcPr>
            <w:tcW w:type="dxa" w:w="1080"/>
            <w:shd w:fill="C6EFCE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 (6.2%)</w:t>
            </w:r>
          </w:p>
        </w:tc>
        <w:tc>
          <w:tcPr>
            <w:tcW w:type="dxa" w:w="1080"/>
            <w:shd w:fill="FFEB9C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 (25.0%)</w:t>
            </w:r>
          </w:p>
        </w:tc>
        <w:tc>
          <w:tcPr>
            <w:tcW w:type="dxa" w:w="1080"/>
            <w:shd w:fill="FCE4D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 (25.0%)</w:t>
            </w:r>
          </w:p>
        </w:tc>
        <w:tc>
          <w:tcPr>
            <w:tcW w:type="dxa" w:w="1080"/>
            <w:shd w:fill="F8CBAD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 (18.8%)</w:t>
            </w:r>
          </w:p>
        </w:tc>
        <w:tc>
          <w:tcPr>
            <w:tcW w:type="dxa" w:w="1080"/>
            <w:shd w:fill="FFC7CE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 (25.0%)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2-含水层扰动评价.miningplan.json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Aquifer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376</w:t>
            </w:r>
          </w:p>
        </w:tc>
        <w:tc>
          <w:tcPr>
            <w:tcW w:type="dxa" w:w="1080"/>
            <w:shd w:fill="C6EFCE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24 (6.4%)</w:t>
            </w:r>
          </w:p>
        </w:tc>
        <w:tc>
          <w:tcPr>
            <w:tcW w:type="dxa" w:w="1080"/>
            <w:shd w:fill="FFEB9C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203 (54.0%)</w:t>
            </w:r>
          </w:p>
        </w:tc>
        <w:tc>
          <w:tcPr>
            <w:tcW w:type="dxa" w:w="1080"/>
            <w:shd w:fill="FCE4D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48 (12.8%)</w:t>
            </w:r>
          </w:p>
        </w:tc>
        <w:tc>
          <w:tcPr>
            <w:tcW w:type="dxa" w:w="1080"/>
            <w:shd w:fill="F8CBAD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32 (8.5%)</w:t>
            </w:r>
          </w:p>
        </w:tc>
        <w:tc>
          <w:tcPr>
            <w:tcW w:type="dxa" w:w="1080"/>
            <w:shd w:fill="FFC7CE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69 (18.4%)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3-采区规划案例.miningplan.json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Aquifer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32</w:t>
            </w:r>
          </w:p>
        </w:tc>
        <w:tc>
          <w:tcPr>
            <w:tcW w:type="dxa" w:w="1080"/>
            <w:shd w:fill="C6EFCE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 (6.2%)</w:t>
            </w:r>
          </w:p>
        </w:tc>
        <w:tc>
          <w:tcPr>
            <w:tcW w:type="dxa" w:w="1080"/>
            <w:shd w:fill="FFEB9C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 (25.0%)</w:t>
            </w:r>
          </w:p>
        </w:tc>
        <w:tc>
          <w:tcPr>
            <w:tcW w:type="dxa" w:w="1080"/>
            <w:shd w:fill="FCE4D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 (25.0%)</w:t>
            </w:r>
          </w:p>
        </w:tc>
        <w:tc>
          <w:tcPr>
            <w:tcW w:type="dxa" w:w="1080"/>
            <w:shd w:fill="F8CBAD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 (18.8%)</w:t>
            </w:r>
          </w:p>
        </w:tc>
        <w:tc>
          <w:tcPr>
            <w:tcW w:type="dxa" w:w="1080"/>
            <w:shd w:fill="FFC7CE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 (25.0%)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4-协同调控-突水点.miningplan.json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Aquifer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577</w:t>
            </w:r>
          </w:p>
        </w:tc>
        <w:tc>
          <w:tcPr>
            <w:tcW w:type="dxa" w:w="1080"/>
            <w:shd w:fill="C6EFCE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330 (57.2%)</w:t>
            </w:r>
          </w:p>
        </w:tc>
        <w:tc>
          <w:tcPr>
            <w:tcW w:type="dxa" w:w="1080"/>
            <w:shd w:fill="FFEB9C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102 (17.7%)</w:t>
            </w:r>
          </w:p>
        </w:tc>
        <w:tc>
          <w:tcPr>
            <w:tcW w:type="dxa" w:w="1080"/>
            <w:shd w:fill="FCE4D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 (0.2%)</w:t>
            </w:r>
          </w:p>
        </w:tc>
        <w:tc>
          <w:tcPr>
            <w:tcW w:type="dxa" w:w="1080"/>
            <w:shd w:fill="F8CBAD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 (2.1%)</w:t>
            </w:r>
          </w:p>
        </w:tc>
        <w:tc>
          <w:tcPr>
            <w:tcW w:type="dxa" w:w="1080"/>
            <w:shd w:fill="FFC7CE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132 (22.9%)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5-采掘接续.miningplan.json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Aquifer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1976</w:t>
            </w:r>
          </w:p>
        </w:tc>
        <w:tc>
          <w:tcPr>
            <w:tcW w:type="dxa" w:w="1080"/>
            <w:shd w:fill="C6EFCE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188 (9.5%)</w:t>
            </w:r>
          </w:p>
        </w:tc>
        <w:tc>
          <w:tcPr>
            <w:tcW w:type="dxa" w:w="1080"/>
            <w:shd w:fill="FFEB9C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1154 (58.4%)</w:t>
            </w:r>
          </w:p>
        </w:tc>
        <w:tc>
          <w:tcPr>
            <w:tcW w:type="dxa" w:w="1080"/>
            <w:shd w:fill="FCE4D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62 (3.1%)</w:t>
            </w:r>
          </w:p>
        </w:tc>
        <w:tc>
          <w:tcPr>
            <w:tcW w:type="dxa" w:w="1080"/>
            <w:shd w:fill="F8CBAD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51 (2.6%)</w:t>
            </w:r>
          </w:p>
        </w:tc>
        <w:tc>
          <w:tcPr>
            <w:tcW w:type="dxa" w:w="1080"/>
            <w:shd w:fill="FFC7CE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521 (26.4%)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6-全覆岩扰动.miningplan.json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Full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</w:t>
            </w:r>
          </w:p>
        </w:tc>
        <w:tc>
          <w:tcPr>
            <w:tcW w:type="dxa" w:w="1080"/>
            <w:shd w:fill="C6EFCE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 (12.5%)</w:t>
            </w:r>
          </w:p>
        </w:tc>
        <w:tc>
          <w:tcPr>
            <w:tcW w:type="dxa" w:w="1080"/>
            <w:shd w:fill="FFEB9C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 (12.5%)</w:t>
            </w:r>
          </w:p>
        </w:tc>
        <w:tc>
          <w:tcPr>
            <w:tcW w:type="dxa" w:w="1080"/>
            <w:shd w:fill="FCE4D6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 (31.2%)</w:t>
            </w:r>
          </w:p>
        </w:tc>
        <w:tc>
          <w:tcPr>
            <w:tcW w:type="dxa" w:w="1080"/>
            <w:shd w:fill="F8CBAD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 (18.8%)</w:t>
            </w:r>
          </w:p>
        </w:tc>
        <w:tc>
          <w:tcPr>
            <w:tcW w:type="dxa" w:w="1080"/>
            <w:shd w:fill="FFC7CE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 (25.0%)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