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1B30D7DA" w:rsidR="00351EC4" w:rsidRPr="009C06F7" w:rsidRDefault="0027019D" w:rsidP="009C06F7">
      <w:pPr>
        <w:pStyle w:val="02"/>
        <w:spacing w:before="240" w:after="240"/>
      </w:pPr>
      <w:r w:rsidRPr="0027019D">
        <w:t>多场景采动扰动约束下采区规划方法及工程应用</w:t>
      </w:r>
    </w:p>
    <w:p w14:paraId="71255FA8" w14:textId="4F80E0AA"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刘浩天</w:t>
      </w:r>
      <w:r w:rsidRPr="00351EC4">
        <w:rPr>
          <w:vertAlign w:val="superscript"/>
        </w:rPr>
        <w:t>1</w:t>
      </w:r>
      <w:r w:rsidRPr="00351EC4">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64BD11B0" w:rsidR="00351EC4" w:rsidRPr="00351EC4" w:rsidRDefault="00351EC4" w:rsidP="00351EC4">
      <w:pPr>
        <w:pStyle w:val="05"/>
      </w:pPr>
      <w:r w:rsidRPr="00351EC4">
        <w:t>摘要：</w:t>
      </w:r>
      <w:r w:rsidR="0027019D" w:rsidRPr="0027019D">
        <w:t>传统采区规划多先依据采区边界、煤层厚度、煤柱留设和工作面参数划分工作面，再对地表沉陷、含水层受扰和上行开采安全性进行校核。对于厚煤层、软弱覆岩及含水层条件较复杂的采区，若在工作面布置阶段未提前考虑覆岩扰动影响，后续校核时可能发现部分工作面位于沉陷影响较大、导水裂隙发育较强或上覆岩层稳定性较差的区域，进而需要重新调整工作面边界、煤柱宽度或推进方向。针对这一问题，</w:t>
      </w:r>
      <w:r w:rsidR="003B394F">
        <w:t>提出一种多场景采动扰动约束下的采区规划方法</w:t>
      </w:r>
      <w:r w:rsidR="0027019D" w:rsidRPr="0027019D">
        <w:t>。该方法先根据采区边界、煤柱留设和保护要求确定</w:t>
      </w:r>
      <w:r w:rsidR="00404D0C">
        <w:t>工作面可布置区域</w:t>
      </w:r>
      <w:r w:rsidR="0027019D" w:rsidRPr="0027019D">
        <w:t>，再利用钻孔煤厚资料刻画煤层厚度的空间变化；在此基础上，提出综合覆岩扰动指数（</w:t>
      </w:r>
      <w:r w:rsidR="0027019D" w:rsidRPr="0027019D">
        <w:t>ODI</w:t>
      </w:r>
      <w:r w:rsidR="0027019D" w:rsidRPr="0027019D">
        <w:t>），将地表沉陷、含水层扰动和上行开采风险归一化后进行加权叠加，形成</w:t>
      </w:r>
      <w:r w:rsidR="0027019D" w:rsidRPr="0027019D">
        <w:t>0</w:t>
      </w:r>
      <w:r w:rsidR="0027019D" w:rsidRPr="0027019D">
        <w:t>～</w:t>
      </w:r>
      <w:r w:rsidR="0027019D" w:rsidRPr="0027019D">
        <w:t>1</w:t>
      </w:r>
      <w:r w:rsidR="0027019D" w:rsidRPr="0027019D">
        <w:t>之间的空间评价指标，用于识别覆岩扰动较强区域并参与工作面布置方案比选。以敏东矿区为例，构建</w:t>
      </w:r>
      <w:r w:rsidR="0027019D" w:rsidRPr="0027019D">
        <w:t>80×56</w:t>
      </w:r>
      <w:r w:rsidR="0027019D" w:rsidRPr="0027019D">
        <w:t>栅格</w:t>
      </w:r>
      <w:r w:rsidR="0027019D" w:rsidRPr="0027019D">
        <w:t>ODI</w:t>
      </w:r>
      <w:r w:rsidR="0027019D" w:rsidRPr="0027019D">
        <w:t>图层。结果表明：研究区</w:t>
      </w:r>
      <w:r w:rsidR="0027019D" w:rsidRPr="0027019D">
        <w:t>ODI</w:t>
      </w:r>
      <w:r w:rsidR="0027019D" w:rsidRPr="0027019D">
        <w:t>均值为</w:t>
      </w:r>
      <w:r w:rsidR="0027019D" w:rsidRPr="0027019D">
        <w:t>0.4669</w:t>
      </w:r>
      <w:r w:rsidR="0027019D" w:rsidRPr="0027019D">
        <w:t>，整体扰动水平处于中等程度；</w:t>
      </w:r>
      <w:r w:rsidR="0027019D" w:rsidRPr="0027019D">
        <w:t>P90</w:t>
      </w:r>
      <w:r w:rsidR="0027019D" w:rsidRPr="0027019D">
        <w:t>（</w:t>
      </w:r>
      <w:r w:rsidR="0027019D" w:rsidRPr="0027019D">
        <w:t>ODI</w:t>
      </w:r>
      <w:r w:rsidR="0027019D" w:rsidRPr="0027019D">
        <w:t>的</w:t>
      </w:r>
      <w:r w:rsidR="0027019D" w:rsidRPr="0027019D">
        <w:t>90%</w:t>
      </w:r>
      <w:r w:rsidR="0027019D" w:rsidRPr="0027019D">
        <w:t>分位数）为</w:t>
      </w:r>
      <w:r w:rsidR="0027019D" w:rsidRPr="0027019D">
        <w:t>0.7474</w:t>
      </w:r>
      <w:r w:rsidR="0027019D" w:rsidRPr="0027019D">
        <w:t>，说明约</w:t>
      </w:r>
      <w:r w:rsidR="0027019D" w:rsidRPr="0027019D">
        <w:t>10%</w:t>
      </w:r>
      <w:r w:rsidR="0027019D" w:rsidRPr="0027019D">
        <w:t>的区域</w:t>
      </w:r>
      <w:r w:rsidR="0027019D" w:rsidRPr="0027019D">
        <w:t>ODI</w:t>
      </w:r>
      <w:r w:rsidR="0027019D" w:rsidRPr="0027019D">
        <w:t>高于该值，存在局部高值扰动；</w:t>
      </w:r>
      <w:r w:rsidR="0027019D" w:rsidRPr="0027019D">
        <w:t>ODI</w:t>
      </w:r>
      <w:r w:rsidR="0027019D" w:rsidRPr="0027019D">
        <w:t>＞</w:t>
      </w:r>
      <w:r w:rsidR="0027019D" w:rsidRPr="0027019D">
        <w:t>0.70</w:t>
      </w:r>
      <w:r w:rsidR="0027019D" w:rsidRPr="0027019D">
        <w:t>区域占</w:t>
      </w:r>
      <w:r w:rsidR="0027019D" w:rsidRPr="0027019D">
        <w:t>15.89%</w:t>
      </w:r>
      <w:r w:rsidR="0027019D" w:rsidRPr="0027019D">
        <w:t>，表明采区内约</w:t>
      </w:r>
      <w:r w:rsidR="0027019D" w:rsidRPr="0027019D">
        <w:t>1/6</w:t>
      </w:r>
      <w:r w:rsidR="0027019D" w:rsidRPr="0027019D">
        <w:t>范围达到中高扰动水平，工作面布置时应优先避让或进一步复核。在候选工作面布置方案中，分别按工程组织效率、资源覆盖程度和扰动控制效果选取</w:t>
      </w:r>
      <w:r w:rsidR="0027019D" w:rsidRPr="0027019D">
        <w:t>3</w:t>
      </w:r>
      <w:r w:rsidR="0027019D" w:rsidRPr="0027019D">
        <w:t>个代表方案进行对比。资源回收优先方案覆盖率最高，为</w:t>
      </w:r>
      <w:r w:rsidR="0027019D" w:rsidRPr="0027019D">
        <w:t>98.52%</w:t>
      </w:r>
      <w:r w:rsidR="0027019D" w:rsidRPr="0027019D">
        <w:t>，但扰动水平相对较高；低扰动候选方案覆盖率为</w:t>
      </w:r>
      <w:r w:rsidR="0027019D" w:rsidRPr="0027019D">
        <w:t>80.67%</w:t>
      </w:r>
      <w:r w:rsidR="0027019D" w:rsidRPr="0027019D">
        <w:t>，但</w:t>
      </w:r>
      <w:r w:rsidR="0027019D" w:rsidRPr="0027019D">
        <w:t>ODI</w:t>
      </w:r>
      <w:r w:rsidR="0027019D" w:rsidRPr="0027019D">
        <w:t>均值和</w:t>
      </w:r>
      <w:r w:rsidR="0027019D" w:rsidRPr="0027019D">
        <w:t>P90</w:t>
      </w:r>
      <w:r w:rsidR="0027019D" w:rsidRPr="0027019D">
        <w:t>最低，分别为</w:t>
      </w:r>
      <w:r w:rsidR="0027019D" w:rsidRPr="0027019D">
        <w:t>0.4416</w:t>
      </w:r>
      <w:r w:rsidR="0027019D" w:rsidRPr="0027019D">
        <w:t>和</w:t>
      </w:r>
      <w:r w:rsidR="0027019D" w:rsidRPr="0027019D">
        <w:t>0.6353</w:t>
      </w:r>
      <w:r w:rsidR="0027019D" w:rsidRPr="0027019D">
        <w:t>；工程效率优先方案覆盖率为</w:t>
      </w:r>
      <w:r w:rsidR="0027019D" w:rsidRPr="0027019D">
        <w:t>89.34%</w:t>
      </w:r>
      <w:r w:rsidR="0027019D" w:rsidRPr="0027019D">
        <w:t>，综合表现介于二者之间。结果表明，资源覆盖与扰动控制之间存在明显取舍，低扰动方案不宜仅依据</w:t>
      </w:r>
      <w:r w:rsidR="0027019D" w:rsidRPr="0027019D">
        <w:t>ODI</w:t>
      </w:r>
      <w:r w:rsidR="0027019D" w:rsidRPr="0027019D">
        <w:t>超阈值面积比例判定，还应综合考虑</w:t>
      </w:r>
      <w:r w:rsidR="0027019D" w:rsidRPr="0027019D">
        <w:t>ODI</w:t>
      </w:r>
      <w:r w:rsidR="0027019D" w:rsidRPr="0027019D">
        <w:t>均值、</w:t>
      </w:r>
      <w:r w:rsidR="0027019D" w:rsidRPr="0027019D">
        <w:t>P90</w:t>
      </w:r>
      <w:r w:rsidR="0027019D" w:rsidRPr="0027019D">
        <w:t>和扰动风险综合得分。工程应用结果说明，将</w:t>
      </w:r>
      <w:r w:rsidR="0027019D" w:rsidRPr="0027019D">
        <w:t>ODI</w:t>
      </w:r>
      <w:r w:rsidR="0027019D" w:rsidRPr="0027019D">
        <w:t>引入采区规划，可在工作面布置阶段提前识别覆岩扰动较强区域，减少后续校核发现问题后的方案反复调整，为复杂地质条件下采区规划和风险前置控制提供参考。</w:t>
      </w:r>
    </w:p>
    <w:p w14:paraId="482CD07D" w14:textId="6CEFA343" w:rsidR="00351EC4" w:rsidRPr="00351EC4" w:rsidRDefault="00351EC4" w:rsidP="00351EC4">
      <w:pPr>
        <w:pStyle w:val="05"/>
      </w:pPr>
      <w:r w:rsidRPr="00351EC4">
        <w:t>关键词：</w:t>
      </w:r>
      <w:r w:rsidR="00E27169" w:rsidRPr="00E27169">
        <w:t>采区规划；工作面布置；覆岩扰动指数；多场景约束；多目标评价</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2DC50B2F" w:rsidR="00351EC4" w:rsidRPr="009C06F7" w:rsidRDefault="0027019D" w:rsidP="009C06F7">
      <w:pPr>
        <w:pStyle w:val="06"/>
      </w:pPr>
      <w:r w:rsidRPr="0027019D">
        <w:t>Mining District Planning Method under Multi-Scenario Mining-Induced Disturbance Constraints and Its Engineering Applicatio</w:t>
      </w:r>
      <w:r w:rsidR="00EC4EA7" w:rsidRPr="00EC4EA7">
        <w:t>n</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2B46AAC8" w:rsidR="00351EC4" w:rsidRPr="009C06F7" w:rsidRDefault="00351EC4" w:rsidP="009C06F7">
      <w:pPr>
        <w:pStyle w:val="09"/>
      </w:pPr>
      <w:r w:rsidRPr="009C06F7">
        <w:t xml:space="preserve">Abstract: </w:t>
      </w:r>
      <w:r w:rsidR="0027019D" w:rsidRPr="0027019D">
        <w:t xml:space="preserve">Traditional mining district planning usually determines the working face layout first based on the mining district boundary, coal seam thickness, coal pillar design, and working face parameters, and then checks surface subsidence, aquifer disturbance, and upward mining safety. For mining districts with thick coal seams, weak overburden, and complex aquifer conditions, if overburden disturbance is not considered during the layout stage, later checks may find that some working faces are located in areas with large subsidence influence, strong water-conducting fracture development, or poor overburden stability, requiring repeated adjustment of working face boundaries, coal pillar widths, or mining directions. To address this problem, a mining district planning method under </w:t>
      </w:r>
      <w:r w:rsidR="003B394F">
        <w:t>multi-scenario mining-induced disturbance constraints</w:t>
      </w:r>
      <w:r w:rsidR="0027019D" w:rsidRPr="0027019D">
        <w:t xml:space="preserve"> is proposed. The method first determines the area where working faces can be arranged according to the mining district boundary, coal pillar design, and protection requirements, and then uses borehole coal thickness data to characterize the spatial variation of coal seam thickness. On this basis, an overburden disturbance index (ODI) is proposed. Surface subsidence, aquifer disturbance, and upward mining risks are normalized and weighted to form a 0–1 spatial evaluation index, which is used to identify areas with relatively strong overburden disturbance and to compare working face layout schemes. Taking the Mindong mining area as an example, an 80×56-grid ODI layer was constructed. The results show that the mean </w:t>
      </w:r>
      <w:r w:rsidR="0027019D" w:rsidRPr="0027019D">
        <w:lastRenderedPageBreak/>
        <w:t>ODI of the study area is 0.4669, indicating an overall moderate disturbance level. The P90 value, namely the 90th percentile of ODI, is 0.7474, meaning that about 10% of the area has ODI values higher than this value and shows local high disturbance. The area with ODI greater than 0.70 accounts for 15.89%, indicating that about one sixth of the study area reaches a medium-to-high disturbance level and should be avoided or further checked during working face layout. Among the candidate working face layout schemes, three representative schemes were selected according to engineering organization efficiency, resource coverage, and disturbance control. The resource-recovery-prioritized scheme has the highest coverage ratio of 98.52%, but its disturbance level is relatively high. The low-disturbance candidate scheme has a coverage ratio of 80.67%, but has the lowest mean ODI and P90, which are 0.4416 and 0.6353, respectively. The engineering-efficiency-prioritized scheme has a coverage ratio of 89.34%, with an overall performance between the other two schemes. The results show that there is an obvious trade-off between resource coverage and disturbance control. A low-disturbance scheme should not be identified only by the area proportion exceeding a given ODI threshold; instead, the mean ODI, P90, and comprehensive disturbance risk score should be considered together. The engineering application indicates that introducing ODI into mining district planning can help identify areas with strong overburden disturbance during the working face layout stage, reduce repeated scheme adjustment after later checks, and provide a reference for mining district planning and proactive risk control under complex geological conditions</w:t>
      </w:r>
      <w:r w:rsidR="00E27169" w:rsidRPr="00E27169">
        <w:t>.</w:t>
      </w:r>
    </w:p>
    <w:p w14:paraId="03E1EEC9" w14:textId="1D646AAF" w:rsidR="00351EC4" w:rsidRPr="009C06F7" w:rsidRDefault="00351EC4" w:rsidP="009C06F7">
      <w:pPr>
        <w:pStyle w:val="09"/>
      </w:pPr>
      <w:r w:rsidRPr="009C06F7">
        <w:t xml:space="preserve">Keywords: </w:t>
      </w:r>
      <w:r w:rsidR="00E27169" w:rsidRPr="00E27169">
        <w:t>mining district planning; working face layout; overburden disturbance index; multi-scenario constraint; multi-objective evaluation</w:t>
      </w:r>
    </w:p>
    <w:p w14:paraId="592C6F45" w14:textId="434AE07E" w:rsidR="00351EC4" w:rsidRDefault="00E27169" w:rsidP="00D027BE">
      <w:pPr>
        <w:pStyle w:val="18"/>
        <w:ind w:left="0" w:firstLineChars="0" w:firstLine="0"/>
      </w:pPr>
      <w:r w:rsidRPr="00E27169">
        <w:t>作者简介：李杨（</w:t>
      </w:r>
      <w:r w:rsidRPr="00E27169">
        <w:t>1982—</w:t>
      </w:r>
      <w:r w:rsidRPr="00E27169">
        <w:t>），男，河北唐山人，教授，博士，主要从事矿业工程、智能开采与矿山压力控制等方面研究。</w:t>
      </w:r>
      <w:r w:rsidRPr="00E27169">
        <w:br/>
      </w:r>
      <w:r w:rsidRPr="00E27169">
        <w:t>通信作者：刘浩天（</w:t>
      </w:r>
      <w:r w:rsidRPr="00E27169">
        <w:t>2001—</w:t>
      </w:r>
      <w:r w:rsidRPr="00E27169">
        <w:t>），男，河北唐山人，博士研究生，主要从事矿山压力与采区规划方面研究。</w:t>
      </w:r>
      <w:r w:rsidRPr="00E27169">
        <w:t>E-mail</w:t>
      </w:r>
      <w:r w:rsidRPr="00E27169">
        <w:t>：</w:t>
      </w:r>
      <w:r w:rsidRPr="00E27169">
        <w:t>gqt2500103011@student.cumtb.edu.cn</w:t>
      </w:r>
    </w:p>
    <w:p w14:paraId="6145EC68" w14:textId="44D8E3CB" w:rsidR="00E27169" w:rsidRPr="00351EC4" w:rsidRDefault="00E27169" w:rsidP="00D027BE">
      <w:pPr>
        <w:pStyle w:val="18"/>
        <w:ind w:left="0" w:firstLineChars="0" w:firstLine="0"/>
        <w:sectPr w:rsidR="00E27169" w:rsidRPr="00351EC4" w:rsidSect="004B50B8">
          <w:headerReference w:type="default" r:id="rId8"/>
          <w:type w:val="continuous"/>
          <w:pgSz w:w="11906" w:h="16838"/>
          <w:pgMar w:top="1417" w:right="1134" w:bottom="1417" w:left="1134" w:header="720" w:footer="720" w:gutter="0"/>
          <w:cols w:space="425"/>
          <w:docGrid w:linePitch="360"/>
        </w:sectPr>
      </w:pPr>
    </w:p>
    <w:p w14:paraId="528B4911" w14:textId="77777777" w:rsidR="00351EC4" w:rsidRPr="00DF00E8" w:rsidRDefault="00351EC4" w:rsidP="00DF00E8">
      <w:pPr>
        <w:pStyle w:val="11"/>
      </w:pPr>
      <w:r w:rsidRPr="00DF00E8">
        <w:t xml:space="preserve">0 </w:t>
      </w:r>
      <w:r w:rsidRPr="00DF00E8">
        <w:t>引言</w:t>
      </w:r>
    </w:p>
    <w:p w14:paraId="10C17976" w14:textId="77777777" w:rsidR="007F32CE" w:rsidRPr="007F32CE" w:rsidRDefault="007F32CE" w:rsidP="007F32CE">
      <w:pPr>
        <w:pStyle w:val="100"/>
        <w:ind w:firstLine="420"/>
      </w:pPr>
      <w:r w:rsidRPr="007F32CE">
        <w:t>目前，煤矿采区设计中，工作面划分通常是采区规划的主体内容。设计人员一般依据采区边界、煤层赋存、煤柱留设、工作面宽度、推进长度和巷道布置等条件，确定工作面数量、位置及推进方向</w:t>
      </w:r>
      <w:r w:rsidRPr="007F32CE">
        <w:rPr>
          <w:vertAlign w:val="superscript"/>
        </w:rPr>
        <w:t>[1-3]</w:t>
      </w:r>
      <w:r w:rsidRPr="007F32CE">
        <w:t>。对于断层、陷落柱、风化带、采空区、保护煤柱等空间位置较明确的限制因素，通常可以在设计阶段通过避让、留设煤柱或调整边界等方式进行处理</w:t>
      </w:r>
      <w:r w:rsidRPr="007F32CE">
        <w:rPr>
          <w:vertAlign w:val="superscript"/>
        </w:rPr>
        <w:t>[4-6]</w:t>
      </w:r>
      <w:r w:rsidRPr="007F32CE">
        <w:t>。这类因素在采前已有较清楚的平面位置，能够较直接地进入工作面布置过程。相比之下，地表沉陷、导水裂隙带发育、含水层受扰以及上覆岩层稳定性变化等问题，往往是在开采后逐步表现出来，其影响范围和强弱不易在工作面初始划分阶段直接判断</w:t>
      </w:r>
      <w:r w:rsidRPr="007F32CE">
        <w:rPr>
          <w:vertAlign w:val="superscript"/>
        </w:rPr>
        <w:t>[7-10]</w:t>
      </w:r>
      <w:r w:rsidRPr="007F32CE">
        <w:t>。因此，在实际设计中，工作面布置完成后，再开展沉陷预计、导水裂隙带高度判定、含水层保护和上行开采安全性校核，是较为常见的技术路径</w:t>
      </w:r>
      <w:r w:rsidRPr="007F32CE">
        <w:rPr>
          <w:vertAlign w:val="superscript"/>
        </w:rPr>
        <w:t>[11-13]</w:t>
      </w:r>
      <w:r w:rsidRPr="007F32CE">
        <w:t>。</w:t>
      </w:r>
    </w:p>
    <w:p w14:paraId="695D631B" w14:textId="77777777" w:rsidR="007F32CE" w:rsidRPr="007F32CE" w:rsidRDefault="007F32CE" w:rsidP="007F32CE">
      <w:pPr>
        <w:pStyle w:val="100"/>
        <w:ind w:firstLine="420"/>
      </w:pPr>
      <w:r w:rsidRPr="007F32CE">
        <w:t>这种</w:t>
      </w:r>
      <w:r w:rsidRPr="007F32CE">
        <w:t>“</w:t>
      </w:r>
      <w:r w:rsidRPr="007F32CE">
        <w:t>先布置、后校核</w:t>
      </w:r>
      <w:r w:rsidRPr="007F32CE">
        <w:t>”</w:t>
      </w:r>
      <w:r w:rsidRPr="007F32CE">
        <w:t>的方式符合常规采区设计习惯，在地质条件较简单、覆岩结构较稳定的矿井中具有较好的工程适用性。但对于厚煤层、软弱覆岩、含水层发育或上覆煤层开采影响明显的采区，单纯依据边界条件和工作面参数完成布置，容易将采动扰动问题后置</w:t>
      </w:r>
      <w:r w:rsidRPr="007F32CE">
        <w:rPr>
          <w:vertAlign w:val="superscript"/>
        </w:rPr>
        <w:t>[14-16]</w:t>
      </w:r>
      <w:r w:rsidRPr="007F32CE">
        <w:t>。也就是说，工作面在平面图上可以布置得较为规整，资源覆盖</w:t>
      </w:r>
      <w:r w:rsidRPr="007F32CE">
        <w:t>率也可能较高，但在后续专项校核中，可能发现部分工作面处于沉陷影响较大、导水裂隙带发育较强或上覆岩层稳定性较差的区域</w:t>
      </w:r>
      <w:r w:rsidRPr="007F32CE">
        <w:rPr>
          <w:vertAlign w:val="superscript"/>
        </w:rPr>
        <w:t>[17-19]</w:t>
      </w:r>
      <w:r w:rsidRPr="007F32CE">
        <w:t>。此时，原有方案需要重新调整工作面边界、煤柱宽度、推进方向甚至工作面数量，既增加设计反复，也可能影响采掘接续安排。因此，复杂条件下采区规划需要实现从</w:t>
      </w:r>
      <w:r w:rsidRPr="007F32CE">
        <w:t>“</w:t>
      </w:r>
      <w:r w:rsidRPr="007F32CE">
        <w:t>划分工作面</w:t>
      </w:r>
      <w:r w:rsidRPr="007F32CE">
        <w:t>”</w:t>
      </w:r>
      <w:r w:rsidRPr="007F32CE">
        <w:t>到</w:t>
      </w:r>
      <w:r w:rsidRPr="007F32CE">
        <w:t>“</w:t>
      </w:r>
      <w:r w:rsidRPr="007F32CE">
        <w:t>判明采动扰动约束</w:t>
      </w:r>
      <w:r w:rsidRPr="007F32CE">
        <w:t>”</w:t>
      </w:r>
      <w:r w:rsidRPr="007F32CE">
        <w:t>的转变。</w:t>
      </w:r>
    </w:p>
    <w:p w14:paraId="3EAFE856" w14:textId="77777777" w:rsidR="007F32CE" w:rsidRPr="007F32CE" w:rsidRDefault="007F32CE" w:rsidP="007F32CE">
      <w:pPr>
        <w:pStyle w:val="100"/>
        <w:ind w:firstLine="420"/>
      </w:pPr>
      <w:r w:rsidRPr="007F32CE">
        <w:t>采动扰动因素与传统地质限制因素具有不同的工程特点。断层、陷落柱、风化带等异常体多表现为边界明确的空间对象，设计时可以直接圈定并避让</w:t>
      </w:r>
      <w:r w:rsidRPr="007F32CE">
        <w:rPr>
          <w:vertAlign w:val="superscript"/>
        </w:rPr>
        <w:t>[20-21]</w:t>
      </w:r>
      <w:r w:rsidRPr="007F32CE">
        <w:t>；而地表沉陷、导水裂隙带发育和含水层受扰等采动响应，则与煤层厚度、采高、覆岩结构、隔水层厚度、含水层位置、煤柱留设和工作面推进方向等多种因素有关</w:t>
      </w:r>
      <w:r w:rsidRPr="007F32CE">
        <w:rPr>
          <w:vertAlign w:val="superscript"/>
        </w:rPr>
        <w:t>[22-25]</w:t>
      </w:r>
      <w:r w:rsidRPr="007F32CE">
        <w:t>。某一区域煤层厚度较大，并不一定说明其适宜优先布置工作面；某一方案覆盖范围较大，也不一定代表其后续安全校核压力较小。对于这类问题，仅凭工作面几何形态和资源覆盖程度难以作出判断，需要在方案形成之前，对采区内不同位置的采动扰动强弱进行初步识别。</w:t>
      </w:r>
    </w:p>
    <w:p w14:paraId="7D7109CC" w14:textId="77777777" w:rsidR="007F32CE" w:rsidRPr="007F32CE" w:rsidRDefault="007F32CE" w:rsidP="007F32CE">
      <w:pPr>
        <w:pStyle w:val="100"/>
        <w:ind w:firstLine="420"/>
      </w:pPr>
      <w:r w:rsidRPr="007F32CE">
        <w:t>近年来，透明地质、钻孔数据建模、煤层厚度插值和三维地质建模等研究不断发展，为采区地质条件的精细化表达提供了基础</w:t>
      </w:r>
      <w:r w:rsidRPr="007F32CE">
        <w:rPr>
          <w:vertAlign w:val="superscript"/>
        </w:rPr>
        <w:t>[26-29]</w:t>
      </w:r>
      <w:r w:rsidRPr="007F32CE">
        <w:t>。覆岩移动规律、地表沉陷预计、导水裂隙带高度判定、含水</w:t>
      </w:r>
      <w:r w:rsidRPr="007F32CE">
        <w:lastRenderedPageBreak/>
        <w:t>层保护和上行开采安全评价等研究，也为采动影响识别和安全边界确定提供了理论依据</w:t>
      </w:r>
      <w:r w:rsidRPr="007F32CE">
        <w:rPr>
          <w:vertAlign w:val="superscript"/>
        </w:rPr>
        <w:t>[30-36]</w:t>
      </w:r>
      <w:r w:rsidRPr="007F32CE">
        <w:t>。同时，多目标优化、智能寻优和方案排序等方法逐渐应用于采矿设计，为工作面布置方案比较提供了新的技术手段</w:t>
      </w:r>
      <w:r w:rsidRPr="007F32CE">
        <w:rPr>
          <w:vertAlign w:val="superscript"/>
        </w:rPr>
        <w:t>[37-41]</w:t>
      </w:r>
      <w:r w:rsidRPr="007F32CE">
        <w:t>。这些研究在地质条件表达、采动影响评价和方案优选方面取得了较多成果，但从采区设计过程看，仍存在一定脱节。一方面，地质资料多作为工作面布置的背景依据，尚未充分转化为可参与方案生成的数据条件；另一方面，地表沉陷、含水层扰动和上行开采安全性多作为方案形成后的校核内容，尚未充分前移到工作面布置阶段。由此导致采区方案比选仍较多关注工作面是否规整、覆盖面积是否较高、巷道布置是否方便，而对不同方案所对应的采动扰动差异考虑不足。</w:t>
      </w:r>
    </w:p>
    <w:p w14:paraId="7491E026" w14:textId="77777777" w:rsidR="007F32CE" w:rsidRPr="007F32CE" w:rsidRDefault="007F32CE" w:rsidP="007F32CE">
      <w:pPr>
        <w:pStyle w:val="100"/>
        <w:ind w:firstLine="420"/>
      </w:pPr>
      <w:r w:rsidRPr="007F32CE">
        <w:t>针对上述问题，有必要将采区规划中的显性地质约束和采动响应约束统一起来。显性地质约束主要解决</w:t>
      </w:r>
      <w:r w:rsidRPr="007F32CE">
        <w:t>“</w:t>
      </w:r>
      <w:r w:rsidRPr="007F32CE">
        <w:t>哪些区域不能布置或不宜布置</w:t>
      </w:r>
      <w:r w:rsidRPr="007F32CE">
        <w:t>”</w:t>
      </w:r>
      <w:r w:rsidRPr="007F32CE">
        <w:t>的问题，包括采区边界、煤柱、断层、陷落柱、风化带、采空区和保护对象等；采动响应约束则主要解决</w:t>
      </w:r>
      <w:r w:rsidRPr="007F32CE">
        <w:t>“</w:t>
      </w:r>
      <w:r w:rsidRPr="007F32CE">
        <w:t>哪些区域开采后扰动较强、后续校核压力较大</w:t>
      </w:r>
      <w:r w:rsidRPr="007F32CE">
        <w:t>”</w:t>
      </w:r>
      <w:r w:rsidRPr="007F32CE">
        <w:t>的问题，包括地表沉陷、导水裂隙带发育、含水层受扰和上行开采稳定性等</w:t>
      </w:r>
      <w:r w:rsidRPr="007F32CE">
        <w:rPr>
          <w:vertAlign w:val="superscript"/>
        </w:rPr>
        <w:t>[42-44]</w:t>
      </w:r>
      <w:r w:rsidRPr="007F32CE">
        <w:t>。只有将两类约束同时纳入工作面方案形成过程，才能在采区规划阶段比较不同方案在资源回收、工程组织和扰动控制之间的差异。换言之，采区规划不能只停留在工作面能否布置，还应进一步回答哪些区域适合优先布置、哪些区域需要避让或复核、不同布置方案的综合效果如何。</w:t>
      </w:r>
    </w:p>
    <w:p w14:paraId="1B511A8D" w14:textId="77777777" w:rsidR="007F32CE" w:rsidRPr="007F32CE" w:rsidRDefault="007F32CE" w:rsidP="007F32CE">
      <w:pPr>
        <w:pStyle w:val="100"/>
        <w:ind w:firstLine="420"/>
      </w:pPr>
      <w:r w:rsidRPr="007F32CE">
        <w:t>面向这一需求，本文构建基于多场景采动扰动约束的采区规划决策系统。系统以采区边界、钻孔煤厚、煤柱参数、工作面设计参数和采动扰动评价结果为输入，首先确定工作面可布置区域，并利用钻孔煤厚资料计算煤层厚度分布；随后将地表沉陷、含水层扰动和上行开采影响统一转化为综合覆岩扰动指数，用于表征采区内不同位置的扰动强弱；在此基础上，生成满足工作面宽度、推进长度、煤柱留设和几何形态要求的候选方案，并从工程效率、资源覆盖和扰动控制等方面进行评价。该系统的重点不是取代后续专项安全校核，而是在工作面划分之前，将可能影响方案合理性的采动扰动因素提前纳入规划过程，为方案初选和后续复核对象确定提供依据。</w:t>
      </w:r>
    </w:p>
    <w:p w14:paraId="117459BC" w14:textId="77777777" w:rsidR="007F32CE" w:rsidRPr="007F32CE" w:rsidRDefault="007F32CE" w:rsidP="007F32CE">
      <w:pPr>
        <w:pStyle w:val="100"/>
        <w:ind w:firstLine="420"/>
      </w:pPr>
      <w:r w:rsidRPr="007F32CE">
        <w:t>本文以敏东矿区为工程对象，对所构建的采区规划决策系统进行应用。通过建立煤厚分布图</w:t>
      </w:r>
      <w:r w:rsidRPr="007F32CE">
        <w:t>层和综合覆岩扰动指数图层，分析研究区资源条件与采动扰动强弱的空间差异；在此基础上生成工程效率优先、资源回收优先和低扰动候选等不同规划偏好下的工作面布置方案，并比较各方案在覆盖率、扰动均值、高分位扰动值和超阈值比例等方面的差异。研究结果可为复杂地质条件下采区规划由经验布置向多源参数约束、多方案评价和扰动风险前置控制转变提供参考。</w:t>
      </w:r>
    </w:p>
    <w:p w14:paraId="164321F8" w14:textId="0FB8C3BA" w:rsidR="00351EC4" w:rsidRPr="00624086" w:rsidRDefault="00351EC4" w:rsidP="00624086">
      <w:pPr>
        <w:pStyle w:val="11"/>
      </w:pPr>
      <w:r w:rsidRPr="00624086">
        <w:t xml:space="preserve">1 </w:t>
      </w:r>
      <w:r w:rsidR="00A1550E" w:rsidRPr="00A1550E">
        <w:t>采动扰动约束下采区规划思路</w:t>
      </w:r>
    </w:p>
    <w:p w14:paraId="69F5FAB9" w14:textId="30AD9B1A" w:rsidR="00A86782" w:rsidRDefault="00A1550E" w:rsidP="00A86782">
      <w:pPr>
        <w:pStyle w:val="100"/>
        <w:ind w:firstLine="420"/>
      </w:pPr>
      <w:r w:rsidRPr="00A1550E">
        <w:t>采区规划的核心任务，是在给定资源赋存条件、采区边界、生产接续和安全控制要求下，确定工作面数量、工作面宽度、推进方向、煤柱留设、巷道布置及采掘接续关系等内容。工作面布置不仅影响资源回收率、巷道工程量和生产组织效率，也会影响覆岩移动、地表沉陷、导水裂隙带发育、含水层保护和上行开采安全。因此，采区规划不能简单理解为在采区边界内划分几个工作面，而应在煤层赋存、工程布置、资源回收和采动影响之间进行综合协调</w:t>
      </w:r>
      <w:r w:rsidR="00A86782">
        <w:rPr>
          <w:rFonts w:hint="eastAsia"/>
        </w:rPr>
        <w:t>。</w:t>
      </w:r>
    </w:p>
    <w:p w14:paraId="287AF027" w14:textId="0CDCF976" w:rsidR="00351EC4" w:rsidRPr="00351EC4" w:rsidRDefault="00351EC4" w:rsidP="00DF00E8">
      <w:pPr>
        <w:pStyle w:val="12"/>
      </w:pPr>
      <w:r w:rsidRPr="00351EC4">
        <w:t xml:space="preserve">1.1 </w:t>
      </w:r>
      <w:r w:rsidR="00A1550E" w:rsidRPr="00A1550E">
        <w:t>传统工作面布置方式及其局限</w:t>
      </w:r>
    </w:p>
    <w:p w14:paraId="03A66961" w14:textId="77777777" w:rsidR="00A1550E" w:rsidRPr="00A1550E" w:rsidRDefault="00A1550E" w:rsidP="00A1550E">
      <w:pPr>
        <w:pStyle w:val="100"/>
        <w:ind w:firstLine="420"/>
      </w:pPr>
      <w:r w:rsidRPr="00A1550E">
        <w:t>常规采区规划通常先根据采区边界、煤层赋存条件、煤柱留设经验、工作面宽度和推进方向等因素，划分工作面并形成初步布置方案。方案形成后，再分别校核地表沉陷、导水裂隙带发育、含水层受扰和上行开采安全性等问题。这种做法符合矿井设计的一般流程，便于按照已有经验和设计参数组织工作面布置。</w:t>
      </w:r>
    </w:p>
    <w:p w14:paraId="03ACED27" w14:textId="2025BC06" w:rsidR="00A1550E" w:rsidRPr="00A1550E" w:rsidRDefault="00A1550E" w:rsidP="00A1550E">
      <w:pPr>
        <w:pStyle w:val="100"/>
        <w:ind w:firstLine="420"/>
      </w:pPr>
      <w:r w:rsidRPr="00A1550E">
        <w:t>但在地质条件复杂、开采影响范围较大或安全控制要求较高的采区中，问题往往会出现在后续校核阶段。比如，初步布置的工作面可能压到沉陷影响较大的区域，或靠近导水裂隙发育较强、含水层保护要求较高的区域；也可能因为煤柱宽度、推进方向或工作面数量设置不合适，导致资源回收和安全控制难以兼顾。这时就需要重新调整工作面边界、煤柱宽度、推进方向甚至工作面数量。</w:t>
      </w:r>
    </w:p>
    <w:p w14:paraId="1C129EBA" w14:textId="77777777" w:rsidR="00A1550E" w:rsidRPr="00A1550E" w:rsidRDefault="00A1550E" w:rsidP="00A1550E">
      <w:pPr>
        <w:pStyle w:val="100"/>
        <w:ind w:firstLine="420"/>
      </w:pPr>
      <w:r w:rsidRPr="00A1550E">
        <w:t>因此，传统</w:t>
      </w:r>
      <w:r w:rsidRPr="00A1550E">
        <w:t>“</w:t>
      </w:r>
      <w:r w:rsidRPr="00A1550E">
        <w:t>先划分工作面、再逐项校核</w:t>
      </w:r>
      <w:r w:rsidRPr="00A1550E">
        <w:t>”</w:t>
      </w:r>
      <w:r w:rsidRPr="00A1550E">
        <w:t>的方式虽然便于实施，但在复杂地质和多类安全约束条件下容易造成方案反复修改。对于这类采区，更合理的做法是在工作面布置阶段就把地表沉陷、含水层扰动和上行开采影响考虑进去，使方案一开始就避开或减少经过扰动较强的区域。</w:t>
      </w:r>
    </w:p>
    <w:p w14:paraId="5A3784F2" w14:textId="09ECBFDF" w:rsidR="00A8389E" w:rsidRPr="00A8389E" w:rsidRDefault="00A8389E" w:rsidP="00624086">
      <w:pPr>
        <w:pStyle w:val="12"/>
      </w:pPr>
      <w:r w:rsidRPr="00A8389E">
        <w:t xml:space="preserve">1.2 </w:t>
      </w:r>
      <w:r w:rsidR="00A1550E" w:rsidRPr="00A1550E">
        <w:t>采动扰动约束下的工作面布置思路</w:t>
      </w:r>
    </w:p>
    <w:p w14:paraId="33A5BBE3" w14:textId="77777777" w:rsidR="00B139E1" w:rsidRPr="00B139E1" w:rsidRDefault="00B139E1" w:rsidP="00B139E1">
      <w:pPr>
        <w:pStyle w:val="100"/>
        <w:ind w:firstLine="420"/>
      </w:pPr>
      <w:r w:rsidRPr="00B139E1">
        <w:t>针对常规采区规划中方案形成后仍需反复校</w:t>
      </w:r>
      <w:r w:rsidRPr="00B139E1">
        <w:lastRenderedPageBreak/>
        <w:t>核和调整的问题，本文在工作面布置方案生成过程中引入采动扰动约束。这里的采动扰动并不局限于地表沉陷，而是包括采动引起的覆岩移动、导水裂隙发育、含水层受扰以及上行开采条件下的覆岩再扰动等影响。其核心思路是：在工作面方案形成之前，将地质条件、工程约束和扰动评价结果共同纳入规划过程，使方案生成不再只依赖边界形态和经验参数，而能够同步考虑资源利用和扰动控制要求。</w:t>
      </w:r>
    </w:p>
    <w:p w14:paraId="7825D2FF" w14:textId="11450BCA" w:rsidR="00B139E1" w:rsidRPr="00B139E1" w:rsidRDefault="00B139E1" w:rsidP="00B139E1">
      <w:pPr>
        <w:pStyle w:val="100"/>
        <w:ind w:firstLine="420"/>
      </w:pPr>
      <w:r w:rsidRPr="00B139E1">
        <w:t>具体而言，首先依据采区边界、煤柱留设和保护要求确定</w:t>
      </w:r>
      <w:r w:rsidR="00404D0C">
        <w:t>工作面可布置区域</w:t>
      </w:r>
      <w:r w:rsidRPr="00B139E1">
        <w:t>，避免候选方案出现越界、煤柱不足或局部不可实施等问题；其次，利用钻孔煤厚资料刻画煤层厚度的空间变化，使资源回收评价不再仅以面积覆盖率为依据；再次，</w:t>
      </w:r>
      <w:r w:rsidRPr="00B139E1">
        <w:t>将地表沉陷、含水层扰动和上行开采影响量化为综合</w:t>
      </w:r>
      <w:r w:rsidRPr="00B139E1">
        <w:t>ODI</w:t>
      </w:r>
      <w:r w:rsidRPr="00B139E1">
        <w:t>指标，用于表征采区内不同位置的扰动强弱；最后，在上述条件共同约束下生成候选工作面方案，并从工程效率、资源覆盖和扰动控制等方面进行比较。</w:t>
      </w:r>
    </w:p>
    <w:p w14:paraId="0233BC2C" w14:textId="26F8FA00" w:rsidR="009B6A5F" w:rsidRPr="00B139E1" w:rsidRDefault="00B139E1" w:rsidP="00B139E1">
      <w:pPr>
        <w:pStyle w:val="100"/>
        <w:ind w:firstLine="420"/>
      </w:pPr>
      <w:r w:rsidRPr="00B139E1">
        <w:t>与传统流程相比，本文方法的不同之处在于，地表沉陷、含水层扰动和上行开采影响不再只作为方案完成后的校核内容，而是在候选方案形成时就作为筛选依据。这样可以在工作面布置阶段提前发现方案是否经过扰动较强区域，减少后续因沉陷控制、含水层保护或上行开采安全问题引起的方案调整。传统采区规划与多场景约束采区规划流程对比如图</w:t>
      </w:r>
      <w:r w:rsidRPr="00B139E1">
        <w:t>1</w:t>
      </w:r>
      <w:r w:rsidRPr="00B139E1">
        <w:t>所示。</w:t>
      </w:r>
    </w:p>
    <w:p w14:paraId="3D4BC1CA" w14:textId="09349E54" w:rsidR="00F10457" w:rsidRDefault="00F10457" w:rsidP="00F10457">
      <w:pPr>
        <w:pStyle w:val="100"/>
        <w:ind w:firstLineChars="0" w:firstLine="0"/>
        <w:sectPr w:rsidR="00F10457" w:rsidSect="003F477A">
          <w:footerReference w:type="even" r:id="rId9"/>
          <w:footerReference w:type="default" r:id="rId10"/>
          <w:type w:val="continuous"/>
          <w:pgSz w:w="11906" w:h="16838"/>
          <w:pgMar w:top="1418" w:right="1134" w:bottom="1134" w:left="1134" w:header="720" w:footer="720" w:gutter="0"/>
          <w:cols w:num="2" w:space="720"/>
          <w:docGrid w:linePitch="598"/>
        </w:sectPr>
      </w:pPr>
    </w:p>
    <w:p w14:paraId="4A0AB74C" w14:textId="3ECBA159" w:rsidR="00F10457" w:rsidRDefault="00F10457" w:rsidP="00F10457">
      <w:pPr>
        <w:pStyle w:val="100"/>
        <w:ind w:firstLineChars="0" w:firstLine="0"/>
        <w:jc w:val="center"/>
      </w:pPr>
      <w:r w:rsidRPr="00F467F9">
        <w:rPr>
          <w:noProof/>
        </w:rPr>
        <w:drawing>
          <wp:inline distT="0" distB="0" distL="0" distR="0" wp14:anchorId="24F9AE72" wp14:editId="3EDA3C1A">
            <wp:extent cx="5778000" cy="3181833"/>
            <wp:effectExtent l="0" t="0" r="0"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81833"/>
                    </a:xfrm>
                    <a:prstGeom prst="rect">
                      <a:avLst/>
                    </a:prstGeom>
                    <a:noFill/>
                    <a:ln>
                      <a:noFill/>
                    </a:ln>
                  </pic:spPr>
                </pic:pic>
              </a:graphicData>
            </a:graphic>
          </wp:inline>
        </w:drawing>
      </w:r>
    </w:p>
    <w:p w14:paraId="17D61962" w14:textId="2F7F1BC3" w:rsidR="00F10457" w:rsidRDefault="00F10457" w:rsidP="00F10457">
      <w:pPr>
        <w:pStyle w:val="14"/>
      </w:pPr>
      <w:bookmarkStart w:id="0" w:name="_Ref22792573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1</w:t>
      </w:r>
      <w:r>
        <w:fldChar w:fldCharType="end"/>
      </w:r>
      <w:bookmarkEnd w:id="0"/>
      <w:r>
        <w:rPr>
          <w:rFonts w:hint="eastAsia"/>
        </w:rPr>
        <w:t xml:space="preserve"> </w:t>
      </w:r>
      <w:r w:rsidRPr="00F10457">
        <w:t>传统采区规划与多场景约束采区规划流程对比</w:t>
      </w:r>
    </w:p>
    <w:p w14:paraId="04FB48C5" w14:textId="5B8DC87B" w:rsidR="00F10457" w:rsidRPr="00A8389E" w:rsidRDefault="00F10457" w:rsidP="00F10457">
      <w:pPr>
        <w:pStyle w:val="14"/>
      </w:pPr>
      <w:r w:rsidRPr="00F10457">
        <w:t xml:space="preserve">Fig.1 </w:t>
      </w:r>
      <w:r w:rsidR="008419FD" w:rsidRPr="008419FD">
        <w:t>Comparison between traditional mining district planning and multi-scenario constrained planning</w:t>
      </w:r>
    </w:p>
    <w:p w14:paraId="1E563B40" w14:textId="77777777" w:rsidR="00F10457" w:rsidRDefault="00F10457" w:rsidP="00624086">
      <w:pPr>
        <w:pStyle w:val="12"/>
        <w:sectPr w:rsidR="00F10457" w:rsidSect="00F10457">
          <w:type w:val="continuous"/>
          <w:pgSz w:w="11906" w:h="16838"/>
          <w:pgMar w:top="1418" w:right="1134" w:bottom="1134" w:left="1134" w:header="720" w:footer="720" w:gutter="0"/>
          <w:cols w:space="720"/>
          <w:docGrid w:linePitch="598"/>
        </w:sectPr>
      </w:pPr>
    </w:p>
    <w:p w14:paraId="42BF0730" w14:textId="15D0FE80" w:rsidR="00A86782" w:rsidRDefault="00B139E1" w:rsidP="00A86782">
      <w:pPr>
        <w:pStyle w:val="100"/>
        <w:ind w:firstLine="420"/>
      </w:pPr>
      <w:r w:rsidRPr="00B139E1">
        <w:t>由图</w:t>
      </w:r>
      <w:r w:rsidRPr="00B139E1">
        <w:t>1</w:t>
      </w:r>
      <w:r w:rsidRPr="00B139E1">
        <w:t>可见，多场景约束采区规划的重点不在于增加一个后续校核步骤，而在于把地质资料整理、采动扰动评价和工作面</w:t>
      </w:r>
      <w:r>
        <w:rPr>
          <w:rFonts w:hint="eastAsia"/>
        </w:rPr>
        <w:t>设计</w:t>
      </w:r>
      <w:r w:rsidRPr="00B139E1">
        <w:t>衔接起来。这样形成的候选方案不仅满足边界、煤柱、工作面宽度和推进长度等基本采矿要求，还可以比较不同方案在资源覆盖、工程组织和扰动控制方面的差异</w:t>
      </w:r>
      <w:r w:rsidR="00A86782">
        <w:rPr>
          <w:rFonts w:hint="eastAsia"/>
        </w:rPr>
        <w:t>。</w:t>
      </w:r>
    </w:p>
    <w:p w14:paraId="1AC9B94F" w14:textId="10ABC4D9" w:rsidR="00A8389E" w:rsidRPr="00DF00E8" w:rsidRDefault="00A8389E" w:rsidP="00DF00E8">
      <w:pPr>
        <w:pStyle w:val="12"/>
      </w:pPr>
      <w:r w:rsidRPr="00DF00E8">
        <w:t xml:space="preserve">1.3 </w:t>
      </w:r>
      <w:r w:rsidR="00B139E1" w:rsidRPr="00B139E1">
        <w:t>采动扰动约束下方案比选的基本要求</w:t>
      </w:r>
    </w:p>
    <w:p w14:paraId="4276C99C" w14:textId="5035DD87" w:rsidR="00F10457" w:rsidRPr="00DF00E8" w:rsidRDefault="00B139E1" w:rsidP="00DF00E8">
      <w:pPr>
        <w:pStyle w:val="100"/>
        <w:ind w:firstLine="420"/>
      </w:pPr>
      <w:r w:rsidRPr="00B139E1">
        <w:t>要在工作面布置阶段就考虑采动扰动影响，不能只依靠方案形成后的单项校核。实际应用中，需要先把采区边界、钻孔煤厚、煤柱要求等基础资料整理成可用于方案生成的数据；再把地表沉陷、含水层扰动和上行开采影响转化为可比较的</w:t>
      </w:r>
      <w:r w:rsidRPr="00B139E1">
        <w:t>扰动指标；最后，将资源覆盖、工程组织和扰动风险放在一起评价候选方案</w:t>
      </w:r>
      <w:r w:rsidR="009B6A5F" w:rsidRPr="009B6A5F">
        <w:t>。</w:t>
      </w:r>
    </w:p>
    <w:p w14:paraId="68C1F2A7" w14:textId="184C6B20" w:rsidR="00F10457" w:rsidRPr="00DF00E8" w:rsidRDefault="00F10457" w:rsidP="00DF00E8">
      <w:pPr>
        <w:pStyle w:val="130"/>
      </w:pPr>
      <w:r w:rsidRPr="00DF00E8">
        <w:t xml:space="preserve">1.3.1 </w:t>
      </w:r>
      <w:r w:rsidR="00267B5A" w:rsidRPr="00267B5A">
        <w:t>采区基础数据预处理</w:t>
      </w:r>
    </w:p>
    <w:p w14:paraId="4B0B22D9" w14:textId="6F12EFC8" w:rsidR="00B139E1" w:rsidRPr="00B139E1" w:rsidRDefault="00B139E1" w:rsidP="00B139E1">
      <w:pPr>
        <w:pStyle w:val="100"/>
        <w:ind w:firstLine="420"/>
      </w:pPr>
      <w:r w:rsidRPr="00B139E1">
        <w:t>采区规划需要用到采区边界、钻孔煤厚、煤柱参数、构造影响范围和局部保护对象等</w:t>
      </w:r>
      <w:r w:rsidR="00267B5A">
        <w:rPr>
          <w:rFonts w:hint="eastAsia"/>
        </w:rPr>
        <w:t>数据</w:t>
      </w:r>
      <w:r w:rsidRPr="00B139E1">
        <w:t>。这些</w:t>
      </w:r>
      <w:r w:rsidR="00267B5A">
        <w:rPr>
          <w:rFonts w:hint="eastAsia"/>
        </w:rPr>
        <w:t>数据</w:t>
      </w:r>
      <w:r w:rsidRPr="00B139E1">
        <w:t>在实际设计中往往分散在不同图件、表格和剖面中，表达形式也不一致。例如，钻孔煤厚是离散点数据，采区边界和煤柱是平面范围，保护对象或不可采区域则是局部限制条件。如果这些资料只是作为设计背景使用，就难以直接用于多个工作面方案的生成和比较。</w:t>
      </w:r>
    </w:p>
    <w:p w14:paraId="0544BCF2" w14:textId="1A5888CB" w:rsidR="00B139E1" w:rsidRPr="00B139E1" w:rsidRDefault="00B139E1" w:rsidP="00B139E1">
      <w:pPr>
        <w:pStyle w:val="100"/>
        <w:ind w:firstLine="420"/>
      </w:pPr>
      <w:r w:rsidRPr="00B139E1">
        <w:t>因此，需要先对这些</w:t>
      </w:r>
      <w:r w:rsidR="00267B5A">
        <w:rPr>
          <w:rFonts w:hint="eastAsia"/>
        </w:rPr>
        <w:t>数据</w:t>
      </w:r>
      <w:r w:rsidRPr="00B139E1">
        <w:t>进行</w:t>
      </w:r>
      <w:r w:rsidR="00267B5A">
        <w:rPr>
          <w:rFonts w:hint="eastAsia"/>
        </w:rPr>
        <w:t>预处理</w:t>
      </w:r>
      <w:r w:rsidRPr="00B139E1">
        <w:t>：根据采区边界、煤柱和保护要求确定</w:t>
      </w:r>
      <w:r w:rsidR="00404D0C">
        <w:t>工作面可布置区域</w:t>
      </w:r>
      <w:r w:rsidRPr="00B139E1">
        <w:t>；</w:t>
      </w:r>
      <w:r w:rsidRPr="00B139E1">
        <w:lastRenderedPageBreak/>
        <w:t>根据钻孔煤厚资料插值得到煤层厚度分布；对构造影响区、保护对象或不可采范围进行边界约束。经过处理后，工作面方案不仅可以判断是否越界、煤柱是否满足要求，还可以统计不同方案覆盖的煤厚资源和受约束区域。这样，工作面布置就不再只是依靠图纸判断和经验划分，而能够在相同数据基础上进行方案比较。</w:t>
      </w:r>
    </w:p>
    <w:p w14:paraId="3E035036" w14:textId="50B4D9AC" w:rsidR="00F10457" w:rsidRPr="00DF00E8" w:rsidRDefault="00F10457" w:rsidP="00DF00E8">
      <w:pPr>
        <w:pStyle w:val="130"/>
      </w:pPr>
      <w:r w:rsidRPr="00DF00E8">
        <w:t>1.3.2</w:t>
      </w:r>
      <w:r w:rsidR="00267B5A">
        <w:rPr>
          <w:rFonts w:hint="eastAsia"/>
        </w:rPr>
        <w:t xml:space="preserve"> </w:t>
      </w:r>
      <w:r w:rsidR="00267B5A">
        <w:rPr>
          <w:rFonts w:hint="eastAsia"/>
        </w:rPr>
        <w:t>采动</w:t>
      </w:r>
      <w:r w:rsidRPr="00DF00E8">
        <w:t>扰动</w:t>
      </w:r>
      <w:r w:rsidR="00267B5A">
        <w:rPr>
          <w:rFonts w:hint="eastAsia"/>
        </w:rPr>
        <w:t>的综合表征</w:t>
      </w:r>
    </w:p>
    <w:p w14:paraId="6B04B5E7" w14:textId="77777777" w:rsidR="00267B5A" w:rsidRPr="00267B5A" w:rsidRDefault="00267B5A" w:rsidP="00267B5A">
      <w:pPr>
        <w:pStyle w:val="100"/>
        <w:ind w:firstLine="420"/>
      </w:pPr>
      <w:r w:rsidRPr="00267B5A">
        <w:t>采区规划中需要考虑的采动影响并不只有一种。地表沉陷主要反映开采后覆岩移动及地表变形情况；含水层扰动主要与导水裂隙带发育、隔水层厚度和含水层敏感性有关；上行开采则更关注上覆岩层在再次扰动条件下的稳定性和安全边界。三类问题都与采动覆岩响应有关，但关注重点不同，不能简单用某一个单项指标代替。</w:t>
      </w:r>
    </w:p>
    <w:p w14:paraId="2EC35E73" w14:textId="77777777" w:rsidR="00267B5A" w:rsidRPr="00267B5A" w:rsidRDefault="00267B5A" w:rsidP="00267B5A">
      <w:pPr>
        <w:pStyle w:val="100"/>
        <w:ind w:firstLine="420"/>
      </w:pPr>
      <w:r w:rsidRPr="00267B5A">
        <w:t>如果分别对这些问题进行评价，往往会出现一个方案在某一方面较好、但在另一方面不理想的情况。例如，某一工作面布置可能对地表沉陷控制较有利，但与含水层扰动较强区域接近；也可能资源覆盖较高，但上覆岩层稳定性校核压力较大。此时，仅依据单项评价结果难以判断方案整体优劣。</w:t>
      </w:r>
    </w:p>
    <w:p w14:paraId="180B1B40" w14:textId="77777777" w:rsidR="00267B5A" w:rsidRPr="00267B5A" w:rsidRDefault="00267B5A" w:rsidP="00267B5A">
      <w:pPr>
        <w:pStyle w:val="100"/>
        <w:ind w:firstLine="420"/>
      </w:pPr>
      <w:r w:rsidRPr="00267B5A">
        <w:t>因此，需要将地表沉陷、含水层扰动和上行开采影响转化为可以共同比较的综合扰动指标。本文采用综合</w:t>
      </w:r>
      <w:r w:rsidRPr="00267B5A">
        <w:t>ODI</w:t>
      </w:r>
      <w:r w:rsidRPr="00267B5A">
        <w:t>场表示采区不同位置的扰动强弱，使中高扰动区域能够在工作面方案生成阶段被识别。进一步统计候选方案覆盖范围内的</w:t>
      </w:r>
      <w:r w:rsidRPr="00267B5A">
        <w:t>ODI</w:t>
      </w:r>
      <w:r w:rsidRPr="00267B5A">
        <w:t>均值、</w:t>
      </w:r>
      <w:r w:rsidRPr="00267B5A">
        <w:t>P90</w:t>
      </w:r>
      <w:r w:rsidRPr="00267B5A">
        <w:t>和超阈值比例后，就可以把原本分散的风险评价结果转化为方案级指标，用于不同工作面布置方案之间的比较。</w:t>
      </w:r>
    </w:p>
    <w:p w14:paraId="10757360" w14:textId="2BC80F40" w:rsidR="00F10457" w:rsidRPr="00DF00E8" w:rsidRDefault="00F10457" w:rsidP="00DF00E8">
      <w:pPr>
        <w:pStyle w:val="130"/>
      </w:pPr>
      <w:r w:rsidRPr="00DF00E8">
        <w:t xml:space="preserve">1.3.3 </w:t>
      </w:r>
      <w:r w:rsidR="00267B5A" w:rsidRPr="00267B5A">
        <w:t>工作面布置方案形成与比较</w:t>
      </w:r>
    </w:p>
    <w:p w14:paraId="1D446D60" w14:textId="63A64E7D" w:rsidR="00267B5A" w:rsidRPr="00267B5A" w:rsidRDefault="00267B5A" w:rsidP="00267B5A">
      <w:pPr>
        <w:pStyle w:val="100"/>
        <w:ind w:firstLine="420"/>
      </w:pPr>
      <w:r w:rsidRPr="00267B5A">
        <w:t>在</w:t>
      </w:r>
      <w:r w:rsidR="00404D0C">
        <w:t>工作面可布置区域</w:t>
      </w:r>
      <w:r w:rsidRPr="00267B5A">
        <w:t>和采动扰动评价结果确定后，采区规划还需要进一步明确工作面如何布置。工作面数量、宽度、推进方向、煤柱留设和推进长度等参数，既决定采区的平面布置形态，也直接影响资源回收、巷道工程量、采掘接续和扰动暴露范围。实际设计中，满足基本采矿要求的方案往往不止一个，不同方案之间通常存在明显取舍。</w:t>
      </w:r>
    </w:p>
    <w:p w14:paraId="6524CA8C" w14:textId="77777777" w:rsidR="00267B5A" w:rsidRPr="00267B5A" w:rsidRDefault="00267B5A" w:rsidP="00267B5A">
      <w:pPr>
        <w:pStyle w:val="100"/>
        <w:ind w:firstLine="420"/>
      </w:pPr>
      <w:r w:rsidRPr="00267B5A">
        <w:t>例如，覆盖率较高的方案可以提高资源利用程度，但也可能使工作面经过更多扰动较强区域；避让扰动高值区的方案有利于降低后续安全校核压力，但可能牺牲部分资源覆盖范围或使工作面布置不够规整。因此，采区规划不能只依据覆盖率或某一单项指标确定方案，而应在工程实施条</w:t>
      </w:r>
      <w:r w:rsidRPr="00267B5A">
        <w:t>件、资源回收和扰动控制之间进行综合判断。</w:t>
      </w:r>
    </w:p>
    <w:p w14:paraId="4F7B526C" w14:textId="77777777" w:rsidR="00267B5A" w:rsidRPr="00267B5A" w:rsidRDefault="00267B5A" w:rsidP="00267B5A">
      <w:pPr>
        <w:pStyle w:val="100"/>
        <w:ind w:firstLine="420"/>
      </w:pPr>
      <w:r w:rsidRPr="00267B5A">
        <w:t>基于此，本文在满足边界、煤柱、工作面宽度和推进长度等基本采矿约束的前提下，形成多组候选工作面布置方案，并分别统计其工程效率、资源覆盖和扰动风险指标。通过对不同方案进行比较，可以揭示不同规划偏好下的方案差异，为采区规划阶段的方案优选提供依据。</w:t>
      </w:r>
    </w:p>
    <w:p w14:paraId="7567059D" w14:textId="38FB3FB5" w:rsidR="00351EC4" w:rsidRPr="00DF00E8" w:rsidRDefault="00351EC4" w:rsidP="00DF00E8">
      <w:pPr>
        <w:pStyle w:val="11"/>
      </w:pPr>
      <w:r w:rsidRPr="00DF00E8">
        <w:t xml:space="preserve">2 </w:t>
      </w:r>
      <w:r w:rsidR="00267B5A" w:rsidRPr="00267B5A">
        <w:t>采动扰动约束下采区规划方法</w:t>
      </w:r>
    </w:p>
    <w:p w14:paraId="2457ECFF" w14:textId="47108BE5" w:rsidR="00404D0C" w:rsidRPr="00404D0C" w:rsidRDefault="0037587A" w:rsidP="00404D0C">
      <w:pPr>
        <w:pStyle w:val="100"/>
        <w:ind w:firstLine="420"/>
      </w:pPr>
      <w:r w:rsidRPr="0037587A">
        <w:t>采区边界、煤柱约束和钻孔煤厚资料是工作面方案生成的基础输入。本文首先根据采区边界、边界煤柱、区段煤柱及局部保护约束确定工作面可布置区域；随后利用钻孔煤厚样点进行空间插值，得到煤层厚度分布。前者用于约束候选工作面的几何范围，后者用于统计不同方案覆盖的煤厚资源</w:t>
      </w:r>
      <w:r w:rsidR="00404D0C" w:rsidRPr="00404D0C">
        <w:t>。</w:t>
      </w:r>
    </w:p>
    <w:p w14:paraId="0C4F4B47" w14:textId="7A386A4A" w:rsidR="00351EC4" w:rsidRPr="00DF00E8" w:rsidRDefault="00351EC4" w:rsidP="00DF00E8">
      <w:pPr>
        <w:pStyle w:val="12"/>
      </w:pPr>
      <w:r w:rsidRPr="00DF00E8">
        <w:t xml:space="preserve">2.1 </w:t>
      </w:r>
      <w:r w:rsidR="00404D0C" w:rsidRPr="00404D0C">
        <w:t>工作面可布置区域与煤厚分布计算</w:t>
      </w:r>
    </w:p>
    <w:p w14:paraId="3A6336BD" w14:textId="7C2380CA" w:rsidR="00404D0C" w:rsidRPr="00404D0C" w:rsidRDefault="00404D0C" w:rsidP="00404D0C">
      <w:pPr>
        <w:pStyle w:val="100"/>
        <w:ind w:firstLine="420"/>
      </w:pPr>
      <w:r w:rsidRPr="00404D0C">
        <w:t>根据</w:t>
      </w:r>
      <w:r w:rsidRPr="00404D0C">
        <w:t>1.3</w:t>
      </w:r>
      <w:r w:rsidRPr="00404D0C">
        <w:t>节所述基础数据处理要求，本文在方案生成前先计算两个结果：</w:t>
      </w:r>
      <w:r>
        <w:t>工作面可布置区域</w:t>
      </w:r>
      <w:r w:rsidRPr="00404D0C">
        <w:t>和煤层厚度分布。前者用于控制候选方案的边界、煤柱和保护要求，后者用于评价不同方案覆盖的煤厚资源。两者分别对应后续的几何约束和资源覆盖评价。</w:t>
      </w:r>
    </w:p>
    <w:p w14:paraId="0B37D18C" w14:textId="0FF80598" w:rsidR="00404D0C" w:rsidRPr="00404D0C" w:rsidRDefault="00404D0C" w:rsidP="00404D0C">
      <w:pPr>
        <w:pStyle w:val="100"/>
        <w:ind w:firstLine="420"/>
      </w:pPr>
      <w:r>
        <w:t>工作面可布置区域</w:t>
      </w:r>
      <w:r w:rsidRPr="00404D0C">
        <w:t>由采区边界、边界煤柱、区段煤柱及局部保护约束共同确定；煤厚分布则由钻孔煤厚样点经空间插值得到。通过这两个结果，候选方案既能满足基本布置条件，也能统计其覆盖区域内的资源差异。</w:t>
      </w:r>
    </w:p>
    <w:p w14:paraId="4B09AC28" w14:textId="1471F85B" w:rsidR="00F10457" w:rsidRPr="00DF00E8" w:rsidRDefault="00F10457" w:rsidP="00DF00E8">
      <w:pPr>
        <w:pStyle w:val="130"/>
      </w:pPr>
      <w:r w:rsidRPr="00DF00E8">
        <w:t xml:space="preserve">2.1.1 </w:t>
      </w:r>
      <w:r w:rsidR="00404D0C" w:rsidRPr="00404D0C">
        <w:t>工作面可布置区域确定</w:t>
      </w:r>
    </w:p>
    <w:p w14:paraId="3D636151" w14:textId="77777777" w:rsidR="00404D0C" w:rsidRPr="00404D0C" w:rsidRDefault="00404D0C" w:rsidP="00404D0C">
      <w:pPr>
        <w:pStyle w:val="100"/>
        <w:ind w:firstLine="420"/>
      </w:pPr>
      <w:r w:rsidRPr="00404D0C">
        <w:t>原始采区边界通常不能直接作为工作面布置边界。实际设计中，边界煤柱、区段煤柱、地表保护对象、构造影响区和局部不可采区域都会压缩可布置空间。若直接按照原始边界划分工作面，容易出现越界布置、煤柱不足或局部形态不利于推进等问题。</w:t>
      </w:r>
    </w:p>
    <w:p w14:paraId="28992C54" w14:textId="77777777" w:rsidR="00404D0C" w:rsidRPr="00404D0C" w:rsidRDefault="00404D0C" w:rsidP="00404D0C">
      <w:pPr>
        <w:pStyle w:val="100"/>
        <w:ind w:firstLine="420"/>
      </w:pPr>
      <w:r w:rsidRPr="00404D0C">
        <w:t>本文在原始采区边界基础上叠加边界煤柱、区段煤柱和局部保护约束，通过边界内缩、局部裁剪和几何合法性检查得到工作面可布置区域。对于断层、陷落柱、采空区、地表保护对象和局部禁采区等复杂约束，可根据控制范围和保护距离将其转化为空间约束区，再从原始边界中扣除。本文案例主要考虑边界煤柱和区段煤柱约束；当研究区存在复杂构造或保护对象时，可按相同方式扩展处理。</w:t>
      </w:r>
    </w:p>
    <w:p w14:paraId="551D98AC" w14:textId="6DF7C17A" w:rsidR="0056527E" w:rsidRDefault="0056527E" w:rsidP="0056527E">
      <w:pPr>
        <w:pStyle w:val="100"/>
        <w:ind w:firstLine="420"/>
      </w:pPr>
      <w:r w:rsidRPr="0056527E">
        <w:t>设原始采区边界为</w:t>
      </w:r>
      <w:r w:rsidRPr="0056527E">
        <w:t xml:space="preserve"> </w:t>
      </w:r>
      <w:r w:rsidR="00021800" w:rsidRPr="00021800">
        <w:rPr>
          <w:position w:val="-12"/>
        </w:rPr>
        <w:object w:dxaOrig="340" w:dyaOrig="360" w14:anchorId="0D5E36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8pt;height:18pt" o:ole="">
            <v:imagedata r:id="rId12" o:title=""/>
          </v:shape>
          <o:OLEObject Type="Embed" ProgID="Equation.DSMT4" ShapeID="_x0000_i1025" DrawAspect="Content" ObjectID="_1839937657" r:id="rId13"/>
        </w:object>
      </w:r>
      <w:r w:rsidRPr="0056527E">
        <w:t>，边界煤柱宽度为</w:t>
      </w:r>
      <w:r w:rsidRPr="0056527E">
        <w:t xml:space="preserve"> </w:t>
      </w:r>
      <w:bookmarkStart w:id="1" w:name="MTBlankEqn"/>
      <w:r w:rsidR="00021800" w:rsidRPr="00021800">
        <w:rPr>
          <w:position w:val="-12"/>
        </w:rPr>
        <w:object w:dxaOrig="260" w:dyaOrig="360" w14:anchorId="300B99ED">
          <v:shape id="_x0000_i1026" type="#_x0000_t75" style="width:13.2pt;height:18pt" o:ole="">
            <v:imagedata r:id="rId14" o:title=""/>
          </v:shape>
          <o:OLEObject Type="Embed" ProgID="Equation.DSMT4" ShapeID="_x0000_i1026" DrawAspect="Content" ObjectID="_1839937658" r:id="rId15"/>
        </w:object>
      </w:r>
      <w:bookmarkEnd w:id="1"/>
      <w:r w:rsidRPr="0056527E">
        <w:t>，区段煤柱宽度为</w:t>
      </w:r>
      <w:r w:rsidRPr="0056527E">
        <w:t xml:space="preserve"> </w:t>
      </w:r>
      <w:r w:rsidR="00021800" w:rsidRPr="00021800">
        <w:rPr>
          <w:position w:val="-12"/>
        </w:rPr>
        <w:object w:dxaOrig="240" w:dyaOrig="360" w14:anchorId="41DD8D5C">
          <v:shape id="_x0000_i1027" type="#_x0000_t75" style="width:12pt;height:18pt" o:ole="">
            <v:imagedata r:id="rId16" o:title=""/>
          </v:shape>
          <o:OLEObject Type="Embed" ProgID="Equation.DSMT4" ShapeID="_x0000_i1027" DrawAspect="Content" ObjectID="_1839937659" r:id="rId17"/>
        </w:object>
      </w:r>
      <w:r w:rsidRPr="0056527E">
        <w:t>，局部保护约束区为</w:t>
      </w:r>
      <w:r w:rsidRPr="0056527E">
        <w:t xml:space="preserve"> </w:t>
      </w:r>
      <w:r w:rsidR="00021800" w:rsidRPr="00021800">
        <w:rPr>
          <w:position w:val="-14"/>
        </w:rPr>
        <w:object w:dxaOrig="360" w:dyaOrig="380" w14:anchorId="3806F693">
          <v:shape id="_x0000_i1028" type="#_x0000_t75" style="width:18pt;height:19.2pt" o:ole="">
            <v:imagedata r:id="rId18" o:title=""/>
          </v:shape>
          <o:OLEObject Type="Embed" ProgID="Equation.DSMT4" ShapeID="_x0000_i1028" DrawAspect="Content" ObjectID="_1839937660" r:id="rId19"/>
        </w:object>
      </w:r>
      <w:r w:rsidRPr="0056527E">
        <w:t>，则</w:t>
      </w:r>
      <w:r w:rsidR="003B394F">
        <w:t>工作面可布置区域</w:t>
      </w:r>
      <w:r w:rsidRPr="0056527E">
        <w:t>可表示为：</w:t>
      </w:r>
    </w:p>
    <w:p w14:paraId="1645B056" w14:textId="56D57F6E" w:rsidR="0056527E" w:rsidRPr="0056527E" w:rsidRDefault="0056527E" w:rsidP="0056527E">
      <w:pPr>
        <w:pStyle w:val="MTDisplayEquation"/>
        <w:ind w:firstLine="480"/>
      </w:pPr>
      <w:r>
        <w:tab/>
      </w:r>
      <w:r w:rsidR="00021800" w:rsidRPr="00021800">
        <w:rPr>
          <w:position w:val="-14"/>
        </w:rPr>
        <w:object w:dxaOrig="2160" w:dyaOrig="380" w14:anchorId="317B2A58">
          <v:shape id="_x0000_i1029" type="#_x0000_t75" style="width:108pt;height:19.2pt" o:ole="">
            <v:imagedata r:id="rId20" o:title=""/>
          </v:shape>
          <o:OLEObject Type="Embed" ProgID="Equation.DSMT4" ShapeID="_x0000_i1029" DrawAspect="Content" ObjectID="_1839937661" r:id="rId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w:instrText>
        </w:r>
      </w:fldSimple>
      <w:r>
        <w:instrText>)</w:instrText>
      </w:r>
      <w:r>
        <w:fldChar w:fldCharType="end"/>
      </w:r>
    </w:p>
    <w:p w14:paraId="14E5D511" w14:textId="58AD88CF" w:rsidR="00D47524" w:rsidRPr="00D47524" w:rsidRDefault="00D47524" w:rsidP="00D47524">
      <w:pPr>
        <w:pStyle w:val="100"/>
        <w:ind w:firstLine="420"/>
      </w:pPr>
      <w:r w:rsidRPr="00D47524">
        <w:t>式中：</w:t>
      </w:r>
      <w:r w:rsidR="00021800" w:rsidRPr="00021800">
        <w:rPr>
          <w:position w:val="-12"/>
        </w:rPr>
        <w:object w:dxaOrig="320" w:dyaOrig="360" w14:anchorId="184EFACE">
          <v:shape id="_x0000_i1030" type="#_x0000_t75" style="width:16.2pt;height:18pt" o:ole="">
            <v:imagedata r:id="rId22" o:title=""/>
          </v:shape>
          <o:OLEObject Type="Embed" ProgID="Equation.DSMT4" ShapeID="_x0000_i1030" DrawAspect="Content" ObjectID="_1839937662" r:id="rId23"/>
        </w:object>
      </w:r>
      <w:r w:rsidRPr="00D47524">
        <w:t>为</w:t>
      </w:r>
      <w:r w:rsidR="003B394F">
        <w:t>工作面可布置区域</w:t>
      </w:r>
      <w:r w:rsidRPr="00D47524">
        <w:t>；</w:t>
      </w:r>
      <w:r w:rsidR="00021800" w:rsidRPr="00021800">
        <w:rPr>
          <w:position w:val="-10"/>
        </w:rPr>
        <w:object w:dxaOrig="460" w:dyaOrig="320" w14:anchorId="0A235D54">
          <v:shape id="_x0000_i1031" type="#_x0000_t75" style="width:22.8pt;height:16.2pt" o:ole="">
            <v:imagedata r:id="rId24" o:title=""/>
          </v:shape>
          <o:OLEObject Type="Embed" ProgID="Equation.DSMT4" ShapeID="_x0000_i1031" DrawAspect="Content" ObjectID="_1839937663" r:id="rId25"/>
        </w:object>
      </w:r>
      <w:r w:rsidRPr="00D47524">
        <w:t>表示在边界煤柱、区段煤柱和局部保护约束共同作用下的空间内缩、裁剪和几何合法性检查过程。</w:t>
      </w:r>
    </w:p>
    <w:p w14:paraId="502BA380" w14:textId="7279577A" w:rsidR="00D47524" w:rsidRPr="00D47524" w:rsidRDefault="00404D0C" w:rsidP="00D47524">
      <w:pPr>
        <w:pStyle w:val="100"/>
        <w:ind w:firstLine="420"/>
      </w:pPr>
      <w:r w:rsidRPr="00404D0C">
        <w:t>工作面可布置区域确定后，后续候选方案均在该区域内生成，并需满足不越界、不重叠、煤柱宽度满足要求、推进长度和几何形态满足实施条件等基本约束。这样可以在方案生成阶段先剔除明显不可行的几何组合，避免无效方案进入后续评价</w:t>
      </w:r>
      <w:r w:rsidR="00D47524" w:rsidRPr="00D47524">
        <w:t>。</w:t>
      </w:r>
    </w:p>
    <w:p w14:paraId="46B9F4C0" w14:textId="10B04364" w:rsidR="00F10457" w:rsidRPr="00F10457" w:rsidRDefault="00F10457" w:rsidP="00DF00E8">
      <w:pPr>
        <w:pStyle w:val="130"/>
      </w:pPr>
      <w:r w:rsidRPr="00F10457">
        <w:t xml:space="preserve">2.1.2 </w:t>
      </w:r>
      <w:r w:rsidR="00404D0C" w:rsidRPr="00404D0C">
        <w:t>煤层厚度分布计算</w:t>
      </w:r>
    </w:p>
    <w:p w14:paraId="707E268F" w14:textId="261A87C2" w:rsidR="00D47524" w:rsidRPr="00D47524" w:rsidRDefault="00404D0C" w:rsidP="00D47524">
      <w:pPr>
        <w:pStyle w:val="100"/>
        <w:ind w:firstLine="420"/>
      </w:pPr>
      <w:r w:rsidRPr="00404D0C">
        <w:t>煤层厚度是评价工作面方案资源覆盖效果的重要依据。钻孔资料能够反映煤层赋存条件，但其空间分布具有离散性。若只依据少量钻孔或剖面判断煤厚变化，容易忽略采区内部资源条件的局部差异；而工作面方案评价需要统计整个覆盖范围内的煤厚资源，因此需要将钻孔煤厚样点转换为连续的煤层厚度分布</w:t>
      </w:r>
      <w:r w:rsidR="00D47524" w:rsidRPr="00D47524">
        <w:t>。</w:t>
      </w:r>
    </w:p>
    <w:p w14:paraId="329A36C2" w14:textId="77777777" w:rsidR="00D47524" w:rsidRDefault="00D47524" w:rsidP="00D47524">
      <w:pPr>
        <w:pStyle w:val="100"/>
        <w:ind w:firstLine="420"/>
      </w:pPr>
      <w:r w:rsidRPr="00D47524">
        <w:t>设钻孔样点集合为：</w:t>
      </w:r>
    </w:p>
    <w:p w14:paraId="5C3BC093" w14:textId="38A187E9" w:rsidR="00021800" w:rsidRPr="00D47524" w:rsidRDefault="00021800" w:rsidP="00021800">
      <w:pPr>
        <w:pStyle w:val="MTDisplayEquation"/>
        <w:ind w:firstLine="480"/>
      </w:pPr>
      <w:r>
        <w:tab/>
      </w:r>
      <w:r w:rsidRPr="00021800">
        <w:rPr>
          <w:position w:val="-12"/>
        </w:rPr>
        <w:object w:dxaOrig="2780" w:dyaOrig="360" w14:anchorId="5206B650">
          <v:shape id="_x0000_i1032" type="#_x0000_t75" style="width:139.2pt;height:18pt" o:ole="">
            <v:imagedata r:id="rId26" o:title=""/>
          </v:shape>
          <o:OLEObject Type="Embed" ProgID="Equation.DSMT4" ShapeID="_x0000_i1032" DrawAspect="Content" ObjectID="_1839937664" r:id="rId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2</w:instrText>
        </w:r>
      </w:fldSimple>
      <w:r>
        <w:instrText>)</w:instrText>
      </w:r>
      <w:r>
        <w:fldChar w:fldCharType="end"/>
      </w:r>
    </w:p>
    <w:p w14:paraId="660F7366" w14:textId="0A57755A" w:rsidR="00021800" w:rsidRPr="00021800" w:rsidRDefault="00EF255B" w:rsidP="00021800">
      <w:pPr>
        <w:pStyle w:val="100"/>
        <w:ind w:firstLine="420"/>
      </w:pPr>
      <w:r w:rsidRPr="00EF255B">
        <w:t>式中：</w:t>
      </w:r>
      <w:r w:rsidR="00021800" w:rsidRPr="00021800">
        <w:rPr>
          <w:position w:val="-12"/>
        </w:rPr>
        <w:object w:dxaOrig="700" w:dyaOrig="360" w14:anchorId="5A01F488">
          <v:shape id="_x0000_i1033" type="#_x0000_t75" style="width:34.8pt;height:18pt" o:ole="">
            <v:imagedata r:id="rId28" o:title=""/>
          </v:shape>
          <o:OLEObject Type="Embed" ProgID="Equation.DSMT4" ShapeID="_x0000_i1033" DrawAspect="Content" ObjectID="_1839937665" r:id="rId29"/>
        </w:object>
      </w:r>
      <w:r w:rsidRPr="00EF255B">
        <w:t>为第</w:t>
      </w:r>
      <m:oMath>
        <m:r>
          <w:rPr>
            <w:rFonts w:ascii="Cambria Math" w:hAnsi="Cambria Math"/>
          </w:rPr>
          <m:t>i</m:t>
        </m:r>
      </m:oMath>
      <w:r w:rsidRPr="00EF255B">
        <w:t>个钻孔的位置坐标；</w:t>
      </w:r>
      <w:r w:rsidR="00021800" w:rsidRPr="00021800">
        <w:rPr>
          <w:position w:val="-12"/>
        </w:rPr>
        <w:object w:dxaOrig="220" w:dyaOrig="360" w14:anchorId="1CDD52C5">
          <v:shape id="_x0000_i1034" type="#_x0000_t75" style="width:10.8pt;height:18pt" o:ole="">
            <v:imagedata r:id="rId30" o:title=""/>
          </v:shape>
          <o:OLEObject Type="Embed" ProgID="Equation.DSMT4" ShapeID="_x0000_i1034" DrawAspect="Content" ObjectID="_1839937666" r:id="rId31"/>
        </w:object>
      </w:r>
      <w:r w:rsidRPr="00EF255B">
        <w:t>为对应煤层厚度或其他地质属性值。</w:t>
      </w:r>
      <w:r w:rsidR="00021800" w:rsidRPr="00021800">
        <w:rPr>
          <w:position w:val="-6"/>
        </w:rPr>
        <w:object w:dxaOrig="200" w:dyaOrig="220" w14:anchorId="335FE99C">
          <v:shape id="_x0000_i1035" type="#_x0000_t75" style="width:10.2pt;height:10.8pt" o:ole="">
            <v:imagedata r:id="rId32" o:title=""/>
          </v:shape>
          <o:OLEObject Type="Embed" ProgID="Equation.DSMT4" ShapeID="_x0000_i1035" DrawAspect="Content" ObjectID="_1839937667" r:id="rId33"/>
        </w:object>
      </w:r>
      <w:r w:rsidR="00021800" w:rsidRPr="00021800">
        <w:t>为钻孔数量。</w:t>
      </w:r>
    </w:p>
    <w:p w14:paraId="79CAFC9F" w14:textId="2949C593" w:rsidR="00021800" w:rsidRDefault="00021800" w:rsidP="00021800">
      <w:pPr>
        <w:pStyle w:val="100"/>
        <w:ind w:firstLine="420"/>
      </w:pPr>
      <w:r w:rsidRPr="00021800">
        <w:t>规划域内任意位置</w:t>
      </w:r>
      <w:r w:rsidRPr="00021800">
        <w:t xml:space="preserve"> </w:t>
      </w:r>
      <m:oMath>
        <m:r>
          <w:rPr>
            <w:rFonts w:ascii="Cambria Math" w:hAnsi="Cambria Math"/>
          </w:rPr>
          <m:t>x</m:t>
        </m:r>
      </m:oMath>
      <w:r w:rsidRPr="00021800">
        <w:t>处的煤层厚度估计值可表示为：</w:t>
      </w:r>
    </w:p>
    <w:p w14:paraId="0E254FA1" w14:textId="54569B34" w:rsidR="00021800" w:rsidRDefault="00021800" w:rsidP="00021800">
      <w:pPr>
        <w:pStyle w:val="MTDisplayEquation"/>
        <w:ind w:firstLineChars="0" w:firstLine="0"/>
      </w:pPr>
      <w:r>
        <w:tab/>
      </w:r>
      <w:r w:rsidRPr="00021800">
        <w:rPr>
          <w:position w:val="-28"/>
        </w:rPr>
        <w:object w:dxaOrig="1579" w:dyaOrig="680" w14:anchorId="193FDBED">
          <v:shape id="_x0000_i1036" type="#_x0000_t75" style="width:79.2pt;height:34.2pt" o:ole="">
            <v:imagedata r:id="rId34" o:title=""/>
          </v:shape>
          <o:OLEObject Type="Embed" ProgID="Equation.DSMT4" ShapeID="_x0000_i1036" DrawAspect="Content" ObjectID="_1839937668" r:id="rId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3</w:instrText>
        </w:r>
      </w:fldSimple>
      <w:r>
        <w:instrText>)</w:instrText>
      </w:r>
      <w:r>
        <w:fldChar w:fldCharType="end"/>
      </w:r>
    </w:p>
    <w:p w14:paraId="7EC2A856" w14:textId="659F669E" w:rsidR="00021800" w:rsidRPr="00021800" w:rsidRDefault="00021800" w:rsidP="00021800">
      <w:pPr>
        <w:pStyle w:val="100"/>
        <w:ind w:firstLine="420"/>
      </w:pPr>
      <w:r w:rsidRPr="00021800">
        <w:t>式中：</w:t>
      </w:r>
      <w:r w:rsidRPr="00021800">
        <w:rPr>
          <w:position w:val="-10"/>
        </w:rPr>
        <w:object w:dxaOrig="499" w:dyaOrig="380" w14:anchorId="3CE033C3">
          <v:shape id="_x0000_i1037" type="#_x0000_t75" style="width:25.2pt;height:19.2pt" o:ole="">
            <v:imagedata r:id="rId36" o:title=""/>
          </v:shape>
          <o:OLEObject Type="Embed" ProgID="Equation.DSMT4" ShapeID="_x0000_i1037" DrawAspect="Content" ObjectID="_1839937669" r:id="rId37"/>
        </w:object>
      </w:r>
      <w:r w:rsidRPr="00021800">
        <w:t>为位置</w:t>
      </w:r>
      <w:r w:rsidRPr="00021800">
        <w:t xml:space="preserve"> </w:t>
      </w:r>
      <m:oMath>
        <m:r>
          <w:rPr>
            <w:rFonts w:ascii="Cambria Math" w:hAnsi="Cambria Math"/>
          </w:rPr>
          <m:t>x</m:t>
        </m:r>
      </m:oMath>
      <w:r w:rsidRPr="00021800">
        <w:t>处的煤层厚度估计值；</w:t>
      </w:r>
      <w:r w:rsidRPr="00021800">
        <w:rPr>
          <w:position w:val="-12"/>
        </w:rPr>
        <w:object w:dxaOrig="560" w:dyaOrig="360" w14:anchorId="5B594263">
          <v:shape id="_x0000_i1038" type="#_x0000_t75" style="width:28.2pt;height:18pt" o:ole="">
            <v:imagedata r:id="rId38" o:title=""/>
          </v:shape>
          <o:OLEObject Type="Embed" ProgID="Equation.DSMT4" ShapeID="_x0000_i1038" DrawAspect="Content" ObjectID="_1839937670" r:id="rId39"/>
        </w:object>
      </w:r>
      <w:r w:rsidRPr="00021800">
        <w:t>为第</w:t>
      </w:r>
      <m:oMath>
        <m:r>
          <w:rPr>
            <w:rFonts w:ascii="Cambria Math" w:hAnsi="Cambria Math"/>
          </w:rPr>
          <m:t>i</m:t>
        </m:r>
      </m:oMath>
      <w:r w:rsidRPr="00021800">
        <w:t>个钻孔样点对位置</w:t>
      </w:r>
      <m:oMath>
        <m:r>
          <w:rPr>
            <w:rFonts w:ascii="Cambria Math" w:hAnsi="Cambria Math"/>
          </w:rPr>
          <m:t>x</m:t>
        </m:r>
      </m:oMath>
      <w:r w:rsidRPr="00021800">
        <w:t>的空间权重，且满足</w:t>
      </w:r>
      <w:r w:rsidRPr="00021800">
        <w:rPr>
          <w:position w:val="-28"/>
        </w:rPr>
        <w:object w:dxaOrig="1120" w:dyaOrig="680" w14:anchorId="309CBBD2">
          <v:shape id="_x0000_i1039" type="#_x0000_t75" style="width:55.8pt;height:34.2pt" o:ole="">
            <v:imagedata r:id="rId40" o:title=""/>
          </v:shape>
          <o:OLEObject Type="Embed" ProgID="Equation.DSMT4" ShapeID="_x0000_i1039" DrawAspect="Content" ObjectID="_1839937671" r:id="rId41"/>
        </w:object>
      </w:r>
      <w:r w:rsidRPr="00021800">
        <w:t>。</w:t>
      </w:r>
    </w:p>
    <w:p w14:paraId="0CC0E54E" w14:textId="35919BD8" w:rsidR="00021800" w:rsidRDefault="003B394F" w:rsidP="00021800">
      <w:pPr>
        <w:pStyle w:val="100"/>
        <w:ind w:firstLine="420"/>
      </w:pPr>
      <w:r>
        <w:t>本文采用反距离加权法计算煤层厚度分布</w:t>
      </w:r>
      <w:r w:rsidR="00021800" w:rsidRPr="00021800">
        <w:t>，其权重计算为：</w:t>
      </w:r>
    </w:p>
    <w:p w14:paraId="7ABE6DFB" w14:textId="09E3C13E" w:rsidR="00021800" w:rsidRPr="00021800" w:rsidRDefault="00021800" w:rsidP="00021800">
      <w:pPr>
        <w:pStyle w:val="MTDisplayEquation"/>
        <w:ind w:firstLineChars="0" w:firstLine="0"/>
      </w:pPr>
      <w:r>
        <w:tab/>
      </w:r>
      <w:r w:rsidRPr="00021800">
        <w:rPr>
          <w:position w:val="-42"/>
        </w:rPr>
        <w:object w:dxaOrig="1660" w:dyaOrig="840" w14:anchorId="41B374DA">
          <v:shape id="_x0000_i1040" type="#_x0000_t75" style="width:82.8pt;height:42pt" o:ole="">
            <v:imagedata r:id="rId42" o:title=""/>
          </v:shape>
          <o:OLEObject Type="Embed" ProgID="Equation.DSMT4" ShapeID="_x0000_i1040" DrawAspect="Content" ObjectID="_1839937672" r:id="rId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4</w:instrText>
        </w:r>
      </w:fldSimple>
      <w:r>
        <w:instrText>)</w:instrText>
      </w:r>
      <w:r>
        <w:fldChar w:fldCharType="end"/>
      </w:r>
    </w:p>
    <w:p w14:paraId="4821C678" w14:textId="188297B7" w:rsidR="00021800" w:rsidRPr="00021800" w:rsidRDefault="00021800" w:rsidP="00021800">
      <w:pPr>
        <w:pStyle w:val="100"/>
        <w:ind w:firstLine="420"/>
      </w:pPr>
      <w:r w:rsidRPr="00021800">
        <w:t>式中：</w:t>
      </w:r>
      <w:r w:rsidRPr="00021800">
        <w:rPr>
          <w:position w:val="-12"/>
        </w:rPr>
        <w:object w:dxaOrig="240" w:dyaOrig="360" w14:anchorId="12B8D22C">
          <v:shape id="_x0000_i1041" type="#_x0000_t75" style="width:12pt;height:18pt" o:ole="">
            <v:imagedata r:id="rId44" o:title=""/>
          </v:shape>
          <o:OLEObject Type="Embed" ProgID="Equation.DSMT4" ShapeID="_x0000_i1041" DrawAspect="Content" ObjectID="_1839937673" r:id="rId45"/>
        </w:object>
      </w:r>
      <w:r w:rsidRPr="00021800">
        <w:t>为位置</w:t>
      </w:r>
      <m:oMath>
        <m:r>
          <w:rPr>
            <w:rFonts w:ascii="Cambria Math" w:hAnsi="Cambria Math"/>
          </w:rPr>
          <m:t>x</m:t>
        </m:r>
      </m:oMath>
      <w:r w:rsidRPr="00021800">
        <w:t>到第</w:t>
      </w:r>
      <m:oMath>
        <m:r>
          <w:rPr>
            <w:rFonts w:ascii="Cambria Math" w:hAnsi="Cambria Math"/>
          </w:rPr>
          <m:t>i</m:t>
        </m:r>
      </m:oMath>
      <w:r w:rsidRPr="00021800">
        <w:t>个钻孔样点的距离；</w:t>
      </w:r>
      <m:oMath>
        <m:r>
          <w:rPr>
            <w:rFonts w:ascii="Cambria Math" w:hAnsi="Cambria Math"/>
          </w:rPr>
          <m:t>p</m:t>
        </m:r>
      </m:oMath>
      <w:r w:rsidRPr="00021800">
        <w:t xml:space="preserve"> </w:t>
      </w:r>
      <w:r w:rsidRPr="00021800">
        <w:t>为距离衰减指数。</w:t>
      </w:r>
    </w:p>
    <w:p w14:paraId="52C7C48E" w14:textId="1D86CFD5" w:rsidR="00021800" w:rsidRPr="00021800" w:rsidRDefault="00404D0C" w:rsidP="00021800">
      <w:pPr>
        <w:pStyle w:val="100"/>
        <w:ind w:firstLine="420"/>
      </w:pPr>
      <w:r w:rsidRPr="00404D0C">
        <w:t>反距离加权法参数较少、计算效率较高，适合在采区规划阶段快速形成煤厚分布结果。本文采用该方法的目的，是将离散煤厚信息转化为可统计的资源属性，用于比较不同工作面方案覆盖的煤厚资源差异。需要说明的是，在钻孔分布不均、断层发育或煤层结构变化较强的区域，</w:t>
      </w:r>
      <w:r w:rsidRPr="00404D0C">
        <w:t>IDW</w:t>
      </w:r>
      <w:r w:rsidRPr="00404D0C">
        <w:t>方法可能弱化局部突变特征，或使钻孔附近的煤厚值影响范围过于集中；此时可进一步采用普通克里金、协同克里金或构造约束插值方法提高煤厚分布表达精度。</w:t>
      </w:r>
    </w:p>
    <w:p w14:paraId="7AF89C98" w14:textId="6F6B69EE" w:rsidR="00F10457" w:rsidRPr="00F10457" w:rsidRDefault="00F10457" w:rsidP="00DF00E8">
      <w:pPr>
        <w:pStyle w:val="12"/>
      </w:pPr>
      <w:r w:rsidRPr="00F10457">
        <w:t xml:space="preserve">2.2 </w:t>
      </w:r>
      <w:r w:rsidR="0037587A" w:rsidRPr="0037587A">
        <w:t>采动扰动强弱评价与</w:t>
      </w:r>
      <w:r w:rsidR="0037587A" w:rsidRPr="0037587A">
        <w:t>ODI</w:t>
      </w:r>
      <w:r w:rsidR="0037587A" w:rsidRPr="0037587A">
        <w:t>指标</w:t>
      </w:r>
    </w:p>
    <w:p w14:paraId="14435C05" w14:textId="77777777" w:rsidR="0037587A" w:rsidRPr="0037587A" w:rsidRDefault="0037587A" w:rsidP="0037587A">
      <w:pPr>
        <w:pStyle w:val="100"/>
        <w:ind w:firstLine="420"/>
      </w:pPr>
      <w:r w:rsidRPr="0037587A">
        <w:t>工作面开采后产生的影响并不只表现为地表沉陷。对于采区规划而言，还需要关注导水裂隙带发育、含水层受扰以及上行开采条件下的覆岩再扰动等问题。这些问题都与采动引起的覆岩响应有关，但各自关注重点不同：地表沉陷主要反映覆岩移动及地表变形影响；含水层扰动主要与导水裂隙带高度、隔水层厚度和含水层敏感性有关；上行开采则更关注上覆岩层在再次扰动条件下的稳定性和安全边界。</w:t>
      </w:r>
    </w:p>
    <w:p w14:paraId="153A94CA" w14:textId="77777777" w:rsidR="00495807" w:rsidRPr="00495807" w:rsidRDefault="00495807" w:rsidP="00495807">
      <w:pPr>
        <w:pStyle w:val="100"/>
        <w:ind w:firstLine="420"/>
      </w:pPr>
      <w:r w:rsidRPr="00495807">
        <w:t>如果分别使用不同指标评价这些问题，工作面方案之间就很难进行统一比较。例如，一个方案可能对地表沉陷影响较小，但靠近含水层受扰风险较高的区域；另一个方案资源覆盖较高，但上覆岩层稳定性校核压力较大。为便于在采区规划阶段比较不同方案，本文提出综合覆岩扰动指数（</w:t>
      </w:r>
      <w:r w:rsidRPr="00495807">
        <w:t>overburden disturbance index</w:t>
      </w:r>
      <w:r w:rsidRPr="00495807">
        <w:t>，</w:t>
      </w:r>
      <w:r w:rsidRPr="00495807">
        <w:t>ODI</w:t>
      </w:r>
      <w:r w:rsidRPr="00495807">
        <w:t>）。</w:t>
      </w:r>
      <w:r w:rsidRPr="00495807">
        <w:t>ODI</w:t>
      </w:r>
      <w:r w:rsidRPr="00495807">
        <w:t>将地表沉陷、含水层扰动和上行开采影响归一化后加权叠加，形成</w:t>
      </w:r>
      <w:r w:rsidRPr="00495807">
        <w:t>0</w:t>
      </w:r>
      <w:r w:rsidRPr="00495807">
        <w:t>～</w:t>
      </w:r>
      <w:r w:rsidRPr="00495807">
        <w:t>1</w:t>
      </w:r>
      <w:r w:rsidRPr="00495807">
        <w:t>之间的综合指标。</w:t>
      </w:r>
      <w:r w:rsidRPr="00495807">
        <w:t>ODI</w:t>
      </w:r>
      <w:r w:rsidRPr="00495807">
        <w:t>值越大，表示该位置采动扰动越强，在工作面布置时越需要避让或进一步复核。</w:t>
      </w:r>
    </w:p>
    <w:p w14:paraId="036AC39C" w14:textId="77777777" w:rsidR="00495807" w:rsidRPr="00495807" w:rsidRDefault="00495807" w:rsidP="00495807">
      <w:pPr>
        <w:pStyle w:val="100"/>
        <w:ind w:firstLine="420"/>
      </w:pPr>
      <w:r w:rsidRPr="00495807">
        <w:t>为说明</w:t>
      </w:r>
      <w:r w:rsidRPr="00495807">
        <w:t>ODI</w:t>
      </w:r>
      <w:r w:rsidRPr="00495807">
        <w:t>的构建来源及其在不同采动扰动场景中的应用关系，结合前期覆岩扰动量化指标体系和多场景权重调配方法，建立</w:t>
      </w:r>
      <w:r w:rsidRPr="00495807">
        <w:t>ODI</w:t>
      </w:r>
      <w:r w:rsidRPr="00495807">
        <w:t>物理基础与多场景采动扰动评价框架，如图</w:t>
      </w:r>
      <w:r w:rsidRPr="00495807">
        <w:t>2</w:t>
      </w:r>
      <w:r w:rsidRPr="00495807">
        <w:t>所示。</w:t>
      </w:r>
    </w:p>
    <w:p w14:paraId="7AE5AF47" w14:textId="02731D60" w:rsidR="005E0AE3" w:rsidRDefault="005E0AE3" w:rsidP="005E0AE3">
      <w:pPr>
        <w:pStyle w:val="100"/>
        <w:ind w:firstLine="420"/>
      </w:pPr>
      <w:r w:rsidRPr="005E0AE3">
        <w:t>。</w:t>
      </w:r>
    </w:p>
    <w:p w14:paraId="7401859B" w14:textId="77777777" w:rsidR="005E0AE3" w:rsidRPr="00495807" w:rsidRDefault="005E0AE3" w:rsidP="005E0AE3">
      <w:pPr>
        <w:pStyle w:val="aff"/>
        <w:sectPr w:rsidR="005E0AE3" w:rsidRPr="00495807" w:rsidSect="003F477A">
          <w:type w:val="continuous"/>
          <w:pgSz w:w="11906" w:h="16838"/>
          <w:pgMar w:top="1418" w:right="1134" w:bottom="1134" w:left="1134" w:header="720" w:footer="720" w:gutter="0"/>
          <w:cols w:num="2" w:space="720"/>
          <w:docGrid w:linePitch="598"/>
        </w:sectPr>
      </w:pPr>
    </w:p>
    <w:p w14:paraId="2F61B766" w14:textId="26F54F9B" w:rsidR="005E0AE3" w:rsidRDefault="00495807" w:rsidP="005E0AE3">
      <w:pPr>
        <w:pStyle w:val="aff"/>
      </w:pPr>
      <w:r w:rsidRPr="001D1AC1">
        <w:rPr>
          <w:noProof/>
        </w:rPr>
        <w:lastRenderedPageBreak/>
        <w:drawing>
          <wp:inline distT="0" distB="0" distL="0" distR="0" wp14:anchorId="2BFBC32E" wp14:editId="409C0294">
            <wp:extent cx="5778000" cy="2827879"/>
            <wp:effectExtent l="0" t="0" r="0" b="0"/>
            <wp:docPr id="44"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4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78000" cy="2827879"/>
                    </a:xfrm>
                    <a:prstGeom prst="rect">
                      <a:avLst/>
                    </a:prstGeom>
                    <a:noFill/>
                    <a:ln>
                      <a:noFill/>
                    </a:ln>
                  </pic:spPr>
                </pic:pic>
              </a:graphicData>
            </a:graphic>
          </wp:inline>
        </w:drawing>
      </w:r>
    </w:p>
    <w:p w14:paraId="52C58E3C" w14:textId="0B3836B7" w:rsidR="005E0AE3" w:rsidRDefault="005E0AE3" w:rsidP="005E0AE3">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2</w:t>
      </w:r>
      <w:r>
        <w:fldChar w:fldCharType="end"/>
      </w:r>
      <w:r>
        <w:rPr>
          <w:rFonts w:hint="eastAsia"/>
        </w:rPr>
        <w:t xml:space="preserve"> </w:t>
      </w:r>
      <w:r w:rsidR="003B394F" w:rsidRPr="003B394F">
        <w:t>ODI</w:t>
      </w:r>
      <w:r w:rsidR="003B394F" w:rsidRPr="003B394F">
        <w:t>物理基础与多场景采动扰动评价框架</w:t>
      </w:r>
    </w:p>
    <w:p w14:paraId="7FEE66E4" w14:textId="2F872D88" w:rsidR="005E0AE3" w:rsidRPr="00210CE2" w:rsidRDefault="005E0AE3" w:rsidP="005E0AE3">
      <w:pPr>
        <w:pStyle w:val="100"/>
        <w:ind w:firstLine="420"/>
      </w:pPr>
      <w:r w:rsidRPr="00ED29A2">
        <w:t>Fig.</w:t>
      </w:r>
      <w:r>
        <w:rPr>
          <w:rFonts w:hint="eastAsia"/>
        </w:rPr>
        <w:t>2</w:t>
      </w:r>
      <w:r w:rsidRPr="00ED29A2">
        <w:t xml:space="preserve"> </w:t>
      </w:r>
      <w:r w:rsidR="003B394F" w:rsidRPr="003B394F">
        <w:t>Physical basis of ODI and multi-scenario mining-induced disturbance evaluation framework</w:t>
      </w:r>
    </w:p>
    <w:p w14:paraId="796F8E6E" w14:textId="77777777" w:rsidR="005E0AE3" w:rsidRDefault="005E0AE3" w:rsidP="005E0AE3">
      <w:pPr>
        <w:pStyle w:val="100"/>
        <w:ind w:firstLineChars="0" w:firstLine="0"/>
        <w:sectPr w:rsidR="005E0AE3" w:rsidSect="005E0AE3">
          <w:type w:val="continuous"/>
          <w:pgSz w:w="11906" w:h="16838"/>
          <w:pgMar w:top="1418" w:right="1134" w:bottom="1134" w:left="1134" w:header="720" w:footer="720" w:gutter="0"/>
          <w:cols w:space="720"/>
          <w:docGrid w:linePitch="598"/>
        </w:sectPr>
      </w:pPr>
    </w:p>
    <w:p w14:paraId="1E0A4714" w14:textId="77777777" w:rsidR="00495807" w:rsidRPr="00495807" w:rsidRDefault="00495807" w:rsidP="00495807">
      <w:pPr>
        <w:pStyle w:val="100"/>
        <w:ind w:firstLine="420"/>
      </w:pPr>
      <w:r w:rsidRPr="00495807">
        <w:t>由图</w:t>
      </w:r>
      <w:r w:rsidRPr="00495807">
        <w:t>2</w:t>
      </w:r>
      <w:r w:rsidRPr="00495807">
        <w:t>可见，</w:t>
      </w:r>
      <w:r w:rsidRPr="00495807">
        <w:t>ODI</w:t>
      </w:r>
      <w:r w:rsidRPr="00495807">
        <w:t>的构建并不是单一指标的简单叠加，而是以地质因素和开采因素为输入，通过位移响应、力学响应和裂隙发育响应等指标表征采动作用下的覆岩扰动强弱。在不同评价场景下，可根据地表沉陷控制、含水层保护和上行开采安全等目标，对相关指标和权重进行调整，使</w:t>
      </w:r>
      <w:r w:rsidRPr="00495807">
        <w:t>ODI</w:t>
      </w:r>
      <w:r w:rsidRPr="00495807">
        <w:t>能够反映不同工程问题下的主控扰动特征。</w:t>
      </w:r>
    </w:p>
    <w:p w14:paraId="0B559AAB" w14:textId="77777777" w:rsidR="00495807" w:rsidRDefault="00495807" w:rsidP="00495807">
      <w:pPr>
        <w:pStyle w:val="100"/>
        <w:ind w:firstLine="420"/>
      </w:pPr>
      <w:r w:rsidRPr="00495807">
        <w:t>在采区规划应用中，</w:t>
      </w:r>
      <w:r w:rsidRPr="00495807">
        <w:t>ODI</w:t>
      </w:r>
      <w:r w:rsidRPr="00495807">
        <w:t>进一步转化为空间图层，用于识别中高扰动区域，并统计工作面方案覆盖范围内的</w:t>
      </w:r>
      <w:r w:rsidRPr="00495807">
        <w:t>ODI</w:t>
      </w:r>
      <w:r w:rsidRPr="00495807">
        <w:t>均值、</w:t>
      </w:r>
      <w:r w:rsidRPr="00495807">
        <w:t>P90</w:t>
      </w:r>
      <w:r w:rsidRPr="00495807">
        <w:t>和超阈值比例。这样可以把原本分散的沉陷、水害和上行开采安全问题转化为可比较的方案指标，为后续工作面布置方案评价提供依据。</w:t>
      </w:r>
    </w:p>
    <w:p w14:paraId="1A300B70" w14:textId="50923D02" w:rsidR="00495807" w:rsidRDefault="00495807" w:rsidP="00495807">
      <w:pPr>
        <w:pStyle w:val="100"/>
        <w:ind w:firstLine="420"/>
      </w:pPr>
      <w:r w:rsidRPr="00495807">
        <w:t>由于</w:t>
      </w:r>
      <w:r w:rsidRPr="00495807">
        <w:t>ODI</w:t>
      </w:r>
      <w:r w:rsidRPr="00495807">
        <w:t>为</w:t>
      </w:r>
      <w:r w:rsidRPr="00495807">
        <w:t>0</w:t>
      </w:r>
      <w:r w:rsidRPr="00495807">
        <w:t>～</w:t>
      </w:r>
      <w:r w:rsidRPr="00495807">
        <w:t>1</w:t>
      </w:r>
      <w:r w:rsidRPr="00495807">
        <w:t>之间的综合扰动指标，其数值大小需要结合采区规划目标进行解释。本文根据前期覆岩扰动分级结果、含水层扰动评价结果及规划阶段方案筛选需求，将</w:t>
      </w:r>
      <w:r w:rsidRPr="00495807">
        <w:t>ODI</w:t>
      </w:r>
      <w:r w:rsidRPr="00495807">
        <w:t>划分为不同扰动水平区间，用于识别工作面布置中需要优先避让或进一步复核的区域，见表</w:t>
      </w:r>
      <w:r>
        <w:rPr>
          <w:rFonts w:hint="eastAsia"/>
        </w:rPr>
        <w:t>1</w:t>
      </w:r>
      <w:r w:rsidRPr="00495807">
        <w:t>。需要说明的是，该分级主要服务于采区规划阶段的方案比较，不直接等同于某一单项灾害的失稳判据。</w:t>
      </w:r>
    </w:p>
    <w:p w14:paraId="37EA7C82" w14:textId="2F4B1C95" w:rsidR="00495807" w:rsidRDefault="00495807" w:rsidP="00495807">
      <w:pPr>
        <w:pStyle w:val="15"/>
      </w:pPr>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sidRPr="00495807">
        <w:t>ODI</w:t>
      </w:r>
      <w:r w:rsidRPr="00495807">
        <w:t>阈值的规划含义及工程处理建议</w:t>
      </w:r>
    </w:p>
    <w:p w14:paraId="6354B0F3" w14:textId="1D6C8066" w:rsidR="00495807" w:rsidRDefault="00495807" w:rsidP="00495807">
      <w:pPr>
        <w:pStyle w:val="15"/>
      </w:pPr>
      <w:r w:rsidRPr="00495807">
        <w:t xml:space="preserve">Table </w:t>
      </w:r>
      <w:r>
        <w:rPr>
          <w:rFonts w:hint="eastAsia"/>
        </w:rPr>
        <w:t>1</w:t>
      </w:r>
      <w:r w:rsidRPr="00495807">
        <w:t xml:space="preserve"> Planning implications and engineering treatment suggestions of ODI thresholds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709"/>
        <w:gridCol w:w="444"/>
        <w:gridCol w:w="1749"/>
        <w:gridCol w:w="1557"/>
      </w:tblGrid>
      <w:tr w:rsidR="00495807" w:rsidRPr="00495807" w14:paraId="2F573FB6" w14:textId="77777777" w:rsidTr="00495807">
        <w:trPr>
          <w:tblHeader/>
          <w:tblCellSpacing w:w="15" w:type="dxa"/>
        </w:trPr>
        <w:tc>
          <w:tcPr>
            <w:tcW w:w="664" w:type="dxa"/>
            <w:tcBorders>
              <w:top w:val="single" w:sz="4" w:space="0" w:color="auto"/>
              <w:bottom w:val="single" w:sz="4" w:space="0" w:color="auto"/>
            </w:tcBorders>
            <w:vAlign w:val="center"/>
            <w:hideMark/>
          </w:tcPr>
          <w:p w14:paraId="543F395A" w14:textId="77777777" w:rsidR="00495807" w:rsidRPr="00495807" w:rsidRDefault="00495807" w:rsidP="00495807">
            <w:pPr>
              <w:spacing w:beforeLines="0" w:before="0" w:afterLines="0" w:after="0"/>
              <w:jc w:val="center"/>
              <w:rPr>
                <w:rFonts w:eastAsia="宋体"/>
                <w:sz w:val="18"/>
              </w:rPr>
            </w:pPr>
            <w:r w:rsidRPr="00495807">
              <w:rPr>
                <w:rFonts w:eastAsia="宋体"/>
                <w:sz w:val="18"/>
              </w:rPr>
              <w:t>ODI</w:t>
            </w:r>
            <w:r w:rsidRPr="00495807">
              <w:rPr>
                <w:rFonts w:eastAsia="宋体"/>
                <w:sz w:val="18"/>
              </w:rPr>
              <w:t>范围</w:t>
            </w:r>
          </w:p>
        </w:tc>
        <w:tc>
          <w:tcPr>
            <w:tcW w:w="414" w:type="dxa"/>
            <w:tcBorders>
              <w:top w:val="single" w:sz="4" w:space="0" w:color="auto"/>
              <w:bottom w:val="single" w:sz="4" w:space="0" w:color="auto"/>
            </w:tcBorders>
            <w:vAlign w:val="center"/>
            <w:hideMark/>
          </w:tcPr>
          <w:p w14:paraId="18880C70" w14:textId="77777777" w:rsidR="00495807" w:rsidRPr="00495807" w:rsidRDefault="00495807" w:rsidP="00495807">
            <w:pPr>
              <w:spacing w:beforeLines="0" w:before="0" w:afterLines="0" w:after="0"/>
              <w:jc w:val="center"/>
              <w:rPr>
                <w:rFonts w:eastAsia="宋体"/>
                <w:sz w:val="18"/>
              </w:rPr>
            </w:pPr>
            <w:r w:rsidRPr="00495807">
              <w:rPr>
                <w:rFonts w:eastAsia="宋体"/>
                <w:sz w:val="18"/>
              </w:rPr>
              <w:t>扰动水平</w:t>
            </w:r>
          </w:p>
        </w:tc>
        <w:tc>
          <w:tcPr>
            <w:tcW w:w="0" w:type="auto"/>
            <w:tcBorders>
              <w:top w:val="single" w:sz="4" w:space="0" w:color="auto"/>
              <w:bottom w:val="single" w:sz="4" w:space="0" w:color="auto"/>
            </w:tcBorders>
            <w:vAlign w:val="center"/>
            <w:hideMark/>
          </w:tcPr>
          <w:p w14:paraId="3651D6E4" w14:textId="77777777" w:rsidR="00495807" w:rsidRPr="00495807" w:rsidRDefault="00495807" w:rsidP="00495807">
            <w:pPr>
              <w:spacing w:beforeLines="0" w:before="0" w:afterLines="0" w:after="0"/>
              <w:jc w:val="center"/>
              <w:rPr>
                <w:rFonts w:eastAsia="宋体"/>
                <w:sz w:val="18"/>
              </w:rPr>
            </w:pPr>
            <w:r w:rsidRPr="00495807">
              <w:rPr>
                <w:rFonts w:eastAsia="宋体"/>
                <w:sz w:val="18"/>
              </w:rPr>
              <w:t>规划含义</w:t>
            </w:r>
          </w:p>
        </w:tc>
        <w:tc>
          <w:tcPr>
            <w:tcW w:w="0" w:type="auto"/>
            <w:tcBorders>
              <w:top w:val="single" w:sz="4" w:space="0" w:color="auto"/>
              <w:bottom w:val="single" w:sz="4" w:space="0" w:color="auto"/>
            </w:tcBorders>
            <w:vAlign w:val="center"/>
            <w:hideMark/>
          </w:tcPr>
          <w:p w14:paraId="7CADB720" w14:textId="77777777" w:rsidR="00495807" w:rsidRPr="00495807" w:rsidRDefault="00495807" w:rsidP="00495807">
            <w:pPr>
              <w:spacing w:beforeLines="0" w:before="0" w:afterLines="0" w:after="0"/>
              <w:jc w:val="center"/>
              <w:rPr>
                <w:rFonts w:eastAsia="宋体"/>
                <w:sz w:val="18"/>
              </w:rPr>
            </w:pPr>
            <w:r w:rsidRPr="00495807">
              <w:rPr>
                <w:rFonts w:eastAsia="宋体"/>
                <w:sz w:val="18"/>
              </w:rPr>
              <w:t>工程处理建议</w:t>
            </w:r>
          </w:p>
        </w:tc>
      </w:tr>
      <w:tr w:rsidR="00495807" w:rsidRPr="00495807" w14:paraId="63516EA8" w14:textId="77777777" w:rsidTr="00495807">
        <w:trPr>
          <w:tblCellSpacing w:w="15" w:type="dxa"/>
        </w:trPr>
        <w:tc>
          <w:tcPr>
            <w:tcW w:w="664" w:type="dxa"/>
            <w:vAlign w:val="center"/>
            <w:hideMark/>
          </w:tcPr>
          <w:p w14:paraId="4133F0F9" w14:textId="77777777" w:rsidR="00495807" w:rsidRPr="00495807" w:rsidRDefault="00495807" w:rsidP="00495807">
            <w:pPr>
              <w:spacing w:beforeLines="0" w:before="0" w:afterLines="0" w:after="0"/>
              <w:jc w:val="center"/>
              <w:rPr>
                <w:rFonts w:eastAsia="宋体"/>
                <w:sz w:val="18"/>
              </w:rPr>
            </w:pPr>
            <w:r w:rsidRPr="00495807">
              <w:rPr>
                <w:rFonts w:eastAsia="宋体"/>
                <w:sz w:val="18"/>
              </w:rPr>
              <w:t>0</w:t>
            </w:r>
            <w:r w:rsidRPr="00495807">
              <w:rPr>
                <w:rFonts w:eastAsia="宋体"/>
                <w:sz w:val="18"/>
              </w:rPr>
              <w:t>～</w:t>
            </w:r>
            <w:r w:rsidRPr="00495807">
              <w:rPr>
                <w:rFonts w:eastAsia="宋体"/>
                <w:sz w:val="18"/>
              </w:rPr>
              <w:t>0.40</w:t>
            </w:r>
          </w:p>
        </w:tc>
        <w:tc>
          <w:tcPr>
            <w:tcW w:w="414" w:type="dxa"/>
            <w:vAlign w:val="center"/>
            <w:hideMark/>
          </w:tcPr>
          <w:p w14:paraId="00B061B8" w14:textId="77777777" w:rsidR="00495807" w:rsidRPr="00495807" w:rsidRDefault="00495807" w:rsidP="00495807">
            <w:pPr>
              <w:spacing w:beforeLines="0" w:before="0" w:afterLines="0" w:after="0"/>
              <w:jc w:val="center"/>
              <w:rPr>
                <w:rFonts w:eastAsia="宋体"/>
                <w:sz w:val="18"/>
              </w:rPr>
            </w:pPr>
            <w:r w:rsidRPr="00495807">
              <w:rPr>
                <w:rFonts w:eastAsia="宋体"/>
                <w:sz w:val="18"/>
              </w:rPr>
              <w:t>轻微</w:t>
            </w:r>
            <w:r w:rsidRPr="00495807">
              <w:rPr>
                <w:rFonts w:eastAsia="宋体"/>
                <w:sz w:val="18"/>
              </w:rPr>
              <w:t>—</w:t>
            </w:r>
            <w:r w:rsidRPr="00495807">
              <w:rPr>
                <w:rFonts w:eastAsia="宋体"/>
                <w:sz w:val="18"/>
              </w:rPr>
              <w:t>较弱扰动</w:t>
            </w:r>
          </w:p>
        </w:tc>
        <w:tc>
          <w:tcPr>
            <w:tcW w:w="0" w:type="auto"/>
            <w:vAlign w:val="center"/>
            <w:hideMark/>
          </w:tcPr>
          <w:p w14:paraId="09A17A7B" w14:textId="77777777" w:rsidR="00495807" w:rsidRPr="00495807" w:rsidRDefault="00495807" w:rsidP="00495807">
            <w:pPr>
              <w:spacing w:beforeLines="0" w:before="0" w:afterLines="0" w:after="0"/>
              <w:jc w:val="center"/>
              <w:rPr>
                <w:rFonts w:eastAsia="宋体"/>
                <w:sz w:val="18"/>
              </w:rPr>
            </w:pPr>
            <w:r w:rsidRPr="00495807">
              <w:rPr>
                <w:rFonts w:eastAsia="宋体"/>
                <w:sz w:val="18"/>
              </w:rPr>
              <w:t>覆岩响应较弱，对工作面布置约束较小</w:t>
            </w:r>
          </w:p>
        </w:tc>
        <w:tc>
          <w:tcPr>
            <w:tcW w:w="0" w:type="auto"/>
            <w:vAlign w:val="center"/>
            <w:hideMark/>
          </w:tcPr>
          <w:p w14:paraId="12E481BA" w14:textId="77777777" w:rsidR="00495807" w:rsidRPr="00495807" w:rsidRDefault="00495807" w:rsidP="00495807">
            <w:pPr>
              <w:spacing w:beforeLines="0" w:before="0" w:afterLines="0" w:after="0"/>
              <w:jc w:val="center"/>
              <w:rPr>
                <w:rFonts w:eastAsia="宋体"/>
                <w:sz w:val="18"/>
              </w:rPr>
            </w:pPr>
            <w:r w:rsidRPr="00495807">
              <w:rPr>
                <w:rFonts w:eastAsia="宋体"/>
                <w:sz w:val="18"/>
              </w:rPr>
              <w:t>可作为工作面优先布置区域</w:t>
            </w:r>
          </w:p>
        </w:tc>
      </w:tr>
      <w:tr w:rsidR="00495807" w:rsidRPr="00495807" w14:paraId="5527823E" w14:textId="77777777" w:rsidTr="00495807">
        <w:trPr>
          <w:tblCellSpacing w:w="15" w:type="dxa"/>
        </w:trPr>
        <w:tc>
          <w:tcPr>
            <w:tcW w:w="664" w:type="dxa"/>
            <w:vAlign w:val="center"/>
            <w:hideMark/>
          </w:tcPr>
          <w:p w14:paraId="460F206C" w14:textId="77777777" w:rsidR="00495807" w:rsidRPr="00495807" w:rsidRDefault="00495807" w:rsidP="00495807">
            <w:pPr>
              <w:spacing w:beforeLines="0" w:before="0" w:afterLines="0" w:after="0"/>
              <w:jc w:val="center"/>
              <w:rPr>
                <w:rFonts w:eastAsia="宋体"/>
                <w:sz w:val="18"/>
              </w:rPr>
            </w:pPr>
            <w:r w:rsidRPr="00495807">
              <w:rPr>
                <w:rFonts w:eastAsia="宋体"/>
                <w:sz w:val="18"/>
              </w:rPr>
              <w:t>0.40</w:t>
            </w:r>
            <w:r w:rsidRPr="00495807">
              <w:rPr>
                <w:rFonts w:eastAsia="宋体"/>
                <w:sz w:val="18"/>
              </w:rPr>
              <w:t>～</w:t>
            </w:r>
            <w:r w:rsidRPr="00495807">
              <w:rPr>
                <w:rFonts w:eastAsia="宋体"/>
                <w:sz w:val="18"/>
              </w:rPr>
              <w:t>0.60</w:t>
            </w:r>
          </w:p>
        </w:tc>
        <w:tc>
          <w:tcPr>
            <w:tcW w:w="414" w:type="dxa"/>
            <w:vAlign w:val="center"/>
            <w:hideMark/>
          </w:tcPr>
          <w:p w14:paraId="4D5BBB48" w14:textId="77777777" w:rsidR="00495807" w:rsidRPr="00495807" w:rsidRDefault="00495807" w:rsidP="00495807">
            <w:pPr>
              <w:spacing w:beforeLines="0" w:before="0" w:afterLines="0" w:after="0"/>
              <w:jc w:val="center"/>
              <w:rPr>
                <w:rFonts w:eastAsia="宋体"/>
                <w:sz w:val="18"/>
              </w:rPr>
            </w:pPr>
            <w:r w:rsidRPr="00495807">
              <w:rPr>
                <w:rFonts w:eastAsia="宋体"/>
                <w:sz w:val="18"/>
              </w:rPr>
              <w:t>中等扰动</w:t>
            </w:r>
          </w:p>
        </w:tc>
        <w:tc>
          <w:tcPr>
            <w:tcW w:w="0" w:type="auto"/>
            <w:vAlign w:val="center"/>
            <w:hideMark/>
          </w:tcPr>
          <w:p w14:paraId="532C9026" w14:textId="77777777" w:rsidR="00495807" w:rsidRPr="00495807" w:rsidRDefault="00495807" w:rsidP="00495807">
            <w:pPr>
              <w:spacing w:beforeLines="0" w:before="0" w:afterLines="0" w:after="0"/>
              <w:jc w:val="center"/>
              <w:rPr>
                <w:rFonts w:eastAsia="宋体"/>
                <w:sz w:val="18"/>
              </w:rPr>
            </w:pPr>
            <w:r w:rsidRPr="00495807">
              <w:rPr>
                <w:rFonts w:eastAsia="宋体"/>
                <w:sz w:val="18"/>
              </w:rPr>
              <w:t>覆岩响应处于中等水平，需结合煤厚资源和工程条件综合判断</w:t>
            </w:r>
          </w:p>
        </w:tc>
        <w:tc>
          <w:tcPr>
            <w:tcW w:w="0" w:type="auto"/>
            <w:vAlign w:val="center"/>
            <w:hideMark/>
          </w:tcPr>
          <w:p w14:paraId="6FA2D738" w14:textId="77777777" w:rsidR="00495807" w:rsidRPr="00495807" w:rsidRDefault="00495807" w:rsidP="00495807">
            <w:pPr>
              <w:spacing w:beforeLines="0" w:before="0" w:afterLines="0" w:after="0"/>
              <w:jc w:val="center"/>
              <w:rPr>
                <w:rFonts w:eastAsia="宋体"/>
                <w:sz w:val="18"/>
              </w:rPr>
            </w:pPr>
            <w:r w:rsidRPr="00495807">
              <w:rPr>
                <w:rFonts w:eastAsia="宋体"/>
                <w:sz w:val="18"/>
              </w:rPr>
              <w:t>可布置，但应结合方案指标进行复核</w:t>
            </w:r>
          </w:p>
        </w:tc>
      </w:tr>
      <w:tr w:rsidR="00495807" w:rsidRPr="00495807" w14:paraId="26C2199E" w14:textId="77777777" w:rsidTr="00495807">
        <w:trPr>
          <w:tblCellSpacing w:w="15" w:type="dxa"/>
        </w:trPr>
        <w:tc>
          <w:tcPr>
            <w:tcW w:w="664" w:type="dxa"/>
            <w:vAlign w:val="center"/>
            <w:hideMark/>
          </w:tcPr>
          <w:p w14:paraId="67BC6AF3" w14:textId="77777777" w:rsidR="00495807" w:rsidRPr="00495807" w:rsidRDefault="00495807" w:rsidP="00495807">
            <w:pPr>
              <w:spacing w:beforeLines="0" w:before="0" w:afterLines="0" w:after="0"/>
              <w:jc w:val="center"/>
              <w:rPr>
                <w:rFonts w:eastAsia="宋体"/>
                <w:sz w:val="18"/>
              </w:rPr>
            </w:pPr>
            <w:r w:rsidRPr="00495807">
              <w:rPr>
                <w:rFonts w:eastAsia="宋体"/>
                <w:sz w:val="18"/>
              </w:rPr>
              <w:t>0.60</w:t>
            </w:r>
            <w:r w:rsidRPr="00495807">
              <w:rPr>
                <w:rFonts w:eastAsia="宋体"/>
                <w:sz w:val="18"/>
              </w:rPr>
              <w:t>～</w:t>
            </w:r>
            <w:r w:rsidRPr="00495807">
              <w:rPr>
                <w:rFonts w:eastAsia="宋体"/>
                <w:sz w:val="18"/>
              </w:rPr>
              <w:t>0.70</w:t>
            </w:r>
          </w:p>
        </w:tc>
        <w:tc>
          <w:tcPr>
            <w:tcW w:w="414" w:type="dxa"/>
            <w:vAlign w:val="center"/>
            <w:hideMark/>
          </w:tcPr>
          <w:p w14:paraId="425FD1BB" w14:textId="77777777" w:rsidR="00495807" w:rsidRPr="00495807" w:rsidRDefault="00495807" w:rsidP="00495807">
            <w:pPr>
              <w:spacing w:beforeLines="0" w:before="0" w:afterLines="0" w:after="0"/>
              <w:jc w:val="center"/>
              <w:rPr>
                <w:rFonts w:eastAsia="宋体"/>
                <w:sz w:val="18"/>
              </w:rPr>
            </w:pPr>
            <w:r w:rsidRPr="00495807">
              <w:rPr>
                <w:rFonts w:eastAsia="宋体"/>
                <w:sz w:val="18"/>
              </w:rPr>
              <w:t>中等偏强扰动</w:t>
            </w:r>
          </w:p>
        </w:tc>
        <w:tc>
          <w:tcPr>
            <w:tcW w:w="0" w:type="auto"/>
            <w:vAlign w:val="center"/>
            <w:hideMark/>
          </w:tcPr>
          <w:p w14:paraId="70FDCA86" w14:textId="77777777" w:rsidR="00495807" w:rsidRPr="00495807" w:rsidRDefault="00495807" w:rsidP="00495807">
            <w:pPr>
              <w:spacing w:beforeLines="0" w:before="0" w:afterLines="0" w:after="0"/>
              <w:jc w:val="center"/>
              <w:rPr>
                <w:rFonts w:eastAsia="宋体"/>
                <w:sz w:val="18"/>
              </w:rPr>
            </w:pPr>
            <w:r w:rsidRPr="00495807">
              <w:rPr>
                <w:rFonts w:eastAsia="宋体"/>
                <w:sz w:val="18"/>
              </w:rPr>
              <w:t>局部扰动响应增强，接近中高扰动统计范围</w:t>
            </w:r>
          </w:p>
        </w:tc>
        <w:tc>
          <w:tcPr>
            <w:tcW w:w="0" w:type="auto"/>
            <w:vAlign w:val="center"/>
            <w:hideMark/>
          </w:tcPr>
          <w:p w14:paraId="534F5D7B" w14:textId="77777777" w:rsidR="00495807" w:rsidRPr="00495807" w:rsidRDefault="00495807" w:rsidP="00495807">
            <w:pPr>
              <w:spacing w:beforeLines="0" w:before="0" w:afterLines="0" w:after="0"/>
              <w:jc w:val="center"/>
              <w:rPr>
                <w:rFonts w:eastAsia="宋体"/>
                <w:sz w:val="18"/>
              </w:rPr>
            </w:pPr>
            <w:r w:rsidRPr="00495807">
              <w:rPr>
                <w:rFonts w:eastAsia="宋体"/>
                <w:sz w:val="18"/>
              </w:rPr>
              <w:t>不宜仅依据资源覆盖率优先布置，应结合</w:t>
            </w:r>
            <w:r w:rsidRPr="00495807">
              <w:rPr>
                <w:rFonts w:eastAsia="宋体"/>
                <w:sz w:val="18"/>
              </w:rPr>
              <w:t>ODI</w:t>
            </w:r>
            <w:r w:rsidRPr="00495807">
              <w:rPr>
                <w:rFonts w:eastAsia="宋体"/>
                <w:sz w:val="18"/>
              </w:rPr>
              <w:t>均值和</w:t>
            </w:r>
            <w:r w:rsidRPr="00495807">
              <w:rPr>
                <w:rFonts w:eastAsia="宋体"/>
                <w:sz w:val="18"/>
              </w:rPr>
              <w:t>P90</w:t>
            </w:r>
            <w:r w:rsidRPr="00495807">
              <w:rPr>
                <w:rFonts w:eastAsia="宋体"/>
                <w:sz w:val="18"/>
              </w:rPr>
              <w:t>判断</w:t>
            </w:r>
          </w:p>
        </w:tc>
      </w:tr>
      <w:tr w:rsidR="00495807" w:rsidRPr="00495807" w14:paraId="2C6339D9" w14:textId="77777777" w:rsidTr="00495807">
        <w:trPr>
          <w:tblCellSpacing w:w="15" w:type="dxa"/>
        </w:trPr>
        <w:tc>
          <w:tcPr>
            <w:tcW w:w="664" w:type="dxa"/>
            <w:vAlign w:val="center"/>
            <w:hideMark/>
          </w:tcPr>
          <w:p w14:paraId="7F5D8561" w14:textId="77777777" w:rsidR="00495807" w:rsidRPr="00495807" w:rsidRDefault="00495807" w:rsidP="00495807">
            <w:pPr>
              <w:spacing w:beforeLines="0" w:before="0" w:afterLines="0" w:after="0"/>
              <w:jc w:val="center"/>
              <w:rPr>
                <w:rFonts w:eastAsia="宋体"/>
                <w:sz w:val="18"/>
              </w:rPr>
            </w:pPr>
            <w:r w:rsidRPr="00495807">
              <w:rPr>
                <w:rFonts w:eastAsia="宋体"/>
                <w:sz w:val="18"/>
              </w:rPr>
              <w:t>0.70</w:t>
            </w:r>
            <w:r w:rsidRPr="00495807">
              <w:rPr>
                <w:rFonts w:eastAsia="宋体"/>
                <w:sz w:val="18"/>
              </w:rPr>
              <w:t>～</w:t>
            </w:r>
            <w:r w:rsidRPr="00495807">
              <w:rPr>
                <w:rFonts w:eastAsia="宋体"/>
                <w:sz w:val="18"/>
              </w:rPr>
              <w:t>0.80</w:t>
            </w:r>
          </w:p>
        </w:tc>
        <w:tc>
          <w:tcPr>
            <w:tcW w:w="414" w:type="dxa"/>
            <w:vAlign w:val="center"/>
            <w:hideMark/>
          </w:tcPr>
          <w:p w14:paraId="41D2E947" w14:textId="77777777" w:rsidR="00495807" w:rsidRPr="00495807" w:rsidRDefault="00495807" w:rsidP="00495807">
            <w:pPr>
              <w:spacing w:beforeLines="0" w:before="0" w:afterLines="0" w:after="0"/>
              <w:jc w:val="center"/>
              <w:rPr>
                <w:rFonts w:eastAsia="宋体"/>
                <w:sz w:val="18"/>
              </w:rPr>
            </w:pPr>
            <w:r w:rsidRPr="00495807">
              <w:rPr>
                <w:rFonts w:eastAsia="宋体"/>
                <w:sz w:val="18"/>
              </w:rPr>
              <w:t>中高扰动</w:t>
            </w:r>
          </w:p>
        </w:tc>
        <w:tc>
          <w:tcPr>
            <w:tcW w:w="0" w:type="auto"/>
            <w:vAlign w:val="center"/>
            <w:hideMark/>
          </w:tcPr>
          <w:p w14:paraId="534C1931" w14:textId="77777777" w:rsidR="00495807" w:rsidRPr="00495807" w:rsidRDefault="00495807" w:rsidP="00495807">
            <w:pPr>
              <w:spacing w:beforeLines="0" w:before="0" w:afterLines="0" w:after="0"/>
              <w:jc w:val="center"/>
              <w:rPr>
                <w:rFonts w:eastAsia="宋体"/>
                <w:sz w:val="18"/>
              </w:rPr>
            </w:pPr>
            <w:r w:rsidRPr="00495807">
              <w:rPr>
                <w:rFonts w:eastAsia="宋体"/>
                <w:sz w:val="18"/>
              </w:rPr>
              <w:t>可能在沉陷、裂隙发育或上覆岩层稳定性方面表现出不利响应</w:t>
            </w:r>
          </w:p>
        </w:tc>
        <w:tc>
          <w:tcPr>
            <w:tcW w:w="0" w:type="auto"/>
            <w:vAlign w:val="center"/>
            <w:hideMark/>
          </w:tcPr>
          <w:p w14:paraId="296F42D2" w14:textId="77777777" w:rsidR="00495807" w:rsidRPr="00495807" w:rsidRDefault="00495807" w:rsidP="00495807">
            <w:pPr>
              <w:spacing w:beforeLines="0" w:before="0" w:afterLines="0" w:after="0"/>
              <w:jc w:val="center"/>
              <w:rPr>
                <w:rFonts w:eastAsia="宋体"/>
                <w:sz w:val="18"/>
              </w:rPr>
            </w:pPr>
            <w:r w:rsidRPr="00495807">
              <w:rPr>
                <w:rFonts w:eastAsia="宋体"/>
                <w:sz w:val="18"/>
              </w:rPr>
              <w:t>工作面布置时应优先避让，确需布置时应开展专项复核</w:t>
            </w:r>
          </w:p>
        </w:tc>
      </w:tr>
      <w:tr w:rsidR="00495807" w:rsidRPr="00495807" w14:paraId="6D6E5046" w14:textId="77777777" w:rsidTr="00495807">
        <w:trPr>
          <w:tblCellSpacing w:w="15" w:type="dxa"/>
        </w:trPr>
        <w:tc>
          <w:tcPr>
            <w:tcW w:w="664" w:type="dxa"/>
            <w:vAlign w:val="center"/>
            <w:hideMark/>
          </w:tcPr>
          <w:p w14:paraId="75AEFF36" w14:textId="77777777" w:rsidR="00495807" w:rsidRPr="00495807" w:rsidRDefault="00495807" w:rsidP="00495807">
            <w:pPr>
              <w:spacing w:beforeLines="0" w:before="0" w:afterLines="0" w:after="0"/>
              <w:jc w:val="center"/>
              <w:rPr>
                <w:rFonts w:eastAsia="宋体"/>
                <w:sz w:val="18"/>
              </w:rPr>
            </w:pPr>
            <w:r w:rsidRPr="00495807">
              <w:rPr>
                <w:rFonts w:eastAsia="宋体"/>
                <w:sz w:val="18"/>
              </w:rPr>
              <w:t>＞</w:t>
            </w:r>
            <w:r w:rsidRPr="00495807">
              <w:rPr>
                <w:rFonts w:eastAsia="宋体"/>
                <w:sz w:val="18"/>
              </w:rPr>
              <w:t>0.80</w:t>
            </w:r>
          </w:p>
        </w:tc>
        <w:tc>
          <w:tcPr>
            <w:tcW w:w="414" w:type="dxa"/>
            <w:vAlign w:val="center"/>
            <w:hideMark/>
          </w:tcPr>
          <w:p w14:paraId="5581C276" w14:textId="77777777" w:rsidR="00495807" w:rsidRPr="00495807" w:rsidRDefault="00495807" w:rsidP="00495807">
            <w:pPr>
              <w:spacing w:beforeLines="0" w:before="0" w:afterLines="0" w:after="0"/>
              <w:jc w:val="center"/>
              <w:rPr>
                <w:rFonts w:eastAsia="宋体"/>
                <w:sz w:val="18"/>
              </w:rPr>
            </w:pPr>
            <w:r w:rsidRPr="00495807">
              <w:rPr>
                <w:rFonts w:eastAsia="宋体"/>
                <w:sz w:val="18"/>
              </w:rPr>
              <w:t>较强扰动</w:t>
            </w:r>
          </w:p>
        </w:tc>
        <w:tc>
          <w:tcPr>
            <w:tcW w:w="0" w:type="auto"/>
            <w:vAlign w:val="center"/>
            <w:hideMark/>
          </w:tcPr>
          <w:p w14:paraId="6E0E0ED8" w14:textId="77777777" w:rsidR="00495807" w:rsidRPr="00495807" w:rsidRDefault="00495807" w:rsidP="00495807">
            <w:pPr>
              <w:spacing w:beforeLines="0" w:before="0" w:afterLines="0" w:after="0"/>
              <w:jc w:val="center"/>
              <w:rPr>
                <w:rFonts w:eastAsia="宋体"/>
                <w:sz w:val="18"/>
              </w:rPr>
            </w:pPr>
            <w:r w:rsidRPr="00495807">
              <w:rPr>
                <w:rFonts w:eastAsia="宋体"/>
                <w:sz w:val="18"/>
              </w:rPr>
              <w:t>扰动水平较高，后续沉陷控制、含水层保护或上行开采安全校核压力较大</w:t>
            </w:r>
          </w:p>
        </w:tc>
        <w:tc>
          <w:tcPr>
            <w:tcW w:w="0" w:type="auto"/>
            <w:vAlign w:val="center"/>
            <w:hideMark/>
          </w:tcPr>
          <w:p w14:paraId="2C5C567A" w14:textId="77777777" w:rsidR="00495807" w:rsidRPr="00495807" w:rsidRDefault="00495807" w:rsidP="00495807">
            <w:pPr>
              <w:spacing w:beforeLines="0" w:before="0" w:afterLines="0" w:after="0"/>
              <w:jc w:val="center"/>
              <w:rPr>
                <w:rFonts w:eastAsia="宋体"/>
                <w:sz w:val="18"/>
              </w:rPr>
            </w:pPr>
            <w:r w:rsidRPr="00495807">
              <w:rPr>
                <w:rFonts w:eastAsia="宋体"/>
                <w:sz w:val="18"/>
              </w:rPr>
              <w:t>不宜作为优先布置区域，应作为重点复核对象</w:t>
            </w:r>
          </w:p>
        </w:tc>
      </w:tr>
    </w:tbl>
    <w:p w14:paraId="43A04BB5" w14:textId="20F4ED81" w:rsidR="00495807" w:rsidRPr="00495807" w:rsidRDefault="00495807" w:rsidP="00495807">
      <w:pPr>
        <w:pStyle w:val="100"/>
        <w:ind w:firstLine="420"/>
      </w:pPr>
      <w:r w:rsidRPr="00495807">
        <w:t>由表</w:t>
      </w:r>
      <w:r>
        <w:rPr>
          <w:rFonts w:hint="eastAsia"/>
        </w:rPr>
        <w:t>1</w:t>
      </w:r>
      <w:r w:rsidRPr="00495807">
        <w:t>可知，</w:t>
      </w:r>
      <w:r w:rsidRPr="00495807">
        <w:t>ODI</w:t>
      </w:r>
      <w:r w:rsidRPr="00495807">
        <w:t>＞</w:t>
      </w:r>
      <w:r w:rsidRPr="00495807">
        <w:t>0.70</w:t>
      </w:r>
      <w:r w:rsidRPr="00495807">
        <w:t>对应规划阶段的中高扰动水平，表示该区域可能在一个或多个采动扰动场景下表现出较强响应。因此，本文在后续工程应用中将</w:t>
      </w:r>
      <w:r w:rsidRPr="00495807">
        <w:t>ODI</w:t>
      </w:r>
      <w:r w:rsidRPr="00495807">
        <w:t>＞</w:t>
      </w:r>
      <w:r w:rsidRPr="00495807">
        <w:t>0.70</w:t>
      </w:r>
      <w:r w:rsidRPr="00495807">
        <w:t>作为中高扰动区域的统计阈值，用于计算候选工作面方案与扰动较强区域的重叠程度。该阈值主要用于方案筛选和规划复核提示，最终方案仍需结合地表沉陷预计、导水裂隙带高度判定、含水层保护和上行开采安全性等专项评价进一步校核。</w:t>
      </w:r>
    </w:p>
    <w:p w14:paraId="241ADE63" w14:textId="39486B0C" w:rsidR="0037587A" w:rsidRPr="0037587A" w:rsidRDefault="0037587A" w:rsidP="0037587A">
      <w:pPr>
        <w:pStyle w:val="100"/>
        <w:ind w:firstLine="420"/>
      </w:pPr>
      <w:r w:rsidRPr="0037587A">
        <w:t>本文所用</w:t>
      </w:r>
      <w:r w:rsidRPr="0037587A">
        <w:t>ODI</w:t>
      </w:r>
      <w:r w:rsidRPr="0037587A">
        <w:t>来源于前期建立的覆岩扰动强度量化指标体系。该体系以关键层控制理论为基础，将地质条件和开采条件作为扰动输入因素，将位移响应、应力响应和裂隙发育响应作为覆岩扰动的主要表征维度。其中，位移响应用于反映关键层挠曲变形及其空间变化，应力响应用于反映采动应力重分布和高应力区发育，裂隙发育响</w:t>
      </w:r>
      <w:r w:rsidRPr="0037587A">
        <w:lastRenderedPageBreak/>
        <w:t>应用于反映导水裂隙带高度、横向扩展及岩层结构破坏程度。因此，</w:t>
      </w:r>
      <w:r w:rsidRPr="0037587A">
        <w:t>ODI</w:t>
      </w:r>
      <w:r w:rsidRPr="0037587A">
        <w:t>并不是单纯的数学归一化结果，而是对采动引起的变形、应力和裂隙发育等响应的综合表达。</w:t>
      </w:r>
    </w:p>
    <w:p w14:paraId="50210D17" w14:textId="3E254D6A" w:rsidR="009F3BA1" w:rsidRDefault="009F3BA1" w:rsidP="009F3BA1">
      <w:pPr>
        <w:pStyle w:val="100"/>
        <w:ind w:firstLine="420"/>
      </w:pPr>
      <w:r w:rsidRPr="009F3BA1">
        <w:t>多场景覆岩扰动分量及其规划作用见表</w:t>
      </w:r>
      <w:r w:rsidR="00495807">
        <w:rPr>
          <w:rFonts w:hint="eastAsia"/>
        </w:rPr>
        <w:t>2</w:t>
      </w:r>
      <w:r w:rsidRPr="009F3BA1">
        <w:t>。</w:t>
      </w:r>
    </w:p>
    <w:p w14:paraId="588637C2" w14:textId="0661F769" w:rsidR="009F3BA1" w:rsidRDefault="009F3BA1" w:rsidP="009F3BA1">
      <w:pPr>
        <w:pStyle w:val="15"/>
      </w:pPr>
      <w:bookmarkStart w:id="2" w:name="_Ref228223867"/>
      <w:r>
        <w:rPr>
          <w:rFonts w:hint="eastAsia"/>
        </w:rPr>
        <w:t>表</w:t>
      </w:r>
      <w:r w:rsidR="00495807">
        <w:fldChar w:fldCharType="begin"/>
      </w:r>
      <w:r w:rsidR="00495807">
        <w:instrText xml:space="preserve"> </w:instrText>
      </w:r>
      <w:r w:rsidR="00495807">
        <w:rPr>
          <w:rFonts w:hint="eastAsia"/>
        </w:rPr>
        <w:instrText xml:space="preserve">SEQ </w:instrText>
      </w:r>
      <w:r w:rsidR="00495807">
        <w:rPr>
          <w:rFonts w:hint="eastAsia"/>
        </w:rPr>
        <w:instrText>表</w:instrText>
      </w:r>
      <w:r w:rsidR="00495807">
        <w:rPr>
          <w:rFonts w:hint="eastAsia"/>
        </w:rPr>
        <w:instrText xml:space="preserve"> \* ARABIC</w:instrText>
      </w:r>
      <w:r w:rsidR="00495807">
        <w:instrText xml:space="preserve"> </w:instrText>
      </w:r>
      <w:r w:rsidR="00495807">
        <w:fldChar w:fldCharType="separate"/>
      </w:r>
      <w:r w:rsidR="00495807">
        <w:rPr>
          <w:noProof/>
        </w:rPr>
        <w:t>2</w:t>
      </w:r>
      <w:r w:rsidR="00495807">
        <w:fldChar w:fldCharType="end"/>
      </w:r>
      <w:bookmarkEnd w:id="2"/>
      <w:r>
        <w:rPr>
          <w:rFonts w:hint="eastAsia"/>
        </w:rPr>
        <w:t xml:space="preserve"> </w:t>
      </w:r>
      <w:r w:rsidRPr="00EF255B">
        <w:t>多场景覆岩扰动评价对象及规划作用</w:t>
      </w:r>
    </w:p>
    <w:p w14:paraId="3015F2B5" w14:textId="545233D7" w:rsidR="009F3BA1" w:rsidRDefault="009F3BA1" w:rsidP="009F3BA1">
      <w:pPr>
        <w:pStyle w:val="15"/>
      </w:pPr>
      <w:r w:rsidRPr="00EF255B">
        <w:t xml:space="preserve">Table </w:t>
      </w:r>
      <w:r w:rsidR="00495807">
        <w:rPr>
          <w:rFonts w:hint="eastAsia"/>
        </w:rPr>
        <w:t>2</w:t>
      </w:r>
      <w:r w:rsidRPr="00EF255B">
        <w:t xml:space="preserve"> Evaluation objects and planning functions of multi-scenario overburden disturbance</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605"/>
        <w:gridCol w:w="1024"/>
        <w:gridCol w:w="1595"/>
        <w:gridCol w:w="1235"/>
      </w:tblGrid>
      <w:tr w:rsidR="009F3BA1" w:rsidRPr="00210CE2" w14:paraId="3E4850C6" w14:textId="77777777" w:rsidTr="000F5584">
        <w:trPr>
          <w:tblHeader/>
          <w:tblCellSpacing w:w="15" w:type="dxa"/>
        </w:trPr>
        <w:tc>
          <w:tcPr>
            <w:tcW w:w="0" w:type="auto"/>
            <w:tcBorders>
              <w:top w:val="nil"/>
              <w:bottom w:val="single" w:sz="4" w:space="0" w:color="auto"/>
            </w:tcBorders>
            <w:vAlign w:val="center"/>
            <w:hideMark/>
          </w:tcPr>
          <w:p w14:paraId="550CCC70" w14:textId="77777777" w:rsidR="009F3BA1" w:rsidRPr="00210CE2" w:rsidRDefault="009F3BA1" w:rsidP="000F5584">
            <w:pPr>
              <w:spacing w:beforeLines="0" w:before="0" w:afterLines="0" w:after="0"/>
              <w:jc w:val="center"/>
              <w:rPr>
                <w:rFonts w:eastAsia="宋体"/>
                <w:sz w:val="18"/>
              </w:rPr>
            </w:pPr>
            <w:r w:rsidRPr="00210CE2">
              <w:rPr>
                <w:rFonts w:eastAsia="宋体"/>
                <w:sz w:val="18"/>
              </w:rPr>
              <w:t>场景</w:t>
            </w:r>
          </w:p>
        </w:tc>
        <w:tc>
          <w:tcPr>
            <w:tcW w:w="0" w:type="auto"/>
            <w:tcBorders>
              <w:top w:val="nil"/>
              <w:bottom w:val="single" w:sz="4" w:space="0" w:color="auto"/>
            </w:tcBorders>
            <w:vAlign w:val="center"/>
            <w:hideMark/>
          </w:tcPr>
          <w:p w14:paraId="670BD7DA" w14:textId="77777777" w:rsidR="009F3BA1" w:rsidRPr="00210CE2" w:rsidRDefault="009F3BA1" w:rsidP="000F5584">
            <w:pPr>
              <w:spacing w:beforeLines="0" w:before="0" w:afterLines="0" w:after="0"/>
              <w:jc w:val="center"/>
              <w:rPr>
                <w:rFonts w:eastAsia="宋体"/>
                <w:sz w:val="18"/>
              </w:rPr>
            </w:pPr>
            <w:r w:rsidRPr="00210CE2">
              <w:rPr>
                <w:rFonts w:eastAsia="宋体"/>
                <w:sz w:val="18"/>
              </w:rPr>
              <w:t>关注对象</w:t>
            </w:r>
          </w:p>
        </w:tc>
        <w:tc>
          <w:tcPr>
            <w:tcW w:w="0" w:type="auto"/>
            <w:tcBorders>
              <w:top w:val="nil"/>
              <w:bottom w:val="single" w:sz="4" w:space="0" w:color="auto"/>
            </w:tcBorders>
            <w:vAlign w:val="center"/>
            <w:hideMark/>
          </w:tcPr>
          <w:p w14:paraId="4C64A701" w14:textId="77777777" w:rsidR="009F3BA1" w:rsidRPr="00210CE2" w:rsidRDefault="009F3BA1" w:rsidP="000F5584">
            <w:pPr>
              <w:spacing w:beforeLines="0" w:before="0" w:afterLines="0" w:after="0"/>
              <w:jc w:val="center"/>
              <w:rPr>
                <w:rFonts w:eastAsia="宋体"/>
                <w:sz w:val="18"/>
              </w:rPr>
            </w:pPr>
            <w:r w:rsidRPr="00210CE2">
              <w:rPr>
                <w:rFonts w:eastAsia="宋体"/>
                <w:sz w:val="18"/>
              </w:rPr>
              <w:t>主要输入依据</w:t>
            </w:r>
          </w:p>
        </w:tc>
        <w:tc>
          <w:tcPr>
            <w:tcW w:w="0" w:type="auto"/>
            <w:tcBorders>
              <w:top w:val="nil"/>
              <w:bottom w:val="single" w:sz="4" w:space="0" w:color="auto"/>
            </w:tcBorders>
            <w:vAlign w:val="center"/>
            <w:hideMark/>
          </w:tcPr>
          <w:p w14:paraId="4C679EEA" w14:textId="77777777" w:rsidR="009F3BA1" w:rsidRPr="00210CE2" w:rsidRDefault="009F3BA1" w:rsidP="000F5584">
            <w:pPr>
              <w:spacing w:beforeLines="0" w:before="0" w:afterLines="0" w:after="0"/>
              <w:jc w:val="center"/>
              <w:rPr>
                <w:rFonts w:eastAsia="宋体"/>
                <w:sz w:val="18"/>
              </w:rPr>
            </w:pPr>
            <w:r w:rsidRPr="00210CE2">
              <w:rPr>
                <w:rFonts w:eastAsia="宋体"/>
                <w:sz w:val="18"/>
              </w:rPr>
              <w:t>规划作用</w:t>
            </w:r>
          </w:p>
        </w:tc>
      </w:tr>
      <w:tr w:rsidR="009F3BA1" w:rsidRPr="00210CE2" w14:paraId="65C5E6FE" w14:textId="77777777" w:rsidTr="000F5584">
        <w:trPr>
          <w:tblCellSpacing w:w="15" w:type="dxa"/>
        </w:trPr>
        <w:tc>
          <w:tcPr>
            <w:tcW w:w="0" w:type="auto"/>
            <w:vAlign w:val="center"/>
            <w:hideMark/>
          </w:tcPr>
          <w:p w14:paraId="774F86A1" w14:textId="77777777" w:rsidR="009F3BA1" w:rsidRPr="00210CE2" w:rsidRDefault="009F3BA1" w:rsidP="000F5584">
            <w:pPr>
              <w:spacing w:beforeLines="0" w:before="0" w:afterLines="0" w:after="0"/>
              <w:jc w:val="center"/>
              <w:rPr>
                <w:rFonts w:eastAsia="宋体"/>
                <w:sz w:val="18"/>
              </w:rPr>
            </w:pPr>
            <w:r w:rsidRPr="00210CE2">
              <w:rPr>
                <w:rFonts w:eastAsia="宋体"/>
                <w:sz w:val="18"/>
              </w:rPr>
              <w:t>地表沉陷</w:t>
            </w:r>
          </w:p>
        </w:tc>
        <w:tc>
          <w:tcPr>
            <w:tcW w:w="0" w:type="auto"/>
            <w:vAlign w:val="center"/>
            <w:hideMark/>
          </w:tcPr>
          <w:p w14:paraId="40ECD25D" w14:textId="77777777" w:rsidR="009F3BA1" w:rsidRPr="00210CE2" w:rsidRDefault="009F3BA1" w:rsidP="000F5584">
            <w:pPr>
              <w:spacing w:beforeLines="0" w:before="0" w:afterLines="0" w:after="0"/>
              <w:jc w:val="center"/>
              <w:rPr>
                <w:rFonts w:eastAsia="宋体"/>
                <w:sz w:val="18"/>
              </w:rPr>
            </w:pPr>
            <w:r w:rsidRPr="00210CE2">
              <w:rPr>
                <w:rFonts w:eastAsia="宋体"/>
                <w:sz w:val="18"/>
              </w:rPr>
              <w:t>地表移动与沉陷风险</w:t>
            </w:r>
          </w:p>
        </w:tc>
        <w:tc>
          <w:tcPr>
            <w:tcW w:w="0" w:type="auto"/>
            <w:vAlign w:val="center"/>
            <w:hideMark/>
          </w:tcPr>
          <w:p w14:paraId="584F07A2" w14:textId="77777777" w:rsidR="009F3BA1" w:rsidRPr="00210CE2" w:rsidRDefault="009F3BA1" w:rsidP="000F5584">
            <w:pPr>
              <w:spacing w:beforeLines="0" w:before="0" w:afterLines="0" w:after="0"/>
              <w:jc w:val="center"/>
              <w:rPr>
                <w:rFonts w:eastAsia="宋体"/>
                <w:sz w:val="18"/>
              </w:rPr>
            </w:pPr>
            <w:r w:rsidRPr="00210CE2">
              <w:rPr>
                <w:rFonts w:eastAsia="宋体"/>
                <w:sz w:val="18"/>
              </w:rPr>
              <w:t>沉陷预测结果、地表保护约束</w:t>
            </w:r>
          </w:p>
        </w:tc>
        <w:tc>
          <w:tcPr>
            <w:tcW w:w="0" w:type="auto"/>
            <w:vAlign w:val="center"/>
            <w:hideMark/>
          </w:tcPr>
          <w:p w14:paraId="6AE4C77D" w14:textId="77777777" w:rsidR="009F3BA1" w:rsidRPr="00210CE2" w:rsidRDefault="009F3BA1" w:rsidP="000F5584">
            <w:pPr>
              <w:spacing w:beforeLines="0" w:before="0" w:afterLines="0" w:after="0"/>
              <w:jc w:val="center"/>
              <w:rPr>
                <w:rFonts w:eastAsia="宋体"/>
                <w:sz w:val="18"/>
              </w:rPr>
            </w:pPr>
            <w:r w:rsidRPr="00210CE2">
              <w:rPr>
                <w:rFonts w:eastAsia="宋体"/>
                <w:sz w:val="18"/>
              </w:rPr>
              <w:t>约束工作面布局范围与高敏感区避让</w:t>
            </w:r>
          </w:p>
        </w:tc>
      </w:tr>
      <w:tr w:rsidR="009F3BA1" w:rsidRPr="00210CE2" w14:paraId="0C4FED35" w14:textId="77777777" w:rsidTr="000F5584">
        <w:trPr>
          <w:tblCellSpacing w:w="15" w:type="dxa"/>
        </w:trPr>
        <w:tc>
          <w:tcPr>
            <w:tcW w:w="0" w:type="auto"/>
            <w:vAlign w:val="center"/>
            <w:hideMark/>
          </w:tcPr>
          <w:p w14:paraId="743B7D5B" w14:textId="77777777" w:rsidR="009F3BA1" w:rsidRPr="00210CE2" w:rsidRDefault="009F3BA1" w:rsidP="000F5584">
            <w:pPr>
              <w:spacing w:beforeLines="0" w:before="0" w:afterLines="0" w:after="0"/>
              <w:jc w:val="center"/>
              <w:rPr>
                <w:rFonts w:eastAsia="宋体"/>
                <w:sz w:val="18"/>
              </w:rPr>
            </w:pPr>
            <w:r w:rsidRPr="00210CE2">
              <w:rPr>
                <w:rFonts w:eastAsia="宋体"/>
                <w:sz w:val="18"/>
              </w:rPr>
              <w:t>含水层扰动</w:t>
            </w:r>
          </w:p>
        </w:tc>
        <w:tc>
          <w:tcPr>
            <w:tcW w:w="0" w:type="auto"/>
            <w:vAlign w:val="center"/>
            <w:hideMark/>
          </w:tcPr>
          <w:p w14:paraId="2944F928" w14:textId="77777777" w:rsidR="009F3BA1" w:rsidRPr="00210CE2" w:rsidRDefault="009F3BA1" w:rsidP="000F5584">
            <w:pPr>
              <w:spacing w:beforeLines="0" w:before="0" w:afterLines="0" w:after="0"/>
              <w:jc w:val="center"/>
              <w:rPr>
                <w:rFonts w:eastAsia="宋体"/>
                <w:sz w:val="18"/>
              </w:rPr>
            </w:pPr>
            <w:r w:rsidRPr="00210CE2">
              <w:rPr>
                <w:rFonts w:eastAsia="宋体"/>
                <w:sz w:val="18"/>
              </w:rPr>
              <w:t>导水裂隙带与含水层受扰风险</w:t>
            </w:r>
          </w:p>
        </w:tc>
        <w:tc>
          <w:tcPr>
            <w:tcW w:w="0" w:type="auto"/>
            <w:vAlign w:val="center"/>
            <w:hideMark/>
          </w:tcPr>
          <w:p w14:paraId="561738FD" w14:textId="77777777" w:rsidR="009F3BA1" w:rsidRPr="00210CE2" w:rsidRDefault="009F3BA1" w:rsidP="000F5584">
            <w:pPr>
              <w:spacing w:beforeLines="0" w:before="0" w:afterLines="0" w:after="0"/>
              <w:jc w:val="center"/>
              <w:rPr>
                <w:rFonts w:eastAsia="宋体"/>
                <w:sz w:val="18"/>
              </w:rPr>
            </w:pPr>
            <w:r w:rsidRPr="00210CE2">
              <w:rPr>
                <w:rFonts w:eastAsia="宋体"/>
                <w:sz w:val="18"/>
              </w:rPr>
              <w:t>导水裂隙带高度、含水层敏感性、隔水层条件</w:t>
            </w:r>
          </w:p>
        </w:tc>
        <w:tc>
          <w:tcPr>
            <w:tcW w:w="0" w:type="auto"/>
            <w:vAlign w:val="center"/>
            <w:hideMark/>
          </w:tcPr>
          <w:p w14:paraId="53F22A5C" w14:textId="77777777" w:rsidR="009F3BA1" w:rsidRPr="00210CE2" w:rsidRDefault="009F3BA1" w:rsidP="000F5584">
            <w:pPr>
              <w:spacing w:beforeLines="0" w:before="0" w:afterLines="0" w:after="0"/>
              <w:jc w:val="center"/>
              <w:rPr>
                <w:rFonts w:eastAsia="宋体"/>
                <w:sz w:val="18"/>
              </w:rPr>
            </w:pPr>
            <w:r w:rsidRPr="00210CE2">
              <w:rPr>
                <w:rFonts w:eastAsia="宋体"/>
                <w:sz w:val="18"/>
              </w:rPr>
              <w:t>参与风险筛选与含水层敏感区避让</w:t>
            </w:r>
          </w:p>
        </w:tc>
      </w:tr>
      <w:tr w:rsidR="009F3BA1" w:rsidRPr="00210CE2" w14:paraId="2ED89D16" w14:textId="77777777" w:rsidTr="000F5584">
        <w:trPr>
          <w:tblCellSpacing w:w="15" w:type="dxa"/>
        </w:trPr>
        <w:tc>
          <w:tcPr>
            <w:tcW w:w="0" w:type="auto"/>
            <w:vAlign w:val="center"/>
            <w:hideMark/>
          </w:tcPr>
          <w:p w14:paraId="714BBF4D" w14:textId="77777777" w:rsidR="009F3BA1" w:rsidRPr="00210CE2" w:rsidRDefault="009F3BA1" w:rsidP="000F5584">
            <w:pPr>
              <w:spacing w:beforeLines="0" w:before="0" w:afterLines="0" w:after="0"/>
              <w:jc w:val="center"/>
              <w:rPr>
                <w:rFonts w:eastAsia="宋体"/>
                <w:sz w:val="18"/>
              </w:rPr>
            </w:pPr>
            <w:r w:rsidRPr="00210CE2">
              <w:rPr>
                <w:rFonts w:eastAsia="宋体"/>
                <w:sz w:val="18"/>
              </w:rPr>
              <w:t>上行开采</w:t>
            </w:r>
          </w:p>
        </w:tc>
        <w:tc>
          <w:tcPr>
            <w:tcW w:w="0" w:type="auto"/>
            <w:vAlign w:val="center"/>
            <w:hideMark/>
          </w:tcPr>
          <w:p w14:paraId="01F6DDE5" w14:textId="77777777" w:rsidR="009F3BA1" w:rsidRPr="00210CE2" w:rsidRDefault="009F3BA1" w:rsidP="000F5584">
            <w:pPr>
              <w:spacing w:beforeLines="0" w:before="0" w:afterLines="0" w:after="0"/>
              <w:jc w:val="center"/>
              <w:rPr>
                <w:rFonts w:eastAsia="宋体"/>
                <w:sz w:val="18"/>
              </w:rPr>
            </w:pPr>
            <w:r w:rsidRPr="00210CE2">
              <w:rPr>
                <w:rFonts w:eastAsia="宋体"/>
                <w:sz w:val="18"/>
              </w:rPr>
              <w:t>上覆岩层再扰动与安全边界</w:t>
            </w:r>
          </w:p>
        </w:tc>
        <w:tc>
          <w:tcPr>
            <w:tcW w:w="0" w:type="auto"/>
            <w:vAlign w:val="center"/>
            <w:hideMark/>
          </w:tcPr>
          <w:p w14:paraId="76AB4379" w14:textId="77777777" w:rsidR="009F3BA1" w:rsidRPr="00210CE2" w:rsidRDefault="009F3BA1" w:rsidP="000F5584">
            <w:pPr>
              <w:spacing w:beforeLines="0" w:before="0" w:afterLines="0" w:after="0"/>
              <w:jc w:val="center"/>
              <w:rPr>
                <w:rFonts w:eastAsia="宋体"/>
                <w:sz w:val="18"/>
              </w:rPr>
            </w:pPr>
            <w:r w:rsidRPr="00210CE2">
              <w:rPr>
                <w:rFonts w:eastAsia="宋体"/>
                <w:sz w:val="18"/>
              </w:rPr>
              <w:t>采动应力、覆岩破坏特征、上行开采条件</w:t>
            </w:r>
          </w:p>
        </w:tc>
        <w:tc>
          <w:tcPr>
            <w:tcW w:w="0" w:type="auto"/>
            <w:vAlign w:val="center"/>
            <w:hideMark/>
          </w:tcPr>
          <w:p w14:paraId="23487C63" w14:textId="77777777" w:rsidR="009F3BA1" w:rsidRPr="00210CE2" w:rsidRDefault="009F3BA1" w:rsidP="000F5584">
            <w:pPr>
              <w:spacing w:beforeLines="0" w:before="0" w:afterLines="0" w:after="0"/>
              <w:jc w:val="center"/>
              <w:rPr>
                <w:rFonts w:eastAsia="宋体"/>
                <w:sz w:val="18"/>
              </w:rPr>
            </w:pPr>
            <w:r w:rsidRPr="00210CE2">
              <w:rPr>
                <w:rFonts w:eastAsia="宋体"/>
                <w:sz w:val="18"/>
              </w:rPr>
              <w:t>支撑上行开采可行性评价与约束表达</w:t>
            </w:r>
          </w:p>
        </w:tc>
      </w:tr>
      <w:tr w:rsidR="009F3BA1" w:rsidRPr="00210CE2" w14:paraId="6629F313" w14:textId="77777777" w:rsidTr="000F5584">
        <w:trPr>
          <w:tblCellSpacing w:w="15" w:type="dxa"/>
        </w:trPr>
        <w:tc>
          <w:tcPr>
            <w:tcW w:w="0" w:type="auto"/>
            <w:vAlign w:val="center"/>
            <w:hideMark/>
          </w:tcPr>
          <w:p w14:paraId="470F1488" w14:textId="77777777" w:rsidR="009F3BA1" w:rsidRPr="00210CE2" w:rsidRDefault="009F3BA1" w:rsidP="000F5584">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0" w:type="auto"/>
            <w:vAlign w:val="center"/>
            <w:hideMark/>
          </w:tcPr>
          <w:p w14:paraId="28938072" w14:textId="77777777" w:rsidR="009F3BA1" w:rsidRPr="00210CE2" w:rsidRDefault="009F3BA1" w:rsidP="000F5584">
            <w:pPr>
              <w:spacing w:beforeLines="0" w:before="0" w:afterLines="0" w:after="0"/>
              <w:jc w:val="center"/>
              <w:rPr>
                <w:rFonts w:eastAsia="宋体"/>
                <w:sz w:val="18"/>
              </w:rPr>
            </w:pPr>
            <w:r w:rsidRPr="00210CE2">
              <w:rPr>
                <w:rFonts w:eastAsia="宋体"/>
                <w:sz w:val="18"/>
              </w:rPr>
              <w:t>多场景叠加扰动</w:t>
            </w:r>
          </w:p>
        </w:tc>
        <w:tc>
          <w:tcPr>
            <w:tcW w:w="0" w:type="auto"/>
            <w:vAlign w:val="center"/>
            <w:hideMark/>
          </w:tcPr>
          <w:p w14:paraId="3DB3637D" w14:textId="77777777" w:rsidR="009F3BA1" w:rsidRPr="00210CE2" w:rsidRDefault="009F3BA1" w:rsidP="000F5584">
            <w:pPr>
              <w:spacing w:beforeLines="0" w:before="0" w:afterLines="0" w:after="0"/>
              <w:jc w:val="center"/>
              <w:rPr>
                <w:rFonts w:eastAsia="宋体"/>
                <w:sz w:val="18"/>
              </w:rPr>
            </w:pPr>
            <w:r w:rsidRPr="00210CE2">
              <w:rPr>
                <w:rFonts w:eastAsia="宋体"/>
                <w:sz w:val="18"/>
              </w:rPr>
              <w:t>各分量归一化及权重组织结果</w:t>
            </w:r>
          </w:p>
        </w:tc>
        <w:tc>
          <w:tcPr>
            <w:tcW w:w="0" w:type="auto"/>
            <w:vAlign w:val="center"/>
            <w:hideMark/>
          </w:tcPr>
          <w:p w14:paraId="25FC9697" w14:textId="77777777" w:rsidR="009F3BA1" w:rsidRPr="00210CE2" w:rsidRDefault="009F3BA1" w:rsidP="000F5584">
            <w:pPr>
              <w:spacing w:beforeLines="0" w:before="0" w:afterLines="0" w:after="0"/>
              <w:jc w:val="center"/>
              <w:rPr>
                <w:rFonts w:eastAsia="宋体"/>
                <w:sz w:val="18"/>
              </w:rPr>
            </w:pPr>
            <w:r w:rsidRPr="00210CE2">
              <w:rPr>
                <w:rFonts w:eastAsia="宋体"/>
                <w:sz w:val="18"/>
              </w:rPr>
              <w:t>形成候选方案级风险统计指标</w:t>
            </w:r>
          </w:p>
        </w:tc>
      </w:tr>
    </w:tbl>
    <w:p w14:paraId="1C4C9639" w14:textId="349D3F6A" w:rsidR="009F3BA1" w:rsidRDefault="009F3BA1" w:rsidP="009F3BA1">
      <w:pPr>
        <w:pStyle w:val="100"/>
        <w:ind w:firstLine="420"/>
      </w:pPr>
      <w:r w:rsidRPr="009F3BA1">
        <w:t>设规划域为</w:t>
      </w:r>
      <w:r w:rsidRPr="00025957">
        <w:rPr>
          <w:position w:val="-4"/>
        </w:rPr>
        <w:object w:dxaOrig="260" w:dyaOrig="260" w14:anchorId="1E9A54F8">
          <v:shape id="_x0000_i1042" type="#_x0000_t75" style="width:13.2pt;height:13.2pt" o:ole="">
            <v:imagedata r:id="rId47" o:title=""/>
          </v:shape>
          <o:OLEObject Type="Embed" ProgID="Equation.DSMT4" ShapeID="_x0000_i1042" DrawAspect="Content" ObjectID="_1839937674" r:id="rId48"/>
        </w:object>
      </w:r>
      <w:r w:rsidRPr="009F3BA1">
        <w:t>，任意位置</w:t>
      </w:r>
      <w:r w:rsidRPr="009F3BA1">
        <w:t xml:space="preserve"> </w:t>
      </w:r>
      <m:oMath>
        <m:r>
          <w:rPr>
            <w:rFonts w:ascii="Cambria Math" w:hAnsi="Cambria Math"/>
          </w:rPr>
          <m:t>x</m:t>
        </m:r>
      </m:oMath>
      <w:r w:rsidRPr="009F3BA1">
        <w:t>处的地表沉陷扰动、含水层扰动和上行开采扰动分别为</w:t>
      </w:r>
      <w:r w:rsidRPr="009F3BA1">
        <w:rPr>
          <w:position w:val="-10"/>
        </w:rPr>
        <w:object w:dxaOrig="520" w:dyaOrig="320" w14:anchorId="7960885C">
          <v:shape id="_x0000_i1043" type="#_x0000_t75" style="width:25.8pt;height:16.2pt" o:ole="">
            <v:imagedata r:id="rId49" o:title=""/>
          </v:shape>
          <o:OLEObject Type="Embed" ProgID="Equation.DSMT4" ShapeID="_x0000_i1043" DrawAspect="Content" ObjectID="_1839937675" r:id="rId50"/>
        </w:object>
      </w:r>
      <w:r w:rsidRPr="009F3BA1">
        <w:t>、</w:t>
      </w:r>
      <w:r w:rsidRPr="009F3BA1">
        <w:rPr>
          <w:position w:val="-10"/>
        </w:rPr>
        <w:object w:dxaOrig="520" w:dyaOrig="320" w14:anchorId="181FBEE9">
          <v:shape id="_x0000_i1044" type="#_x0000_t75" style="width:25.8pt;height:16.2pt" o:ole="">
            <v:imagedata r:id="rId51" o:title=""/>
          </v:shape>
          <o:OLEObject Type="Embed" ProgID="Equation.DSMT4" ShapeID="_x0000_i1044" DrawAspect="Content" ObjectID="_1839937676" r:id="rId52"/>
        </w:object>
      </w:r>
      <w:r w:rsidRPr="009F3BA1">
        <w:t>和</w:t>
      </w:r>
      <w:r w:rsidRPr="009F3BA1">
        <w:rPr>
          <w:position w:val="-10"/>
        </w:rPr>
        <w:object w:dxaOrig="560" w:dyaOrig="320" w14:anchorId="7C464172">
          <v:shape id="_x0000_i1045" type="#_x0000_t75" style="width:28.2pt;height:16.2pt" o:ole="">
            <v:imagedata r:id="rId53" o:title=""/>
          </v:shape>
          <o:OLEObject Type="Embed" ProgID="Equation.DSMT4" ShapeID="_x0000_i1045" DrawAspect="Content" ObjectID="_1839937677" r:id="rId54"/>
        </w:object>
      </w:r>
      <w:r w:rsidRPr="009F3BA1">
        <w:t>。各分量经归一化处理后，其取值范围均为</w:t>
      </w:r>
      <w:r w:rsidRPr="009F3BA1">
        <w:t>0</w:t>
      </w:r>
      <w:r w:rsidRPr="009F3BA1">
        <w:t>～</w:t>
      </w:r>
      <w:r w:rsidRPr="009F3BA1">
        <w:t>1</w:t>
      </w:r>
      <w:r w:rsidRPr="009F3BA1">
        <w:t>，数值越大表示对应场景下扰动越强。综合覆岩扰动指数可表示为：</w:t>
      </w:r>
    </w:p>
    <w:p w14:paraId="1CD41464" w14:textId="2C129ABC" w:rsidR="009F3BA1" w:rsidRDefault="009F3BA1" w:rsidP="009F3BA1">
      <w:pPr>
        <w:pStyle w:val="MTDisplayEquation"/>
        <w:ind w:firstLine="480"/>
      </w:pPr>
      <w:r>
        <w:tab/>
      </w:r>
      <w:r w:rsidRPr="009F3BA1">
        <w:rPr>
          <w:position w:val="-12"/>
        </w:rPr>
        <w:object w:dxaOrig="3560" w:dyaOrig="360" w14:anchorId="310A40B0">
          <v:shape id="_x0000_i1046" type="#_x0000_t75" style="width:178.2pt;height:18pt" o:ole="">
            <v:imagedata r:id="rId55" o:title=""/>
          </v:shape>
          <o:OLEObject Type="Embed" ProgID="Equation.DSMT4" ShapeID="_x0000_i1046" DrawAspect="Content" ObjectID="_1839937678" r:id="rId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5</w:instrText>
        </w:r>
      </w:fldSimple>
      <w:r>
        <w:instrText>)</w:instrText>
      </w:r>
      <w:r>
        <w:fldChar w:fldCharType="end"/>
      </w:r>
    </w:p>
    <w:p w14:paraId="563108B5" w14:textId="62623C61" w:rsidR="009F3BA1" w:rsidRDefault="009F3BA1" w:rsidP="009F3BA1">
      <w:pPr>
        <w:pStyle w:val="100"/>
        <w:ind w:firstLine="420"/>
      </w:pPr>
      <w:r w:rsidRPr="009F3BA1">
        <w:t>式中：</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Pr="009F3BA1">
        <w:t>、</w:t>
      </w:r>
      <m:oMath>
        <m:sSub>
          <m:sSubPr>
            <m:ctrlPr>
              <w:rPr>
                <w:rFonts w:ascii="Cambria Math" w:hAnsi="Cambria Math"/>
              </w:rPr>
            </m:ctrlPr>
          </m:sSubPr>
          <m:e>
            <m:r>
              <w:rPr>
                <w:rFonts w:ascii="Cambria Math" w:hAnsi="Cambria Math"/>
              </w:rPr>
              <m:t>w</m:t>
            </m:r>
          </m:e>
          <m:sub>
            <m:r>
              <w:rPr>
                <w:rFonts w:ascii="Cambria Math" w:hAnsi="Cambria Math"/>
              </w:rPr>
              <m:t>a</m:t>
            </m:r>
          </m:sub>
        </m:sSub>
      </m:oMath>
      <w:r w:rsidRPr="009F3BA1">
        <w:t>、</w:t>
      </w:r>
      <m:oMath>
        <m:sSub>
          <m:sSubPr>
            <m:ctrlPr>
              <w:rPr>
                <w:rFonts w:ascii="Cambria Math" w:hAnsi="Cambria Math"/>
              </w:rPr>
            </m:ctrlPr>
          </m:sSubPr>
          <m:e>
            <m:r>
              <w:rPr>
                <w:rFonts w:ascii="Cambria Math" w:hAnsi="Cambria Math"/>
              </w:rPr>
              <m:t>w</m:t>
            </m:r>
          </m:e>
          <m:sub>
            <m:r>
              <w:rPr>
                <w:rFonts w:ascii="Cambria Math" w:hAnsi="Cambria Math"/>
              </w:rPr>
              <m:t>u</m:t>
            </m:r>
          </m:sub>
        </m:sSub>
      </m:oMath>
      <w:r w:rsidRPr="009F3BA1">
        <w:t xml:space="preserve"> </w:t>
      </w:r>
      <w:r w:rsidRPr="009F3BA1">
        <w:t>分别为地表沉陷扰动、含水层扰动和上行开采扰动权重，且满足：</w:t>
      </w:r>
    </w:p>
    <w:p w14:paraId="108BE823" w14:textId="2F5FE739" w:rsidR="009F3BA1" w:rsidRPr="009F3BA1" w:rsidRDefault="009F3BA1" w:rsidP="009F3BA1">
      <w:pPr>
        <w:pStyle w:val="MTDisplayEquation"/>
        <w:ind w:firstLine="480"/>
      </w:pPr>
      <w:r>
        <w:tab/>
      </w:r>
      <w:r w:rsidRPr="009F3BA1">
        <w:rPr>
          <w:position w:val="-12"/>
        </w:rPr>
        <w:object w:dxaOrig="1560" w:dyaOrig="360" w14:anchorId="6F3C4DEB">
          <v:shape id="_x0000_i1047" type="#_x0000_t75" style="width:78pt;height:18pt" o:ole="">
            <v:imagedata r:id="rId57" o:title=""/>
          </v:shape>
          <o:OLEObject Type="Embed" ProgID="Equation.DSMT4" ShapeID="_x0000_i1047" DrawAspect="Content" ObjectID="_1839937679" r:id="rId5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6</w:instrText>
        </w:r>
      </w:fldSimple>
      <w:r>
        <w:instrText>)</w:instrText>
      </w:r>
      <w:r>
        <w:fldChar w:fldCharType="end"/>
      </w:r>
    </w:p>
    <w:p w14:paraId="60051F38" w14:textId="77777777" w:rsidR="009F3BA1" w:rsidRDefault="009F3BA1" w:rsidP="00F10457">
      <w:pPr>
        <w:pStyle w:val="100"/>
        <w:ind w:firstLine="420"/>
      </w:pPr>
      <w:r w:rsidRPr="009F3BA1">
        <w:t>ODI</w:t>
      </w:r>
      <w:r w:rsidRPr="009F3BA1">
        <w:t>取值范围为</w:t>
      </w:r>
      <w:r w:rsidRPr="009F3BA1">
        <w:t>0</w:t>
      </w:r>
      <w:r w:rsidRPr="009F3BA1">
        <w:t>～</w:t>
      </w:r>
      <w:r w:rsidRPr="009F3BA1">
        <w:t>1</w:t>
      </w:r>
      <w:r w:rsidRPr="009F3BA1">
        <w:t>，数值越大表示综合覆岩扰动越强。对于不同量纲和不同取值范围的扰动分量，可采用极差归一化或阈值归一化方法进行无量纲处理。以正向扰动指标为例，其归一化形式可表示为：</w:t>
      </w:r>
    </w:p>
    <w:p w14:paraId="6699F1BA" w14:textId="737CA5EF" w:rsidR="009F3BA1" w:rsidRDefault="009F3BA1" w:rsidP="009F3BA1">
      <w:pPr>
        <w:pStyle w:val="MTDisplayEquation"/>
        <w:ind w:firstLine="480"/>
      </w:pPr>
      <w:r>
        <w:tab/>
      </w:r>
      <w:r w:rsidRPr="009F3BA1">
        <w:rPr>
          <w:position w:val="-32"/>
        </w:rPr>
        <w:object w:dxaOrig="2160" w:dyaOrig="720" w14:anchorId="5B7F3DD0">
          <v:shape id="_x0000_i1048" type="#_x0000_t75" style="width:108pt;height:36pt" o:ole="">
            <v:imagedata r:id="rId59" o:title=""/>
          </v:shape>
          <o:OLEObject Type="Embed" ProgID="Equation.DSMT4" ShapeID="_x0000_i1048" DrawAspect="Content" ObjectID="_1839937680" r:id="rId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7</w:instrText>
        </w:r>
      </w:fldSimple>
      <w:r>
        <w:instrText>)</w:instrText>
      </w:r>
      <w:r>
        <w:fldChar w:fldCharType="end"/>
      </w:r>
    </w:p>
    <w:p w14:paraId="7123E503" w14:textId="345DAAC8" w:rsidR="009F3BA1" w:rsidRDefault="009F3BA1" w:rsidP="00F10457">
      <w:pPr>
        <w:pStyle w:val="100"/>
        <w:ind w:firstLine="420"/>
      </w:pPr>
      <w:r w:rsidRPr="009F3BA1">
        <w:t>式中：</w:t>
      </w:r>
      <w:r w:rsidRPr="009F3BA1">
        <w:rPr>
          <w:position w:val="-12"/>
        </w:rPr>
        <w:object w:dxaOrig="620" w:dyaOrig="360" w14:anchorId="2EC7CDAC">
          <v:shape id="_x0000_i1049" type="#_x0000_t75" style="width:31.2pt;height:18pt" o:ole="">
            <v:imagedata r:id="rId61" o:title=""/>
          </v:shape>
          <o:OLEObject Type="Embed" ProgID="Equation.DSMT4" ShapeID="_x0000_i1049" DrawAspect="Content" ObjectID="_1839937681" r:id="rId62"/>
        </w:object>
      </w:r>
      <w:r w:rsidRPr="009F3BA1">
        <w:t>为第</w:t>
      </w:r>
      <w:r w:rsidRPr="009F3BA1">
        <w:t xml:space="preserve"> </w:t>
      </w:r>
      <m:oMath>
        <m:r>
          <w:rPr>
            <w:rFonts w:ascii="Cambria Math" w:hAnsi="Cambria Math"/>
          </w:rPr>
          <m:t>k</m:t>
        </m:r>
      </m:oMath>
      <w:r w:rsidRPr="009F3BA1">
        <w:t>类扰动分量原始值；</w:t>
      </w:r>
      <w:r w:rsidRPr="009F3BA1">
        <w:rPr>
          <w:position w:val="-14"/>
        </w:rPr>
        <w:object w:dxaOrig="560" w:dyaOrig="380" w14:anchorId="1EE0EEEA">
          <v:shape id="_x0000_i1050" type="#_x0000_t75" style="width:28.2pt;height:19.2pt" o:ole="">
            <v:imagedata r:id="rId63" o:title=""/>
          </v:shape>
          <o:OLEObject Type="Embed" ProgID="Equation.DSMT4" ShapeID="_x0000_i1050" DrawAspect="Content" ObjectID="_1839937682" r:id="rId64"/>
        </w:object>
      </w:r>
      <w:r w:rsidRPr="009F3BA1">
        <w:t>和</w:t>
      </w:r>
      <w:r w:rsidRPr="009F3BA1">
        <w:rPr>
          <w:position w:val="-14"/>
        </w:rPr>
        <w:object w:dxaOrig="600" w:dyaOrig="380" w14:anchorId="24757F53">
          <v:shape id="_x0000_i1051" type="#_x0000_t75" style="width:30pt;height:19.2pt" o:ole="">
            <v:imagedata r:id="rId65" o:title=""/>
          </v:shape>
          <o:OLEObject Type="Embed" ProgID="Equation.DSMT4" ShapeID="_x0000_i1051" DrawAspect="Content" ObjectID="_1839937683" r:id="rId66"/>
        </w:object>
      </w:r>
      <w:r w:rsidRPr="009F3BA1">
        <w:t>分别为该分量在规划域内的最小值和最大值；</w:t>
      </w:r>
      <w:r w:rsidRPr="009F3BA1">
        <w:rPr>
          <w:position w:val="-12"/>
        </w:rPr>
        <w:object w:dxaOrig="620" w:dyaOrig="380" w14:anchorId="279E1438">
          <v:shape id="_x0000_i1052" type="#_x0000_t75" style="width:31.2pt;height:19.2pt" o:ole="">
            <v:imagedata r:id="rId67" o:title=""/>
          </v:shape>
          <o:OLEObject Type="Embed" ProgID="Equation.DSMT4" ShapeID="_x0000_i1052" DrawAspect="Content" ObjectID="_1839937684" r:id="rId68"/>
        </w:object>
      </w:r>
      <w:r w:rsidRPr="009F3BA1">
        <w:t>为归一化后的扰动分量。若某类指标存在明确工程安全阈值，也可采用基于阈值的归一化方式，使其更符合现场安全判据。</w:t>
      </w:r>
    </w:p>
    <w:p w14:paraId="6E512488" w14:textId="423919B7" w:rsidR="009F3BA1" w:rsidRDefault="009F3BA1" w:rsidP="00F10457">
      <w:pPr>
        <w:pStyle w:val="100"/>
        <w:ind w:firstLine="420"/>
      </w:pPr>
      <w:r w:rsidRPr="009F3BA1">
        <w:t>权重</w:t>
      </w:r>
      <w:r w:rsidRPr="009F3BA1">
        <w:rPr>
          <w:position w:val="-12"/>
        </w:rPr>
        <w:object w:dxaOrig="300" w:dyaOrig="360" w14:anchorId="6445C841">
          <v:shape id="_x0000_i1053" type="#_x0000_t75" style="width:15pt;height:18pt" o:ole="">
            <v:imagedata r:id="rId69" o:title=""/>
          </v:shape>
          <o:OLEObject Type="Embed" ProgID="Equation.DSMT4" ShapeID="_x0000_i1053" DrawAspect="Content" ObjectID="_1839937685" r:id="rId70"/>
        </w:object>
      </w:r>
      <w:r w:rsidRPr="009F3BA1">
        <w:t>、</w:t>
      </w:r>
      <w:r w:rsidRPr="009F3BA1">
        <w:rPr>
          <w:position w:val="-12"/>
        </w:rPr>
        <w:object w:dxaOrig="300" w:dyaOrig="360" w14:anchorId="5D6AFBA2">
          <v:shape id="_x0000_i1054" type="#_x0000_t75" style="width:15pt;height:18pt" o:ole="">
            <v:imagedata r:id="rId71" o:title=""/>
          </v:shape>
          <o:OLEObject Type="Embed" ProgID="Equation.DSMT4" ShapeID="_x0000_i1054" DrawAspect="Content" ObjectID="_1839937686" r:id="rId72"/>
        </w:object>
      </w:r>
      <w:r w:rsidRPr="009F3BA1">
        <w:t>、</w:t>
      </w:r>
      <w:r w:rsidRPr="009F3BA1">
        <w:rPr>
          <w:position w:val="-12"/>
        </w:rPr>
        <w:object w:dxaOrig="300" w:dyaOrig="360" w14:anchorId="298004B7">
          <v:shape id="_x0000_i1055" type="#_x0000_t75" style="width:15pt;height:18pt" o:ole="">
            <v:imagedata r:id="rId73" o:title=""/>
          </v:shape>
          <o:OLEObject Type="Embed" ProgID="Equation.DSMT4" ShapeID="_x0000_i1055" DrawAspect="Content" ObjectID="_1839937687" r:id="rId74"/>
        </w:object>
      </w:r>
      <w:r w:rsidRPr="009F3BA1">
        <w:t>反映不同扰动场景在采区规划中的相对重要性，其取值不应作为跨矿区通用常量，而应结合矿区主控风险、保护对象类型、水文地质条件和开采技术条件确定。一般可表示</w:t>
      </w:r>
      <w:r w:rsidRPr="009F3BA1">
        <w:t>为：</w:t>
      </w:r>
    </w:p>
    <w:p w14:paraId="6CCDD834" w14:textId="49BB8650" w:rsidR="009F3BA1" w:rsidRDefault="009F3BA1" w:rsidP="009F3BA1">
      <w:pPr>
        <w:pStyle w:val="MTDisplayEquation"/>
        <w:ind w:firstLine="480"/>
      </w:pPr>
      <w:r>
        <w:tab/>
      </w:r>
      <w:r w:rsidRPr="009F3BA1">
        <w:rPr>
          <w:position w:val="-38"/>
        </w:rPr>
        <w:object w:dxaOrig="1320" w:dyaOrig="760" w14:anchorId="3849409D">
          <v:shape id="_x0000_i1056" type="#_x0000_t75" style="width:66pt;height:37.8pt" o:ole="">
            <v:imagedata r:id="rId75" o:title=""/>
          </v:shape>
          <o:OLEObject Type="Embed" ProgID="Equation.DSMT4" ShapeID="_x0000_i1056" DrawAspect="Content" ObjectID="_1839937688" r:id="rId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8</w:instrText>
        </w:r>
      </w:fldSimple>
      <w:r>
        <w:instrText>)</w:instrText>
      </w:r>
      <w:r>
        <w:fldChar w:fldCharType="end"/>
      </w:r>
    </w:p>
    <w:p w14:paraId="1DBB21C4" w14:textId="2A8E5C46" w:rsidR="00F35FD2" w:rsidRDefault="00F35FD2" w:rsidP="00F10457">
      <w:pPr>
        <w:pStyle w:val="100"/>
        <w:ind w:firstLine="420"/>
      </w:pPr>
      <w:r w:rsidRPr="00F35FD2">
        <w:t>式中：</w:t>
      </w:r>
      <w:r w:rsidRPr="00F35FD2">
        <w:rPr>
          <w:position w:val="-12"/>
        </w:rPr>
        <w:object w:dxaOrig="300" w:dyaOrig="360" w14:anchorId="5CD27B80">
          <v:shape id="_x0000_i1057" type="#_x0000_t75" style="width:15pt;height:18pt" o:ole="">
            <v:imagedata r:id="rId77" o:title=""/>
          </v:shape>
          <o:OLEObject Type="Embed" ProgID="Equation.DSMT4" ShapeID="_x0000_i1057" DrawAspect="Content" ObjectID="_1839937689" r:id="rId78"/>
        </w:object>
      </w:r>
      <w:r w:rsidRPr="00F35FD2">
        <w:t>为第</w:t>
      </w:r>
      <w:r w:rsidRPr="00F35FD2">
        <w:rPr>
          <w:position w:val="-6"/>
        </w:rPr>
        <w:object w:dxaOrig="200" w:dyaOrig="279" w14:anchorId="2D10922E">
          <v:shape id="_x0000_i1058" type="#_x0000_t75" style="width:10.2pt;height:13.8pt" o:ole="">
            <v:imagedata r:id="rId79" o:title=""/>
          </v:shape>
          <o:OLEObject Type="Embed" ProgID="Equation.DSMT4" ShapeID="_x0000_i1058" DrawAspect="Content" ObjectID="_1839937690" r:id="rId80"/>
        </w:object>
      </w:r>
      <w:r w:rsidRPr="00F35FD2">
        <w:t>类扰动场景的重要性判别值，可由专家判别、历史灾害统计、专项评价结果或现场约束等级综合确定；</w:t>
      </w:r>
      <w:r w:rsidRPr="00F35FD2">
        <w:rPr>
          <w:position w:val="-6"/>
        </w:rPr>
        <w:object w:dxaOrig="260" w:dyaOrig="220" w14:anchorId="1B0395BC">
          <v:shape id="_x0000_i1059" type="#_x0000_t75" style="width:13.2pt;height:10.8pt" o:ole="">
            <v:imagedata r:id="rId81" o:title=""/>
          </v:shape>
          <o:OLEObject Type="Embed" ProgID="Equation.DSMT4" ShapeID="_x0000_i1059" DrawAspect="Content" ObjectID="_1839937691" r:id="rId82"/>
        </w:object>
      </w:r>
      <w:r w:rsidRPr="00F35FD2">
        <w:t>为扰动场景数量。</w:t>
      </w:r>
    </w:p>
    <w:p w14:paraId="61E42B9B" w14:textId="68A08183" w:rsidR="00F35FD2" w:rsidRPr="00F35FD2" w:rsidRDefault="0037587A" w:rsidP="00F35FD2">
      <w:pPr>
        <w:pStyle w:val="100"/>
        <w:ind w:firstLine="420"/>
      </w:pPr>
      <w:r w:rsidRPr="0037587A">
        <w:t>本文以敏东矿区采区规划需求为基础，综合考虑地表沉陷影响、含水层扰动敏感性和上行开采约束强度，选取</w:t>
      </w:r>
      <w:r w:rsidRPr="0037587A">
        <w:rPr>
          <w:position w:val="-12"/>
        </w:rPr>
        <w:object w:dxaOrig="2860" w:dyaOrig="360" w14:anchorId="61D0875A">
          <v:shape id="_x0000_i1060" type="#_x0000_t75" style="width:142.8pt;height:18pt" o:ole="">
            <v:imagedata r:id="rId83" o:title=""/>
          </v:shape>
          <o:OLEObject Type="Embed" ProgID="Equation.DSMT4" ShapeID="_x0000_i1060" DrawAspect="Content" ObjectID="_1839937692" r:id="rId84"/>
        </w:object>
      </w:r>
      <w:r w:rsidRPr="0037587A">
        <w:t>作为基准权重，用于后续方案生成和比较。为避免单一权重组合影响方案判定，后文进一步设置多组权重情景开展敏感性分析。</w:t>
      </w:r>
      <w:r w:rsidR="00F35FD2" w:rsidRPr="00F35FD2">
        <w:t>。</w:t>
      </w:r>
    </w:p>
    <w:p w14:paraId="63765EAC" w14:textId="7287813F" w:rsidR="0037587A" w:rsidRPr="0037587A" w:rsidRDefault="003B394F" w:rsidP="0037587A">
      <w:pPr>
        <w:pStyle w:val="100"/>
        <w:ind w:firstLine="420"/>
      </w:pPr>
      <w:r w:rsidRPr="003B394F">
        <w:t>需要强调的是，</w:t>
      </w:r>
      <w:r w:rsidRPr="003B394F">
        <w:t>ODI</w:t>
      </w:r>
      <w:r w:rsidRPr="003B394F">
        <w:t>主要用于采区规划阶段的方案比较和扰动区域识别，并不直接等同于某一单项灾害的失稳判据。前期地表沉陷和含水层扰动验证结果表明，</w:t>
      </w:r>
      <w:r w:rsidRPr="003B394F">
        <w:t>ODI</w:t>
      </w:r>
      <w:r w:rsidRPr="003B394F">
        <w:t>高值区与实测采动响应较强区域具有较好对应关系，因此本文选取</w:t>
      </w:r>
      <w:r w:rsidRPr="003B394F">
        <w:t>ODI</w:t>
      </w:r>
      <w:r w:rsidRPr="003B394F">
        <w:t>＞</w:t>
      </w:r>
      <w:r w:rsidRPr="003B394F">
        <w:t>0.70</w:t>
      </w:r>
      <w:r w:rsidRPr="003B394F">
        <w:t>作为采区规划阶段中高扰动区域的统计阈值。最终推荐方案仍需结合地表沉陷预计、导水裂隙带高度判定、含水层保护和上行开采安全性等专项评价进行复核。</w:t>
      </w:r>
    </w:p>
    <w:p w14:paraId="4F1AC8B8" w14:textId="77777777" w:rsidR="0037587A" w:rsidRPr="0037587A" w:rsidRDefault="0037587A" w:rsidP="0037587A">
      <w:pPr>
        <w:pStyle w:val="100"/>
        <w:ind w:firstLine="420"/>
      </w:pPr>
      <w:r w:rsidRPr="0037587A">
        <w:t>在后续方案评价中，</w:t>
      </w:r>
      <w:r w:rsidRPr="0037587A">
        <w:t>ODI</w:t>
      </w:r>
      <w:r w:rsidRPr="0037587A">
        <w:t>主要用于两个方面：一是根据</w:t>
      </w:r>
      <w:r w:rsidRPr="0037587A">
        <w:t>ODI</w:t>
      </w:r>
      <w:r w:rsidRPr="0037587A">
        <w:t>分布识别采区内扰动较强的区域；二是统计各候选方案覆盖范围内的</w:t>
      </w:r>
      <w:r w:rsidRPr="0037587A">
        <w:t>ODI</w:t>
      </w:r>
      <w:r w:rsidRPr="0037587A">
        <w:t>均值、</w:t>
      </w:r>
      <w:r w:rsidRPr="0037587A">
        <w:t>P90</w:t>
      </w:r>
      <w:r w:rsidRPr="0037587A">
        <w:t>和超阈值比例，将采动扰动影响转化为方案级评价指标，并与工程效率、资源覆盖指标共同用于工作面方案比较。</w:t>
      </w:r>
    </w:p>
    <w:p w14:paraId="0FBE67DF" w14:textId="2485B1A6" w:rsidR="00210CE2" w:rsidRPr="00DF00E8" w:rsidRDefault="00210CE2" w:rsidP="00DF00E8">
      <w:pPr>
        <w:pStyle w:val="12"/>
      </w:pPr>
      <w:r w:rsidRPr="00DF00E8">
        <w:t xml:space="preserve">2.3 </w:t>
      </w:r>
      <w:r w:rsidR="00365DBA" w:rsidRPr="00365DBA">
        <w:t>工作面布置方案形成与综合评价</w:t>
      </w:r>
    </w:p>
    <w:p w14:paraId="73A8CF12" w14:textId="324A2BFF" w:rsidR="00F35FD2" w:rsidRPr="00F35FD2" w:rsidRDefault="00365DBA" w:rsidP="00F35FD2">
      <w:pPr>
        <w:pStyle w:val="100"/>
        <w:ind w:firstLine="420"/>
      </w:pPr>
      <w:r w:rsidRPr="00365DBA">
        <w:t>在工作面可布置区域、煤层厚度分布和</w:t>
      </w:r>
      <w:r w:rsidRPr="00365DBA">
        <w:t>ODI</w:t>
      </w:r>
      <w:r w:rsidRPr="00365DBA">
        <w:t>图层确定后，采区规划需要进一步解决工作面如何布置以及不同方案如何评价的问题。对于同一采区，满足边界、煤柱、工作面宽度和推进长度等基本要求的布置方案往往不止一个。不同方案可能在覆盖率、工作面数量、推进长度、资源利用程度和扰动风险方面表现不同，因此需要建立一套能够反映工程效率、资源回收和扰动控制差异的评价方法</w:t>
      </w:r>
      <w:r w:rsidR="00F35FD2" w:rsidRPr="00F35FD2">
        <w:t>。</w:t>
      </w:r>
    </w:p>
    <w:p w14:paraId="2E1CDF73" w14:textId="77777777" w:rsidR="00F35FD2" w:rsidRDefault="00F35FD2" w:rsidP="00F35FD2">
      <w:pPr>
        <w:pStyle w:val="100"/>
        <w:ind w:firstLine="420"/>
      </w:pPr>
      <w:r w:rsidRPr="00F35FD2">
        <w:t>设工作面布置候选方案集合为：</w:t>
      </w:r>
    </w:p>
    <w:p w14:paraId="19C29A21" w14:textId="153EBEB1" w:rsidR="00F35FD2" w:rsidRPr="00F35FD2" w:rsidRDefault="00F35FD2" w:rsidP="00F35FD2">
      <w:pPr>
        <w:pStyle w:val="MTDisplayEquation"/>
        <w:ind w:firstLine="480"/>
      </w:pPr>
      <w:r>
        <w:tab/>
      </w:r>
      <w:r w:rsidRPr="00F35FD2">
        <w:rPr>
          <w:position w:val="-12"/>
        </w:rPr>
        <w:object w:dxaOrig="1820" w:dyaOrig="360" w14:anchorId="44E16490">
          <v:shape id="_x0000_i1061" type="#_x0000_t75" style="width:91.2pt;height:18pt" o:ole="">
            <v:imagedata r:id="rId85" o:title=""/>
          </v:shape>
          <o:OLEObject Type="Embed" ProgID="Equation.DSMT4" ShapeID="_x0000_i1061" DrawAspect="Content" ObjectID="_1839937693" r:id="rId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9</w:instrText>
        </w:r>
      </w:fldSimple>
      <w:r>
        <w:instrText>)</w:instrText>
      </w:r>
      <w:r>
        <w:fldChar w:fldCharType="end"/>
      </w:r>
    </w:p>
    <w:p w14:paraId="40E5711A" w14:textId="41FD908D" w:rsidR="00F35FD2" w:rsidRDefault="00F35FD2" w:rsidP="00067EEE">
      <w:pPr>
        <w:pStyle w:val="100"/>
        <w:ind w:firstLine="420"/>
      </w:pPr>
      <w:r w:rsidRPr="00F35FD2">
        <w:t>其中，第</w:t>
      </w:r>
      <w:r w:rsidRPr="00F35FD2">
        <w:t xml:space="preserve"> </w:t>
      </w:r>
      <m:oMath>
        <m:r>
          <w:rPr>
            <w:rFonts w:ascii="Cambria Math" w:hAnsi="Cambria Math"/>
          </w:rPr>
          <m:t>i</m:t>
        </m:r>
      </m:oMath>
      <w:r w:rsidRPr="00F35FD2">
        <w:t>个候选方案</w:t>
      </w:r>
      <w:r w:rsidRPr="00F35FD2">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F35FD2">
        <w:t>可表示为：</w:t>
      </w:r>
    </w:p>
    <w:p w14:paraId="7288B394" w14:textId="16EB0199" w:rsidR="00F35FD2" w:rsidRDefault="00F35FD2" w:rsidP="00F35FD2">
      <w:pPr>
        <w:pStyle w:val="MTDisplayEquation"/>
        <w:ind w:firstLine="480"/>
      </w:pPr>
      <w:r>
        <w:tab/>
      </w:r>
      <w:r w:rsidRPr="00F35FD2">
        <w:rPr>
          <w:position w:val="-12"/>
        </w:rPr>
        <w:object w:dxaOrig="2340" w:dyaOrig="360" w14:anchorId="6670621F">
          <v:shape id="_x0000_i1062" type="#_x0000_t75" style="width:117pt;height:18pt" o:ole="">
            <v:imagedata r:id="rId87" o:title=""/>
          </v:shape>
          <o:OLEObject Type="Embed" ProgID="Equation.DSMT4" ShapeID="_x0000_i1062" DrawAspect="Content" ObjectID="_1839937694" r:id="rId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10</w:instrText>
        </w:r>
      </w:fldSimple>
      <w:r>
        <w:instrText>)</w:instrText>
      </w:r>
      <w:r>
        <w:fldChar w:fldCharType="end"/>
      </w:r>
    </w:p>
    <w:p w14:paraId="2D94357F" w14:textId="4384B9E0" w:rsidR="00067EEE" w:rsidRDefault="00F35FD2" w:rsidP="00067EEE">
      <w:pPr>
        <w:pStyle w:val="100"/>
        <w:ind w:firstLine="420"/>
      </w:pPr>
      <w:r w:rsidRPr="00F35FD2">
        <w:t>式中：</w:t>
      </w:r>
      <w:r w:rsidRPr="00F35FD2">
        <w:rPr>
          <w:position w:val="-12"/>
        </w:rPr>
        <w:object w:dxaOrig="240" w:dyaOrig="360" w14:anchorId="7A7B9943">
          <v:shape id="_x0000_i1063" type="#_x0000_t75" style="width:12pt;height:18pt" o:ole="">
            <v:imagedata r:id="rId89" o:title=""/>
          </v:shape>
          <o:OLEObject Type="Embed" ProgID="Equation.DSMT4" ShapeID="_x0000_i1063" DrawAspect="Content" ObjectID="_1839937695" r:id="rId90"/>
        </w:object>
      </w:r>
      <w:r w:rsidRPr="00F35FD2">
        <w:t>为工作面数量；</w:t>
      </w:r>
      <w:r w:rsidRPr="00F35FD2">
        <w:rPr>
          <w:position w:val="-12"/>
        </w:rPr>
        <w:object w:dxaOrig="260" w:dyaOrig="360" w14:anchorId="4D442255">
          <v:shape id="_x0000_i1064" type="#_x0000_t75" style="width:13.2pt;height:18pt" o:ole="">
            <v:imagedata r:id="rId91" o:title=""/>
          </v:shape>
          <o:OLEObject Type="Embed" ProgID="Equation.DSMT4" ShapeID="_x0000_i1064" DrawAspect="Content" ObjectID="_1839937696" r:id="rId92"/>
        </w:object>
      </w:r>
      <w:r w:rsidRPr="00F35FD2">
        <w:t>为工作面宽度；</w:t>
      </w:r>
      <w:r w:rsidRPr="00F35FD2">
        <w:rPr>
          <w:position w:val="-12"/>
        </w:rPr>
        <w:object w:dxaOrig="240" w:dyaOrig="360" w14:anchorId="06F82AFE">
          <v:shape id="_x0000_i1065" type="#_x0000_t75" style="width:12pt;height:18pt" o:ole="">
            <v:imagedata r:id="rId93" o:title=""/>
          </v:shape>
          <o:OLEObject Type="Embed" ProgID="Equation.DSMT4" ShapeID="_x0000_i1065" DrawAspect="Content" ObjectID="_1839937697" r:id="rId94"/>
        </w:object>
      </w:r>
      <w:r w:rsidRPr="00F35FD2">
        <w:t>为推进方向；</w:t>
      </w:r>
      <w:r w:rsidRPr="00F35FD2">
        <w:rPr>
          <w:position w:val="-12"/>
        </w:rPr>
        <w:object w:dxaOrig="279" w:dyaOrig="360" w14:anchorId="16793E15">
          <v:shape id="_x0000_i1066" type="#_x0000_t75" style="width:13.8pt;height:18pt" o:ole="">
            <v:imagedata r:id="rId95" o:title=""/>
          </v:shape>
          <o:OLEObject Type="Embed" ProgID="Equation.DSMT4" ShapeID="_x0000_i1066" DrawAspect="Content" ObjectID="_1839937698" r:id="rId96"/>
        </w:object>
      </w:r>
      <w:r w:rsidRPr="00F35FD2">
        <w:t>为煤柱配置；</w:t>
      </w:r>
      <w:r w:rsidRPr="00F35FD2">
        <w:rPr>
          <w:position w:val="-12"/>
        </w:rPr>
        <w:object w:dxaOrig="300" w:dyaOrig="360" w14:anchorId="011510E7">
          <v:shape id="_x0000_i1067" type="#_x0000_t75" style="width:15pt;height:18pt" o:ole="">
            <v:imagedata r:id="rId97" o:title=""/>
          </v:shape>
          <o:OLEObject Type="Embed" ProgID="Equation.DSMT4" ShapeID="_x0000_i1067" DrawAspect="Content" ObjectID="_1839937699" r:id="rId98"/>
        </w:object>
      </w:r>
      <w:r w:rsidRPr="00F35FD2">
        <w:t>为工作面占用</w:t>
      </w:r>
      <w:r w:rsidRPr="00F35FD2">
        <w:lastRenderedPageBreak/>
        <w:t>区域集合；</w:t>
      </w:r>
      <w:r w:rsidRPr="00F35FD2">
        <w:rPr>
          <w:position w:val="-12"/>
        </w:rPr>
        <w:object w:dxaOrig="240" w:dyaOrig="360" w14:anchorId="57558D37">
          <v:shape id="_x0000_i1068" type="#_x0000_t75" style="width:12pt;height:18pt" o:ole="">
            <v:imagedata r:id="rId99" o:title=""/>
          </v:shape>
          <o:OLEObject Type="Embed" ProgID="Equation.DSMT4" ShapeID="_x0000_i1068" DrawAspect="Content" ObjectID="_1839937700" r:id="rId100"/>
        </w:object>
      </w:r>
      <w:r w:rsidRPr="00F35FD2">
        <w:t>为推进长度集合。</w:t>
      </w:r>
    </w:p>
    <w:p w14:paraId="64C0D99C" w14:textId="13EFF7F5" w:rsidR="00F35FD2" w:rsidRDefault="00F35FD2" w:rsidP="00067EEE">
      <w:pPr>
        <w:pStyle w:val="100"/>
        <w:ind w:firstLine="420"/>
      </w:pPr>
      <w:r w:rsidRPr="00F35FD2">
        <w:t>工作面布置方案需满足以下基本采矿约束：</w:t>
      </w:r>
    </w:p>
    <w:p w14:paraId="3C682F31" w14:textId="11C1AC73" w:rsidR="00F35FD2" w:rsidRDefault="00F35FD2" w:rsidP="00F35FD2">
      <w:pPr>
        <w:pStyle w:val="MTDisplayEquation"/>
        <w:ind w:firstLine="480"/>
      </w:pPr>
      <w:r>
        <w:tab/>
      </w:r>
      <w:r w:rsidRPr="00F35FD2">
        <w:rPr>
          <w:position w:val="-12"/>
        </w:rPr>
        <w:object w:dxaOrig="859" w:dyaOrig="360" w14:anchorId="703D49B5">
          <v:shape id="_x0000_i1069" type="#_x0000_t75" style="width:43.2pt;height:18pt" o:ole="">
            <v:imagedata r:id="rId101" o:title=""/>
          </v:shape>
          <o:OLEObject Type="Embed" ProgID="Equation.DSMT4" ShapeID="_x0000_i1069" DrawAspect="Content" ObjectID="_1839937701" r:id="rId10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11</w:instrText>
        </w:r>
      </w:fldSimple>
      <w:r>
        <w:instrText>)</w:instrText>
      </w:r>
      <w:r>
        <w:fldChar w:fldCharType="end"/>
      </w:r>
    </w:p>
    <w:p w14:paraId="076ACA66" w14:textId="73E590EE" w:rsidR="00F35FD2" w:rsidRPr="00F35FD2" w:rsidRDefault="00F35FD2" w:rsidP="00F35FD2">
      <w:pPr>
        <w:pStyle w:val="MTDisplayEquation"/>
        <w:ind w:firstLine="480"/>
      </w:pPr>
      <w:r>
        <w:tab/>
      </w:r>
      <w:r w:rsidRPr="00F35FD2">
        <w:rPr>
          <w:position w:val="-12"/>
        </w:rPr>
        <w:object w:dxaOrig="1540" w:dyaOrig="360" w14:anchorId="71DF2984">
          <v:shape id="_x0000_i1070" type="#_x0000_t75" style="width:76.8pt;height:18pt" o:ole="">
            <v:imagedata r:id="rId103" o:title=""/>
          </v:shape>
          <o:OLEObject Type="Embed" ProgID="Equation.DSMT4" ShapeID="_x0000_i1070" DrawAspect="Content" ObjectID="_1839937702" r:id="rId1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12</w:instrText>
        </w:r>
      </w:fldSimple>
      <w:r>
        <w:instrText>)</w:instrText>
      </w:r>
      <w:r>
        <w:fldChar w:fldCharType="end"/>
      </w:r>
    </w:p>
    <w:p w14:paraId="79C2CF31" w14:textId="7D2A53D7" w:rsidR="00F35FD2" w:rsidRDefault="00F35FD2" w:rsidP="00F35FD2">
      <w:pPr>
        <w:pStyle w:val="MTDisplayEquation"/>
        <w:ind w:firstLine="480"/>
      </w:pPr>
      <w:r>
        <w:tab/>
      </w:r>
      <w:r w:rsidRPr="00F35FD2">
        <w:rPr>
          <w:position w:val="-12"/>
        </w:rPr>
        <w:object w:dxaOrig="859" w:dyaOrig="360" w14:anchorId="588374EF">
          <v:shape id="_x0000_i1071" type="#_x0000_t75" style="width:43.2pt;height:18pt" o:ole="">
            <v:imagedata r:id="rId105" o:title=""/>
          </v:shape>
          <o:OLEObject Type="Embed" ProgID="Equation.DSMT4" ShapeID="_x0000_i1071" DrawAspect="Content" ObjectID="_1839937703" r:id="rId1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13</w:instrText>
        </w:r>
      </w:fldSimple>
      <w:r>
        <w:instrText>)</w:instrText>
      </w:r>
      <w:r>
        <w:fldChar w:fldCharType="end"/>
      </w:r>
    </w:p>
    <w:p w14:paraId="5096C1BC" w14:textId="65700091" w:rsidR="00F35FD2" w:rsidRDefault="00F35FD2" w:rsidP="00F35FD2">
      <w:pPr>
        <w:pStyle w:val="MTDisplayEquation"/>
        <w:ind w:firstLine="480"/>
      </w:pPr>
      <w:r>
        <w:tab/>
      </w:r>
      <w:r w:rsidRPr="00F35FD2">
        <w:rPr>
          <w:position w:val="-14"/>
        </w:rPr>
        <w:object w:dxaOrig="2260" w:dyaOrig="380" w14:anchorId="34A87FE3">
          <v:shape id="_x0000_i1072" type="#_x0000_t75" style="width:112.8pt;height:19.2pt" o:ole="">
            <v:imagedata r:id="rId107" o:title=""/>
          </v:shape>
          <o:OLEObject Type="Embed" ProgID="Equation.DSMT4" ShapeID="_x0000_i1072" DrawAspect="Content" ObjectID="_1839937704"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14</w:instrText>
        </w:r>
      </w:fldSimple>
      <w:r>
        <w:instrText>)</w:instrText>
      </w:r>
      <w:r>
        <w:fldChar w:fldCharType="end"/>
      </w:r>
    </w:p>
    <w:p w14:paraId="4B76C2A2" w14:textId="650B9335" w:rsidR="00F35FD2" w:rsidRPr="00F35FD2" w:rsidRDefault="00F35FD2" w:rsidP="00F35FD2">
      <w:pPr>
        <w:pStyle w:val="100"/>
        <w:ind w:firstLine="420"/>
      </w:pPr>
      <w:r w:rsidRPr="00F35FD2">
        <w:t>式中：</w:t>
      </w:r>
      <w:r w:rsidR="00AC546D" w:rsidRPr="00AC546D">
        <w:rPr>
          <w:position w:val="-12"/>
        </w:rPr>
        <w:object w:dxaOrig="320" w:dyaOrig="360" w14:anchorId="71689D23">
          <v:shape id="_x0000_i1073" type="#_x0000_t75" style="width:16.2pt;height:18pt" o:ole="">
            <v:imagedata r:id="rId109" o:title=""/>
          </v:shape>
          <o:OLEObject Type="Embed" ProgID="Equation.DSMT4" ShapeID="_x0000_i1073" DrawAspect="Content" ObjectID="_1839937705" r:id="rId110"/>
        </w:object>
      </w:r>
      <w:r w:rsidRPr="00F35FD2">
        <w:t>为</w:t>
      </w:r>
      <w:r w:rsidR="003B394F">
        <w:t>工作面可布置区域</w:t>
      </w:r>
      <w:r w:rsidRPr="00F35FD2">
        <w:t>；</w:t>
      </w:r>
      <w:r w:rsidR="00AC546D" w:rsidRPr="00AC546D">
        <w:rPr>
          <w:position w:val="-12"/>
        </w:rPr>
        <w:object w:dxaOrig="440" w:dyaOrig="360" w14:anchorId="55D107B8">
          <v:shape id="_x0000_i1074" type="#_x0000_t75" style="width:22.2pt;height:18pt" o:ole="">
            <v:imagedata r:id="rId111" o:title=""/>
          </v:shape>
          <o:OLEObject Type="Embed" ProgID="Equation.DSMT4" ShapeID="_x0000_i1074" DrawAspect="Content" ObjectID="_1839937706" r:id="rId112"/>
        </w:object>
      </w:r>
      <w:r w:rsidRPr="00F35FD2">
        <w:t>和</w:t>
      </w:r>
      <w:r w:rsidR="00AC546D" w:rsidRPr="00AC546D">
        <w:rPr>
          <w:position w:val="-12"/>
        </w:rPr>
        <w:object w:dxaOrig="480" w:dyaOrig="360" w14:anchorId="2BE2AA8B">
          <v:shape id="_x0000_i1075" type="#_x0000_t75" style="width:24pt;height:18pt" o:ole="">
            <v:imagedata r:id="rId113" o:title=""/>
          </v:shape>
          <o:OLEObject Type="Embed" ProgID="Equation.DSMT4" ShapeID="_x0000_i1075" DrawAspect="Content" ObjectID="_1839937707" r:id="rId114"/>
        </w:object>
      </w:r>
      <w:r w:rsidRPr="00F35FD2">
        <w:t>分别为工作面宽度允许范围；</w:t>
      </w:r>
      <w:r w:rsidR="00AC546D" w:rsidRPr="00AC546D">
        <w:rPr>
          <w:position w:val="-12"/>
        </w:rPr>
        <w:object w:dxaOrig="440" w:dyaOrig="360" w14:anchorId="2EAC5A3F">
          <v:shape id="_x0000_i1076" type="#_x0000_t75" style="width:22.2pt;height:18pt" o:ole="">
            <v:imagedata r:id="rId115" o:title=""/>
          </v:shape>
          <o:OLEObject Type="Embed" ProgID="Equation.DSMT4" ShapeID="_x0000_i1076" DrawAspect="Content" ObjectID="_1839937708" r:id="rId116"/>
        </w:object>
      </w:r>
      <w:r w:rsidRPr="00F35FD2">
        <w:t>为最小推进长度校核阈值；</w:t>
      </w:r>
      <w:r w:rsidR="00AC546D" w:rsidRPr="00AC546D">
        <w:rPr>
          <w:position w:val="-14"/>
        </w:rPr>
        <w:object w:dxaOrig="340" w:dyaOrig="380" w14:anchorId="7534FC90">
          <v:shape id="_x0000_i1077" type="#_x0000_t75" style="width:16.8pt;height:19.2pt" o:ole="">
            <v:imagedata r:id="rId117" o:title=""/>
          </v:shape>
          <o:OLEObject Type="Embed" ProgID="Equation.DSMT4" ShapeID="_x0000_i1077" DrawAspect="Content" ObjectID="_1839937709" r:id="rId118"/>
        </w:object>
      </w:r>
      <w:r w:rsidRPr="00F35FD2">
        <w:t>和</w:t>
      </w:r>
      <w:r w:rsidR="00AC546D" w:rsidRPr="00AC546D">
        <w:rPr>
          <w:position w:val="-12"/>
        </w:rPr>
        <w:object w:dxaOrig="380" w:dyaOrig="360" w14:anchorId="09AA0BE6">
          <v:shape id="_x0000_i1078" type="#_x0000_t75" style="width:19.2pt;height:18pt" o:ole="">
            <v:imagedata r:id="rId119" o:title=""/>
          </v:shape>
          <o:OLEObject Type="Embed" ProgID="Equation.DSMT4" ShapeID="_x0000_i1078" DrawAspect="Content" ObjectID="_1839937710" r:id="rId120"/>
        </w:object>
      </w:r>
      <w:r w:rsidRPr="00F35FD2">
        <w:t>分别为同一候选方案中不同工作面的占用区域。上述约束分别表示工作面不得超出</w:t>
      </w:r>
      <w:r w:rsidR="003B394F">
        <w:t>工作面可布置区域</w:t>
      </w:r>
      <w:r w:rsidRPr="00F35FD2">
        <w:t>、工作面宽度满足设计要求、推进长度满足校核要求，以及不同工作面之间不得重叠。</w:t>
      </w:r>
    </w:p>
    <w:p w14:paraId="1680224D" w14:textId="77777777" w:rsidR="00365DBA" w:rsidRPr="00365DBA" w:rsidRDefault="00365DBA" w:rsidP="00365DBA">
      <w:pPr>
        <w:pStyle w:val="100"/>
        <w:ind w:firstLine="420"/>
      </w:pPr>
      <w:r w:rsidRPr="00365DBA">
        <w:t>本文采用规则布置与工程约束检查相结合的方式形成候选方案。具体做法是：根据推进方向、工作面宽度、边界煤柱和区段煤柱等参数，在工作面可布置区域内构造平行工作面条带；再通过条带平移、组合和裁剪形成多组初始方案；随后检查其是否存在越界、重叠、煤柱不足、推进长度不足或局部形态不利于实施等问题。满足基本要求的方案进入后续评价，不满足要求的方案直接剔除。</w:t>
      </w:r>
    </w:p>
    <w:p w14:paraId="4CB09460" w14:textId="77777777" w:rsidR="00365DBA" w:rsidRPr="00365DBA" w:rsidRDefault="00365DBA" w:rsidP="00365DBA">
      <w:pPr>
        <w:pStyle w:val="100"/>
        <w:ind w:firstLine="420"/>
      </w:pPr>
      <w:r w:rsidRPr="00365DBA">
        <w:t>这种处理方式的优点在于，候选方案并不是对网格单元进行任意组合，而是以工程上可实施的工作面条带为基本对象。这样既能避免方案数量过度膨胀，也能保证保留下来的方案具有基本采矿意义。后续工程效率优先、资源回收优先和低扰动候选方案均在同一候选方案集合内确定，从而保证不同方案之间具有可比性。</w:t>
      </w:r>
    </w:p>
    <w:p w14:paraId="352BD465" w14:textId="77777777" w:rsidR="00AC546D" w:rsidRPr="00AC546D" w:rsidRDefault="00AC546D" w:rsidP="00AC546D">
      <w:pPr>
        <w:pStyle w:val="130"/>
      </w:pPr>
      <w:r w:rsidRPr="00AC546D">
        <w:t xml:space="preserve">2.3.1 </w:t>
      </w:r>
      <w:r w:rsidRPr="00AC546D">
        <w:t>工程效率评价</w:t>
      </w:r>
    </w:p>
    <w:p w14:paraId="6D7FFD9B" w14:textId="77777777" w:rsidR="00AC546D" w:rsidRPr="00AC546D" w:rsidRDefault="00AC546D" w:rsidP="00AC546D">
      <w:pPr>
        <w:pStyle w:val="100"/>
        <w:ind w:firstLine="420"/>
      </w:pPr>
      <w:r w:rsidRPr="00AC546D">
        <w:t>工程效率主要反映工作面布置对生产组织、推进长度均衡性和布局规整性的影响。对于采区规划而言，工程效率较高的方案通常应具有较高的有效覆盖率、适中的工作面数量、较均衡的推进长度和较少的短推进工作面。</w:t>
      </w:r>
    </w:p>
    <w:p w14:paraId="6231181F" w14:textId="77777777" w:rsidR="00AC546D" w:rsidRPr="00AC546D" w:rsidRDefault="00AC546D" w:rsidP="00AC546D">
      <w:pPr>
        <w:pStyle w:val="100"/>
        <w:ind w:firstLine="420"/>
      </w:pPr>
      <w:r w:rsidRPr="00AC546D">
        <w:t>工程效率评分可表示为：</w:t>
      </w:r>
    </w:p>
    <w:p w14:paraId="7A8DEE4C" w14:textId="1A4BB613" w:rsidR="00AC546D" w:rsidRPr="00AC546D" w:rsidRDefault="00AC546D" w:rsidP="00AC546D">
      <w:pPr>
        <w:pStyle w:val="MTDisplayEquation"/>
        <w:ind w:firstLine="480"/>
      </w:pPr>
      <w:r>
        <w:tab/>
      </w:r>
      <w:r w:rsidRPr="00AC546D">
        <w:rPr>
          <w:position w:val="-12"/>
        </w:rPr>
        <w:object w:dxaOrig="4099" w:dyaOrig="360" w14:anchorId="7EC7C0E9">
          <v:shape id="_x0000_i1079" type="#_x0000_t75" style="width:205.2pt;height:18pt" o:ole="">
            <v:imagedata r:id="rId121" o:title=""/>
          </v:shape>
          <o:OLEObject Type="Embed" ProgID="Equation.DSMT4" ShapeID="_x0000_i1079" DrawAspect="Content" ObjectID="_1839937711" r:id="rId1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15</w:instrText>
        </w:r>
      </w:fldSimple>
      <w:r>
        <w:instrText>)</w:instrText>
      </w:r>
      <w:r>
        <w:fldChar w:fldCharType="end"/>
      </w:r>
    </w:p>
    <w:p w14:paraId="1488D3E1" w14:textId="0AA6AC7A" w:rsidR="00AC546D" w:rsidRPr="00AC546D" w:rsidRDefault="00AC546D" w:rsidP="00AC546D">
      <w:pPr>
        <w:pStyle w:val="100"/>
        <w:ind w:firstLine="420"/>
      </w:pPr>
      <w:r w:rsidRPr="00AC546D">
        <w:t>式中：</w:t>
      </w:r>
      <w:r w:rsidRPr="00AC546D">
        <w:rPr>
          <w:position w:val="-12"/>
        </w:rPr>
        <w:object w:dxaOrig="279" w:dyaOrig="360" w14:anchorId="39ED5733">
          <v:shape id="_x0000_i1080" type="#_x0000_t75" style="width:13.8pt;height:18pt" o:ole="">
            <v:imagedata r:id="rId123" o:title=""/>
          </v:shape>
          <o:OLEObject Type="Embed" ProgID="Equation.DSMT4" ShapeID="_x0000_i1080" DrawAspect="Content" ObjectID="_1839937712" r:id="rId124"/>
        </w:object>
      </w:r>
      <w:r w:rsidRPr="00AC546D">
        <w:t>为方案</w:t>
      </w:r>
      <w:r w:rsidRPr="00AC546D">
        <w:rPr>
          <w:position w:val="-12"/>
        </w:rPr>
        <w:object w:dxaOrig="240" w:dyaOrig="360" w14:anchorId="2155B359">
          <v:shape id="_x0000_i1081" type="#_x0000_t75" style="width:12pt;height:18pt" o:ole="">
            <v:imagedata r:id="rId125" o:title=""/>
          </v:shape>
          <o:OLEObject Type="Embed" ProgID="Equation.DSMT4" ShapeID="_x0000_i1081" DrawAspect="Content" ObjectID="_1839937713" r:id="rId126"/>
        </w:object>
      </w:r>
      <w:r w:rsidRPr="00AC546D">
        <w:t>的工程效率评分；</w:t>
      </w:r>
      <w:r w:rsidRPr="00AC546D">
        <w:rPr>
          <w:position w:val="-12"/>
        </w:rPr>
        <w:object w:dxaOrig="580" w:dyaOrig="360" w14:anchorId="11A9AF06">
          <v:shape id="_x0000_i1082" type="#_x0000_t75" style="width:28.8pt;height:18pt" o:ole="">
            <v:imagedata r:id="rId127" o:title=""/>
          </v:shape>
          <o:OLEObject Type="Embed" ProgID="Equation.DSMT4" ShapeID="_x0000_i1082" DrawAspect="Content" ObjectID="_1839937714" r:id="rId128"/>
        </w:object>
      </w:r>
      <w:r w:rsidRPr="00AC546D">
        <w:t>为有效覆盖率；</w:t>
      </w:r>
      <w:r w:rsidRPr="00AC546D">
        <w:rPr>
          <w:position w:val="-12"/>
        </w:rPr>
        <w:object w:dxaOrig="540" w:dyaOrig="360" w14:anchorId="5C1D5C85">
          <v:shape id="_x0000_i1083" type="#_x0000_t75" style="width:27pt;height:18pt" o:ole="">
            <v:imagedata r:id="rId129" o:title=""/>
          </v:shape>
          <o:OLEObject Type="Embed" ProgID="Equation.DSMT4" ShapeID="_x0000_i1083" DrawAspect="Content" ObjectID="_1839937715" r:id="rId130"/>
        </w:object>
      </w:r>
      <w:r w:rsidRPr="00AC546D">
        <w:t>为推进长度均衡性指标；</w:t>
      </w:r>
      <w:r w:rsidRPr="00AC546D">
        <w:rPr>
          <w:position w:val="-12"/>
        </w:rPr>
        <w:object w:dxaOrig="680" w:dyaOrig="360" w14:anchorId="331A23FF">
          <v:shape id="_x0000_i1084" type="#_x0000_t75" style="width:34.2pt;height:18pt" o:ole="">
            <v:imagedata r:id="rId131" o:title=""/>
          </v:shape>
          <o:OLEObject Type="Embed" ProgID="Equation.DSMT4" ShapeID="_x0000_i1084" DrawAspect="Content" ObjectID="_1839937716" r:id="rId132"/>
        </w:object>
      </w:r>
      <w:r w:rsidRPr="00AC546D">
        <w:t>为工作面数量适宜性指标；</w:t>
      </w:r>
      <w:r w:rsidRPr="00AC546D">
        <w:rPr>
          <w:position w:val="-12"/>
        </w:rPr>
        <w:object w:dxaOrig="580" w:dyaOrig="360" w14:anchorId="347B6631">
          <v:shape id="_x0000_i1085" type="#_x0000_t75" style="width:28.8pt;height:18pt" o:ole="">
            <v:imagedata r:id="rId133" o:title=""/>
          </v:shape>
          <o:OLEObject Type="Embed" ProgID="Equation.DSMT4" ShapeID="_x0000_i1085" DrawAspect="Content" ObjectID="_1839937717" r:id="rId134"/>
        </w:object>
      </w:r>
      <w:r w:rsidRPr="00AC546D">
        <w:t>为短推进控制指标；</w:t>
      </w:r>
      <w:r w:rsidRPr="00AC546D">
        <w:rPr>
          <w:position w:val="-12"/>
        </w:rPr>
        <w:object w:dxaOrig="240" w:dyaOrig="360" w14:anchorId="440FEA23">
          <v:shape id="_x0000_i1086" type="#_x0000_t75" style="width:12pt;height:18pt" o:ole="">
            <v:imagedata r:id="rId135" o:title=""/>
          </v:shape>
          <o:OLEObject Type="Embed" ProgID="Equation.DSMT4" ShapeID="_x0000_i1086" DrawAspect="Content" ObjectID="_1839937718" r:id="rId136"/>
        </w:object>
      </w:r>
      <w:r w:rsidRPr="00AC546D">
        <w:t>、</w:t>
      </w:r>
      <w:r w:rsidRPr="00AC546D">
        <w:rPr>
          <w:position w:val="-12"/>
        </w:rPr>
        <w:object w:dxaOrig="260" w:dyaOrig="360" w14:anchorId="7B1B42FB">
          <v:shape id="_x0000_i1087" type="#_x0000_t75" style="width:13.2pt;height:18pt" o:ole="">
            <v:imagedata r:id="rId137" o:title=""/>
          </v:shape>
          <o:OLEObject Type="Embed" ProgID="Equation.DSMT4" ShapeID="_x0000_i1087" DrawAspect="Content" ObjectID="_1839937719" r:id="rId138"/>
        </w:object>
      </w:r>
      <w:r w:rsidRPr="00AC546D">
        <w:t>、</w:t>
      </w:r>
      <w:r w:rsidRPr="00AC546D">
        <w:rPr>
          <w:position w:val="-12"/>
        </w:rPr>
        <w:object w:dxaOrig="260" w:dyaOrig="360" w14:anchorId="521BEFBB">
          <v:shape id="_x0000_i1088" type="#_x0000_t75" style="width:13.2pt;height:18pt" o:ole="">
            <v:imagedata r:id="rId139" o:title=""/>
          </v:shape>
          <o:OLEObject Type="Embed" ProgID="Equation.DSMT4" ShapeID="_x0000_i1088" DrawAspect="Content" ObjectID="_1839937720" r:id="rId140"/>
        </w:object>
      </w:r>
      <w:r w:rsidRPr="00AC546D">
        <w:t>、</w:t>
      </w:r>
      <w:r w:rsidRPr="00AC546D">
        <w:rPr>
          <w:position w:val="-12"/>
        </w:rPr>
        <w:object w:dxaOrig="260" w:dyaOrig="360" w14:anchorId="18F43E6B">
          <v:shape id="_x0000_i1089" type="#_x0000_t75" style="width:13.2pt;height:18pt" o:ole="">
            <v:imagedata r:id="rId141" o:title=""/>
          </v:shape>
          <o:OLEObject Type="Embed" ProgID="Equation.DSMT4" ShapeID="_x0000_i1089" DrawAspect="Content" ObjectID="_1839937721" r:id="rId142"/>
        </w:object>
      </w:r>
      <w:r w:rsidRPr="00AC546D">
        <w:t>为对应权重，且满</w:t>
      </w:r>
      <w:r w:rsidRPr="00AC546D">
        <w:t>足</w:t>
      </w:r>
      <w:r w:rsidRPr="00AC546D">
        <w:rPr>
          <w:position w:val="-12"/>
        </w:rPr>
        <w:object w:dxaOrig="1860" w:dyaOrig="360" w14:anchorId="3E0E9287">
          <v:shape id="_x0000_i1090" type="#_x0000_t75" style="width:93pt;height:18pt" o:ole="">
            <v:imagedata r:id="rId143" o:title=""/>
          </v:shape>
          <o:OLEObject Type="Embed" ProgID="Equation.DSMT4" ShapeID="_x0000_i1090" DrawAspect="Content" ObjectID="_1839937722" r:id="rId144"/>
        </w:object>
      </w:r>
      <w:r w:rsidRPr="00AC546D">
        <w:t>。</w:t>
      </w:r>
    </w:p>
    <w:p w14:paraId="603528D7" w14:textId="77777777" w:rsidR="00AC546D" w:rsidRDefault="00AC546D" w:rsidP="00AC546D">
      <w:pPr>
        <w:pStyle w:val="100"/>
        <w:ind w:firstLine="420"/>
      </w:pPr>
      <w:r w:rsidRPr="00AC546D">
        <w:t>有效覆盖率可表示为：</w:t>
      </w:r>
    </w:p>
    <w:p w14:paraId="1CA44277" w14:textId="0E46E62E" w:rsidR="00AC546D" w:rsidRPr="00AC546D" w:rsidRDefault="00AC546D" w:rsidP="00AC546D">
      <w:pPr>
        <w:pStyle w:val="MTDisplayEquation"/>
        <w:ind w:firstLine="480"/>
      </w:pPr>
      <w:r>
        <w:tab/>
      </w:r>
      <w:r w:rsidRPr="00AC546D">
        <w:rPr>
          <w:position w:val="-30"/>
        </w:rPr>
        <w:object w:dxaOrig="1480" w:dyaOrig="680" w14:anchorId="6DDA86A1">
          <v:shape id="_x0000_i1091" type="#_x0000_t75" style="width:73.8pt;height:34.2pt" o:ole="">
            <v:imagedata r:id="rId145" o:title=""/>
          </v:shape>
          <o:OLEObject Type="Embed" ProgID="Equation.DSMT4" ShapeID="_x0000_i1091" DrawAspect="Content" ObjectID="_1839937723"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16</w:instrText>
        </w:r>
      </w:fldSimple>
      <w:r>
        <w:instrText>)</w:instrText>
      </w:r>
      <w:r>
        <w:fldChar w:fldCharType="end"/>
      </w:r>
    </w:p>
    <w:p w14:paraId="2E288BA4" w14:textId="19A7CE80" w:rsidR="00AC546D" w:rsidRPr="00AC546D" w:rsidRDefault="00AC546D" w:rsidP="00AC546D">
      <w:pPr>
        <w:pStyle w:val="100"/>
        <w:ind w:firstLine="420"/>
      </w:pPr>
      <w:r w:rsidRPr="00AC546D">
        <w:t>式中：</w:t>
      </w:r>
      <w:r w:rsidRPr="00AC546D">
        <w:rPr>
          <w:position w:val="-12"/>
        </w:rPr>
        <w:object w:dxaOrig="660" w:dyaOrig="360" w14:anchorId="53A0228C">
          <v:shape id="_x0000_i1092" type="#_x0000_t75" style="width:33pt;height:18pt" o:ole="">
            <v:imagedata r:id="rId147" o:title=""/>
          </v:shape>
          <o:OLEObject Type="Embed" ProgID="Equation.DSMT4" ShapeID="_x0000_i1092" DrawAspect="Content" ObjectID="_1839937724" r:id="rId148"/>
        </w:object>
      </w:r>
      <w:r w:rsidRPr="00AC546D">
        <w:t>为方案</w:t>
      </w:r>
      <w:r w:rsidRPr="00AC546D">
        <w:rPr>
          <w:position w:val="-12"/>
        </w:rPr>
        <w:object w:dxaOrig="240" w:dyaOrig="360" w14:anchorId="520B692F">
          <v:shape id="_x0000_i1093" type="#_x0000_t75" style="width:12pt;height:18pt" o:ole="">
            <v:imagedata r:id="rId149" o:title=""/>
          </v:shape>
          <o:OLEObject Type="Embed" ProgID="Equation.DSMT4" ShapeID="_x0000_i1093" DrawAspect="Content" ObjectID="_1839937725" r:id="rId150"/>
        </w:object>
      </w:r>
      <w:r w:rsidRPr="00AC546D">
        <w:t>覆盖区域面积；</w:t>
      </w:r>
      <w:r w:rsidRPr="00AC546D">
        <w:rPr>
          <w:position w:val="-12"/>
        </w:rPr>
        <w:object w:dxaOrig="680" w:dyaOrig="360" w14:anchorId="29EA2AAA">
          <v:shape id="_x0000_i1094" type="#_x0000_t75" style="width:34.2pt;height:18pt" o:ole="">
            <v:imagedata r:id="rId151" o:title=""/>
          </v:shape>
          <o:OLEObject Type="Embed" ProgID="Equation.DSMT4" ShapeID="_x0000_i1094" DrawAspect="Content" ObjectID="_1839937726" r:id="rId152"/>
        </w:object>
      </w:r>
      <w:r w:rsidRPr="00AC546D">
        <w:t>为</w:t>
      </w:r>
      <w:r w:rsidR="003B394F">
        <w:t>工作面可布置区域</w:t>
      </w:r>
      <w:r w:rsidRPr="00AC546D">
        <w:t>面积。</w:t>
      </w:r>
    </w:p>
    <w:p w14:paraId="6481D32A" w14:textId="77777777" w:rsidR="00AC546D" w:rsidRDefault="00AC546D" w:rsidP="00AC546D">
      <w:pPr>
        <w:pStyle w:val="100"/>
        <w:ind w:firstLine="420"/>
      </w:pPr>
      <w:r w:rsidRPr="00AC546D">
        <w:t>推进长度均衡性可根据各工作面推进长度的变异程度确定：</w:t>
      </w:r>
    </w:p>
    <w:p w14:paraId="07E62508" w14:textId="0DB2C1C1" w:rsidR="00AC546D" w:rsidRPr="00AC546D" w:rsidRDefault="00AC546D" w:rsidP="00AC546D">
      <w:pPr>
        <w:pStyle w:val="MTDisplayEquation"/>
        <w:ind w:firstLine="480"/>
      </w:pPr>
      <w:r>
        <w:tab/>
      </w:r>
      <w:r w:rsidRPr="00AC546D">
        <w:rPr>
          <w:position w:val="-24"/>
        </w:rPr>
        <w:object w:dxaOrig="1380" w:dyaOrig="620" w14:anchorId="19DDBFE1">
          <v:shape id="_x0000_i1095" type="#_x0000_t75" style="width:69pt;height:31.2pt" o:ole="">
            <v:imagedata r:id="rId153" o:title=""/>
          </v:shape>
          <o:OLEObject Type="Embed" ProgID="Equation.DSMT4" ShapeID="_x0000_i1095" DrawAspect="Content" ObjectID="_1839937727" r:id="rId15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17</w:instrText>
        </w:r>
      </w:fldSimple>
      <w:r>
        <w:instrText>)</w:instrText>
      </w:r>
      <w:r>
        <w:fldChar w:fldCharType="end"/>
      </w:r>
    </w:p>
    <w:p w14:paraId="6F6CE8F2" w14:textId="7A594290" w:rsidR="00067EEE" w:rsidRDefault="00AC546D" w:rsidP="00067EEE">
      <w:pPr>
        <w:pStyle w:val="100"/>
        <w:ind w:firstLine="420"/>
      </w:pPr>
      <w:r w:rsidRPr="00AC546D">
        <w:t>式中：</w:t>
      </w:r>
      <w:r w:rsidRPr="00AC546D">
        <w:rPr>
          <w:position w:val="-12"/>
        </w:rPr>
        <w:object w:dxaOrig="320" w:dyaOrig="360" w14:anchorId="4C8B145F">
          <v:shape id="_x0000_i1096" type="#_x0000_t75" style="width:16.2pt;height:18pt" o:ole="">
            <v:imagedata r:id="rId155" o:title=""/>
          </v:shape>
          <o:OLEObject Type="Embed" ProgID="Equation.DSMT4" ShapeID="_x0000_i1096" DrawAspect="Content" ObjectID="_1839937728" r:id="rId156"/>
        </w:object>
      </w:r>
      <w:r w:rsidRPr="00AC546D">
        <w:t>为方案</w:t>
      </w:r>
      <w:r w:rsidRPr="00AC546D">
        <w:rPr>
          <w:position w:val="-12"/>
        </w:rPr>
        <w:object w:dxaOrig="240" w:dyaOrig="360" w14:anchorId="24B34E22">
          <v:shape id="_x0000_i1097" type="#_x0000_t75" style="width:12pt;height:18pt" o:ole="">
            <v:imagedata r:id="rId157" o:title=""/>
          </v:shape>
          <o:OLEObject Type="Embed" ProgID="Equation.DSMT4" ShapeID="_x0000_i1097" DrawAspect="Content" ObjectID="_1839937729" r:id="rId158"/>
        </w:object>
      </w:r>
      <w:r w:rsidRPr="00AC546D">
        <w:t>中各工作面推进长度的标准差；</w:t>
      </w:r>
      <w:r w:rsidRPr="00025957">
        <w:rPr>
          <w:position w:val="-4"/>
        </w:rPr>
        <w:object w:dxaOrig="240" w:dyaOrig="300" w14:anchorId="7B32C509">
          <v:shape id="_x0000_i1098" type="#_x0000_t75" style="width:12pt;height:15pt" o:ole="">
            <v:imagedata r:id="rId159" o:title=""/>
          </v:shape>
          <o:OLEObject Type="Embed" ProgID="Equation.DSMT4" ShapeID="_x0000_i1098" DrawAspect="Content" ObjectID="_1839937730" r:id="rId160"/>
        </w:object>
      </w:r>
      <w:r w:rsidRPr="00AC546D">
        <w:t>为平均推进长度。当不同工作面推进长度越接近时，</w:t>
      </w:r>
      <w:r w:rsidRPr="00AC546D">
        <w:rPr>
          <w:position w:val="-12"/>
        </w:rPr>
        <w:object w:dxaOrig="540" w:dyaOrig="360" w14:anchorId="2194681D">
          <v:shape id="_x0000_i1099" type="#_x0000_t75" style="width:27pt;height:18pt" o:ole="">
            <v:imagedata r:id="rId161" o:title=""/>
          </v:shape>
          <o:OLEObject Type="Embed" ProgID="Equation.DSMT4" ShapeID="_x0000_i1099" DrawAspect="Content" ObjectID="_1839937731" r:id="rId162"/>
        </w:object>
      </w:r>
      <w:r w:rsidRPr="00AC546D">
        <w:t>越大，说明方案推进组织越均衡。对于</w:t>
      </w:r>
      <w:r w:rsidRPr="00AC546D">
        <w:rPr>
          <w:position w:val="-12"/>
        </w:rPr>
        <w:object w:dxaOrig="680" w:dyaOrig="360" w14:anchorId="287A23B1">
          <v:shape id="_x0000_i1100" type="#_x0000_t75" style="width:34.2pt;height:18pt" o:ole="">
            <v:imagedata r:id="rId163" o:title=""/>
          </v:shape>
          <o:OLEObject Type="Embed" ProgID="Equation.DSMT4" ShapeID="_x0000_i1100" DrawAspect="Content" ObjectID="_1839937732" r:id="rId164"/>
        </w:object>
      </w:r>
      <w:r w:rsidRPr="00AC546D">
        <w:t>和</w:t>
      </w:r>
      <w:r w:rsidRPr="00AC546D">
        <w:rPr>
          <w:position w:val="-12"/>
        </w:rPr>
        <w:object w:dxaOrig="580" w:dyaOrig="360" w14:anchorId="4AB296A3">
          <v:shape id="_x0000_i1101" type="#_x0000_t75" style="width:28.8pt;height:18pt" o:ole="">
            <v:imagedata r:id="rId165" o:title=""/>
          </v:shape>
          <o:OLEObject Type="Embed" ProgID="Equation.DSMT4" ShapeID="_x0000_i1101" DrawAspect="Content" ObjectID="_1839937733" r:id="rId166"/>
        </w:object>
      </w:r>
      <w:r w:rsidRPr="00AC546D">
        <w:t>，可根据工作面数量偏离推荐范围的程度及短推进工作面比例进行归一化计算，取值范围均为</w:t>
      </w:r>
      <w:r w:rsidRPr="00AC546D">
        <w:t>0</w:t>
      </w:r>
      <w:r w:rsidRPr="00AC546D">
        <w:t>～</w:t>
      </w:r>
      <w:r w:rsidRPr="00AC546D">
        <w:t>1</w:t>
      </w:r>
      <w:r w:rsidRPr="00AC546D">
        <w:t>。</w:t>
      </w:r>
    </w:p>
    <w:p w14:paraId="77070BC0" w14:textId="77777777" w:rsidR="00AC546D" w:rsidRPr="00AC546D" w:rsidRDefault="00AC546D" w:rsidP="00AC546D">
      <w:pPr>
        <w:pStyle w:val="130"/>
      </w:pPr>
      <w:r w:rsidRPr="00AC546D">
        <w:t xml:space="preserve">2.3.2 </w:t>
      </w:r>
      <w:r w:rsidRPr="00AC546D">
        <w:t>资源回收评价</w:t>
      </w:r>
    </w:p>
    <w:p w14:paraId="645ACB2B" w14:textId="15126107" w:rsidR="00AC546D" w:rsidRPr="00AC546D" w:rsidRDefault="00365DBA" w:rsidP="00AC546D">
      <w:pPr>
        <w:pStyle w:val="100"/>
        <w:ind w:firstLine="420"/>
      </w:pPr>
      <w:r w:rsidRPr="00365DBA">
        <w:t>资源回收评价用于反映候选方案对工作面可布置区域和煤厚资源的利用程度。仅用面积覆盖率评价方案并不充分，因为不同区域煤层厚度存在差异，覆盖同样面积并不一定代表获得相同资源量。因此，本文将煤层厚度分布纳入资源回收评价</w:t>
      </w:r>
      <w:r w:rsidR="00AC546D" w:rsidRPr="00AC546D">
        <w:t>。</w:t>
      </w:r>
    </w:p>
    <w:p w14:paraId="0A312BBB" w14:textId="77777777" w:rsidR="00AC546D" w:rsidRPr="00AC546D" w:rsidRDefault="00AC546D" w:rsidP="00AC546D">
      <w:pPr>
        <w:pStyle w:val="100"/>
        <w:ind w:firstLine="420"/>
      </w:pPr>
      <w:r w:rsidRPr="00AC546D">
        <w:t>资源回收评分可表示为：</w:t>
      </w:r>
    </w:p>
    <w:p w14:paraId="4D34E72A" w14:textId="5F4D010B" w:rsidR="00AC546D" w:rsidRPr="00AC546D" w:rsidRDefault="00AC546D" w:rsidP="00AC546D">
      <w:pPr>
        <w:pStyle w:val="MTDisplayEquation"/>
        <w:ind w:firstLine="480"/>
      </w:pPr>
      <w:r>
        <w:tab/>
      </w:r>
      <w:r w:rsidRPr="00AC546D">
        <w:rPr>
          <w:position w:val="-12"/>
        </w:rPr>
        <w:object w:dxaOrig="2900" w:dyaOrig="360" w14:anchorId="2972B518">
          <v:shape id="_x0000_i1102" type="#_x0000_t75" style="width:145.2pt;height:18pt" o:ole="">
            <v:imagedata r:id="rId167" o:title=""/>
          </v:shape>
          <o:OLEObject Type="Embed" ProgID="Equation.DSMT4" ShapeID="_x0000_i1102" DrawAspect="Content" ObjectID="_1839937734" r:id="rId1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18</w:instrText>
        </w:r>
      </w:fldSimple>
      <w:r>
        <w:instrText>)</w:instrText>
      </w:r>
      <w:r>
        <w:fldChar w:fldCharType="end"/>
      </w:r>
    </w:p>
    <w:p w14:paraId="28FC2960" w14:textId="413A07CE" w:rsidR="00AC546D" w:rsidRPr="00AC546D" w:rsidRDefault="00AC546D" w:rsidP="00AC546D">
      <w:pPr>
        <w:pStyle w:val="100"/>
        <w:ind w:firstLine="420"/>
      </w:pPr>
      <w:r w:rsidRPr="00AC546D">
        <w:t>式中：</w:t>
      </w:r>
      <w:r w:rsidRPr="00AC546D">
        <w:rPr>
          <w:position w:val="-12"/>
        </w:rPr>
        <w:object w:dxaOrig="260" w:dyaOrig="360" w14:anchorId="71AF3936">
          <v:shape id="_x0000_i1103" type="#_x0000_t75" style="width:13.2pt;height:18pt" o:ole="">
            <v:imagedata r:id="rId169" o:title=""/>
          </v:shape>
          <o:OLEObject Type="Embed" ProgID="Equation.DSMT4" ShapeID="_x0000_i1103" DrawAspect="Content" ObjectID="_1839937735" r:id="rId170"/>
        </w:object>
      </w:r>
      <w:r w:rsidRPr="00AC546D">
        <w:t>为方案</w:t>
      </w:r>
      <w:r w:rsidRPr="00AC546D">
        <w:rPr>
          <w:position w:val="-12"/>
        </w:rPr>
        <w:object w:dxaOrig="240" w:dyaOrig="360" w14:anchorId="0E27BABA">
          <v:shape id="_x0000_i1104" type="#_x0000_t75" style="width:12pt;height:18pt" o:ole="">
            <v:imagedata r:id="rId171" o:title=""/>
          </v:shape>
          <o:OLEObject Type="Embed" ProgID="Equation.DSMT4" ShapeID="_x0000_i1104" DrawAspect="Content" ObjectID="_1839937736" r:id="rId172"/>
        </w:object>
      </w:r>
      <w:r w:rsidRPr="00AC546D">
        <w:t>的资源回收评分；</w:t>
      </w:r>
      <w:r w:rsidRPr="00AC546D">
        <w:rPr>
          <w:position w:val="-12"/>
        </w:rPr>
        <w:object w:dxaOrig="420" w:dyaOrig="360" w14:anchorId="279F0D4A">
          <v:shape id="_x0000_i1105" type="#_x0000_t75" style="width:21pt;height:18pt" o:ole="">
            <v:imagedata r:id="rId173" o:title=""/>
          </v:shape>
          <o:OLEObject Type="Embed" ProgID="Equation.DSMT4" ShapeID="_x0000_i1105" DrawAspect="Content" ObjectID="_1839937737" r:id="rId174"/>
        </w:object>
      </w:r>
      <w:r w:rsidRPr="00AC546D">
        <w:t>为煤层厚度场覆盖贡献；</w:t>
      </w:r>
      <w:r w:rsidRPr="00AC546D">
        <w:rPr>
          <w:position w:val="-12"/>
        </w:rPr>
        <w:object w:dxaOrig="580" w:dyaOrig="360" w14:anchorId="4DCADCE4">
          <v:shape id="_x0000_i1106" type="#_x0000_t75" style="width:28.8pt;height:18pt" o:ole="">
            <v:imagedata r:id="rId175" o:title=""/>
          </v:shape>
          <o:OLEObject Type="Embed" ProgID="Equation.DSMT4" ShapeID="_x0000_i1106" DrawAspect="Content" ObjectID="_1839937738" r:id="rId176"/>
        </w:object>
      </w:r>
      <w:r w:rsidRPr="00AC546D">
        <w:t>为有效覆盖率；</w:t>
      </w:r>
      <w:r w:rsidRPr="00AC546D">
        <w:rPr>
          <w:position w:val="-12"/>
        </w:rPr>
        <w:object w:dxaOrig="600" w:dyaOrig="360" w14:anchorId="6CA791B1">
          <v:shape id="_x0000_i1107" type="#_x0000_t75" style="width:30pt;height:18pt" o:ole="">
            <v:imagedata r:id="rId177" o:title=""/>
          </v:shape>
          <o:OLEObject Type="Embed" ProgID="Equation.DSMT4" ShapeID="_x0000_i1107" DrawAspect="Content" ObjectID="_1839937739" r:id="rId178"/>
        </w:object>
      </w:r>
      <w:r w:rsidRPr="00AC546D">
        <w:t>为工程组织辅助指标；</w:t>
      </w:r>
      <w:r w:rsidRPr="00AC546D">
        <w:rPr>
          <w:position w:val="-12"/>
        </w:rPr>
        <w:object w:dxaOrig="220" w:dyaOrig="360" w14:anchorId="7FDAB7C8">
          <v:shape id="_x0000_i1108" type="#_x0000_t75" style="width:10.8pt;height:18pt" o:ole="">
            <v:imagedata r:id="rId179" o:title=""/>
          </v:shape>
          <o:OLEObject Type="Embed" ProgID="Equation.DSMT4" ShapeID="_x0000_i1108" DrawAspect="Content" ObjectID="_1839937740" r:id="rId180"/>
        </w:object>
      </w:r>
      <w:r w:rsidRPr="00AC546D">
        <w:t>、</w:t>
      </w:r>
      <w:r w:rsidRPr="00AC546D">
        <w:rPr>
          <w:position w:val="-12"/>
        </w:rPr>
        <w:object w:dxaOrig="240" w:dyaOrig="360" w14:anchorId="6E13DCA3">
          <v:shape id="_x0000_i1109" type="#_x0000_t75" style="width:12pt;height:18pt" o:ole="">
            <v:imagedata r:id="rId181" o:title=""/>
          </v:shape>
          <o:OLEObject Type="Embed" ProgID="Equation.DSMT4" ShapeID="_x0000_i1109" DrawAspect="Content" ObjectID="_1839937741" r:id="rId182"/>
        </w:object>
      </w:r>
      <w:r w:rsidRPr="00AC546D">
        <w:t>、</w:t>
      </w:r>
      <w:r w:rsidRPr="00AC546D">
        <w:rPr>
          <w:position w:val="-12"/>
        </w:rPr>
        <w:object w:dxaOrig="240" w:dyaOrig="360" w14:anchorId="2CB5C816">
          <v:shape id="_x0000_i1110" type="#_x0000_t75" style="width:12pt;height:18pt" o:ole="">
            <v:imagedata r:id="rId183" o:title=""/>
          </v:shape>
          <o:OLEObject Type="Embed" ProgID="Equation.DSMT4" ShapeID="_x0000_i1110" DrawAspect="Content" ObjectID="_1839937742" r:id="rId184"/>
        </w:object>
      </w:r>
      <w:r w:rsidRPr="00AC546D">
        <w:t>为资源回收分项权重，且满足</w:t>
      </w:r>
      <w:r w:rsidRPr="00AC546D">
        <w:rPr>
          <w:position w:val="-12"/>
        </w:rPr>
        <w:object w:dxaOrig="1380" w:dyaOrig="360" w14:anchorId="26C0BF14">
          <v:shape id="_x0000_i1111" type="#_x0000_t75" style="width:69pt;height:18pt" o:ole="">
            <v:imagedata r:id="rId185" o:title=""/>
          </v:shape>
          <o:OLEObject Type="Embed" ProgID="Equation.DSMT4" ShapeID="_x0000_i1111" DrawAspect="Content" ObjectID="_1839937743" r:id="rId186"/>
        </w:object>
      </w:r>
      <w:r w:rsidRPr="00AC546D">
        <w:t>。</w:t>
      </w:r>
    </w:p>
    <w:p w14:paraId="6CCC1D84" w14:textId="77777777" w:rsidR="00AC546D" w:rsidRDefault="00AC546D" w:rsidP="00AC546D">
      <w:pPr>
        <w:pStyle w:val="100"/>
        <w:ind w:firstLine="420"/>
      </w:pPr>
      <w:r w:rsidRPr="00AC546D">
        <w:t>煤层厚度场覆盖贡献可表示为：</w:t>
      </w:r>
    </w:p>
    <w:p w14:paraId="3D1900C5" w14:textId="72E71BD2" w:rsidR="00AC546D" w:rsidRPr="00AC546D" w:rsidRDefault="00AC546D" w:rsidP="00AC546D">
      <w:pPr>
        <w:pStyle w:val="MTDisplayEquation"/>
        <w:ind w:firstLine="480"/>
      </w:pPr>
      <w:r>
        <w:tab/>
      </w:r>
      <w:r w:rsidRPr="00AC546D">
        <w:rPr>
          <w:position w:val="-40"/>
        </w:rPr>
        <w:object w:dxaOrig="1800" w:dyaOrig="920" w14:anchorId="41E1AF2C">
          <v:shape id="_x0000_i1112" type="#_x0000_t75" style="width:90pt;height:46.2pt" o:ole="">
            <v:imagedata r:id="rId187" o:title=""/>
          </v:shape>
          <o:OLEObject Type="Embed" ProgID="Equation.DSMT4" ShapeID="_x0000_i1112" DrawAspect="Content" ObjectID="_1839937744" r:id="rId1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19</w:instrText>
        </w:r>
      </w:fldSimple>
      <w:r>
        <w:instrText>)</w:instrText>
      </w:r>
      <w:r>
        <w:fldChar w:fldCharType="end"/>
      </w:r>
    </w:p>
    <w:p w14:paraId="533724F3" w14:textId="77777777" w:rsidR="00AC546D" w:rsidRPr="00AC546D" w:rsidRDefault="00AC546D" w:rsidP="00AC546D">
      <w:pPr>
        <w:pStyle w:val="130"/>
      </w:pPr>
      <w:r w:rsidRPr="00AC546D">
        <w:t xml:space="preserve">2.3.3 </w:t>
      </w:r>
      <w:r w:rsidRPr="00AC546D">
        <w:t>扰动控制评价</w:t>
      </w:r>
    </w:p>
    <w:p w14:paraId="059EEAEE" w14:textId="77777777" w:rsidR="00365DBA" w:rsidRDefault="00365DBA" w:rsidP="00AC546D">
      <w:pPr>
        <w:pStyle w:val="100"/>
        <w:ind w:firstLine="420"/>
      </w:pPr>
      <w:r w:rsidRPr="00365DBA">
        <w:t>扰动控制评价用于反映候选方案与扰动较强区域的关系。单独采用某一固定阈值下的超阈值面积比例，容易受阈值选取影响；而仅看</w:t>
      </w:r>
      <w:r w:rsidRPr="00365DBA">
        <w:t>ODI</w:t>
      </w:r>
      <w:r w:rsidRPr="00365DBA">
        <w:t>均值，又可能忽略局部高值区域。因此，本文同时采用</w:t>
      </w:r>
      <w:r w:rsidRPr="00365DBA">
        <w:t>ODI</w:t>
      </w:r>
      <w:r w:rsidRPr="00365DBA">
        <w:t>均值、</w:t>
      </w:r>
      <w:r w:rsidRPr="00365DBA">
        <w:t>P90</w:t>
      </w:r>
      <w:r w:rsidRPr="00365DBA">
        <w:t>和超阈值比例描述方案扰动水平</w:t>
      </w:r>
      <w:r w:rsidR="00AC546D" w:rsidRPr="00AC546D">
        <w:t>。</w:t>
      </w:r>
    </w:p>
    <w:p w14:paraId="0591593F" w14:textId="51AA1971" w:rsidR="00AC546D" w:rsidRPr="00AC546D" w:rsidRDefault="00AC546D" w:rsidP="00AC546D">
      <w:pPr>
        <w:pStyle w:val="100"/>
        <w:ind w:firstLine="420"/>
      </w:pPr>
      <w:r w:rsidRPr="00AC546D">
        <w:t>设候选方案</w:t>
      </w:r>
      <w:r w:rsidRPr="00AC546D">
        <w:rPr>
          <w:position w:val="-12"/>
        </w:rPr>
        <w:object w:dxaOrig="240" w:dyaOrig="360" w14:anchorId="6A365FDE">
          <v:shape id="_x0000_i1113" type="#_x0000_t75" style="width:12pt;height:18pt" o:ole="">
            <v:imagedata r:id="rId189" o:title=""/>
          </v:shape>
          <o:OLEObject Type="Embed" ProgID="Equation.DSMT4" ShapeID="_x0000_i1113" DrawAspect="Content" ObjectID="_1839937745" r:id="rId190"/>
        </w:object>
      </w:r>
      <w:r w:rsidRPr="00AC546D">
        <w:t>覆盖区域内共有</w:t>
      </w:r>
      <w:r w:rsidRPr="00AC546D">
        <w:rPr>
          <w:position w:val="-12"/>
        </w:rPr>
        <w:object w:dxaOrig="340" w:dyaOrig="360" w14:anchorId="5CFBF5D3">
          <v:shape id="_x0000_i1114" type="#_x0000_t75" style="width:16.8pt;height:18pt" o:ole="">
            <v:imagedata r:id="rId191" o:title=""/>
          </v:shape>
          <o:OLEObject Type="Embed" ProgID="Equation.DSMT4" ShapeID="_x0000_i1114" DrawAspect="Content" ObjectID="_1839937746" r:id="rId192"/>
        </w:object>
      </w:r>
      <w:r w:rsidRPr="00AC546D">
        <w:t>个网格，第</w:t>
      </w:r>
      <w:r w:rsidRPr="00AC546D">
        <w:rPr>
          <w:position w:val="-10"/>
        </w:rPr>
        <w:object w:dxaOrig="220" w:dyaOrig="260" w14:anchorId="7B6601C3">
          <v:shape id="_x0000_i1115" type="#_x0000_t75" style="width:10.8pt;height:13.2pt" o:ole="">
            <v:imagedata r:id="rId193" o:title=""/>
          </v:shape>
          <o:OLEObject Type="Embed" ProgID="Equation.DSMT4" ShapeID="_x0000_i1115" DrawAspect="Content" ObjectID="_1839937747" r:id="rId194"/>
        </w:object>
      </w:r>
      <w:r w:rsidRPr="00AC546D">
        <w:t>个网格的扰动值为</w:t>
      </w:r>
      <w:r w:rsidRPr="00AC546D">
        <w:rPr>
          <w:position w:val="-14"/>
        </w:rPr>
        <w:object w:dxaOrig="600" w:dyaOrig="380" w14:anchorId="7B335449">
          <v:shape id="_x0000_i1116" type="#_x0000_t75" style="width:30pt;height:19.2pt" o:ole="">
            <v:imagedata r:id="rId195" o:title=""/>
          </v:shape>
          <o:OLEObject Type="Embed" ProgID="Equation.DSMT4" ShapeID="_x0000_i1116" DrawAspect="Content" ObjectID="_1839937748" r:id="rId196"/>
        </w:object>
      </w:r>
      <w:r w:rsidRPr="00AC546D">
        <w:t>，则方案</w:t>
      </w:r>
      <w:r w:rsidRPr="00AC546D">
        <w:t>ODI</w:t>
      </w:r>
      <w:r w:rsidRPr="00AC546D">
        <w:t>均值为：</w:t>
      </w:r>
    </w:p>
    <w:p w14:paraId="0CFE5D19" w14:textId="41EFF36F" w:rsidR="00AC546D" w:rsidRPr="00AC546D" w:rsidRDefault="00AC546D" w:rsidP="00AC546D">
      <w:pPr>
        <w:pStyle w:val="MTDisplayEquation"/>
        <w:ind w:firstLine="480"/>
      </w:pPr>
      <w:r>
        <w:lastRenderedPageBreak/>
        <w:tab/>
      </w:r>
      <w:r w:rsidRPr="00AC546D">
        <w:rPr>
          <w:position w:val="-32"/>
        </w:rPr>
        <w:object w:dxaOrig="1960" w:dyaOrig="740" w14:anchorId="5DA770DD">
          <v:shape id="_x0000_i1117" type="#_x0000_t75" style="width:97.8pt;height:37.2pt" o:ole="">
            <v:imagedata r:id="rId197" o:title=""/>
          </v:shape>
          <o:OLEObject Type="Embed" ProgID="Equation.DSMT4" ShapeID="_x0000_i1117" DrawAspect="Content" ObjectID="_1839937749"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20</w:instrText>
        </w:r>
      </w:fldSimple>
      <w:r>
        <w:instrText>)</w:instrText>
      </w:r>
      <w:r>
        <w:fldChar w:fldCharType="end"/>
      </w:r>
    </w:p>
    <w:p w14:paraId="046AE342" w14:textId="5C6029FD" w:rsidR="00AC546D" w:rsidRDefault="00AC546D" w:rsidP="00067EEE">
      <w:pPr>
        <w:pStyle w:val="100"/>
        <w:ind w:firstLine="420"/>
      </w:pPr>
      <w:r w:rsidRPr="00AC546D">
        <w:t>P90</w:t>
      </w:r>
      <w:r w:rsidRPr="00AC546D">
        <w:t>表示方案覆盖区域内</w:t>
      </w:r>
      <w:r w:rsidRPr="00AC546D">
        <w:t>ODI</w:t>
      </w:r>
      <w:r w:rsidRPr="00AC546D">
        <w:t>值的</w:t>
      </w:r>
      <w:r w:rsidRPr="00AC546D">
        <w:t>90%</w:t>
      </w:r>
      <w:r w:rsidRPr="00AC546D">
        <w:t>分位数，记为：</w:t>
      </w:r>
    </w:p>
    <w:p w14:paraId="0E7AEBDF" w14:textId="26B43837" w:rsidR="00AC546D" w:rsidRDefault="00AC546D" w:rsidP="00AC546D">
      <w:pPr>
        <w:pStyle w:val="MTDisplayEquation"/>
        <w:ind w:firstLine="480"/>
      </w:pPr>
      <w:r>
        <w:tab/>
      </w:r>
      <w:r w:rsidRPr="00AC546D">
        <w:rPr>
          <w:position w:val="-14"/>
        </w:rPr>
        <w:object w:dxaOrig="1920" w:dyaOrig="380" w14:anchorId="0B621CF6">
          <v:shape id="_x0000_i1118" type="#_x0000_t75" style="width:96pt;height:19.2pt" o:ole="">
            <v:imagedata r:id="rId199" o:title=""/>
          </v:shape>
          <o:OLEObject Type="Embed" ProgID="Equation.DSMT4" ShapeID="_x0000_i1118" DrawAspect="Content" ObjectID="_1839937750" r:id="rId2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8A2F6D">
          <w:rPr>
            <w:noProof/>
          </w:rPr>
          <w:instrText>21</w:instrText>
        </w:r>
      </w:fldSimple>
      <w:r>
        <w:instrText>)</w:instrText>
      </w:r>
      <w:r>
        <w:fldChar w:fldCharType="end"/>
      </w:r>
    </w:p>
    <w:p w14:paraId="094DE513" w14:textId="6E8B28FC" w:rsidR="00AC546D" w:rsidRPr="00AC546D" w:rsidRDefault="00AC546D" w:rsidP="00AC546D">
      <w:pPr>
        <w:pStyle w:val="100"/>
        <w:ind w:firstLine="420"/>
      </w:pPr>
      <w:r w:rsidRPr="00AC546D">
        <w:t>式中：</w:t>
      </w:r>
      <w:r w:rsidRPr="00AC546D">
        <w:rPr>
          <w:position w:val="-12"/>
        </w:rPr>
        <w:object w:dxaOrig="300" w:dyaOrig="360" w14:anchorId="257F68AF">
          <v:shape id="_x0000_i1119" type="#_x0000_t75" style="width:15pt;height:18pt" o:ole="">
            <v:imagedata r:id="rId201" o:title=""/>
          </v:shape>
          <o:OLEObject Type="Embed" ProgID="Equation.DSMT4" ShapeID="_x0000_i1119" DrawAspect="Content" ObjectID="_1839937751" r:id="rId202"/>
        </w:object>
      </w:r>
      <w:r w:rsidRPr="00AC546D">
        <w:t>为方案</w:t>
      </w:r>
      <w:r w:rsidRPr="00AC546D">
        <w:rPr>
          <w:position w:val="-12"/>
        </w:rPr>
        <w:object w:dxaOrig="240" w:dyaOrig="360" w14:anchorId="5E1C45EB">
          <v:shape id="_x0000_i1120" type="#_x0000_t75" style="width:12pt;height:18pt" o:ole="">
            <v:imagedata r:id="rId203" o:title=""/>
          </v:shape>
          <o:OLEObject Type="Embed" ProgID="Equation.DSMT4" ShapeID="_x0000_i1120" DrawAspect="Content" ObjectID="_1839937752" r:id="rId204"/>
        </w:object>
      </w:r>
      <w:r w:rsidRPr="00AC546D">
        <w:t>的扰动风险综合得分；</w:t>
      </w:r>
      <w:r w:rsidRPr="00AC546D">
        <w:rPr>
          <w:position w:val="-12"/>
        </w:rPr>
        <w:object w:dxaOrig="220" w:dyaOrig="360" w14:anchorId="223CD212">
          <v:shape id="_x0000_i1121" type="#_x0000_t75" style="width:10.8pt;height:18pt" o:ole="">
            <v:imagedata r:id="rId205" o:title=""/>
          </v:shape>
          <o:OLEObject Type="Embed" ProgID="Equation.DSMT4" ShapeID="_x0000_i1121" DrawAspect="Content" ObjectID="_1839937753" r:id="rId206"/>
        </w:object>
      </w:r>
      <w:r w:rsidRPr="00AC546D">
        <w:t>、</w:t>
      </w:r>
      <w:r w:rsidRPr="00AC546D">
        <w:rPr>
          <w:position w:val="-12"/>
        </w:rPr>
        <w:object w:dxaOrig="240" w:dyaOrig="360" w14:anchorId="56E82C9E">
          <v:shape id="_x0000_i1122" type="#_x0000_t75" style="width:12pt;height:18pt" o:ole="">
            <v:imagedata r:id="rId207" o:title=""/>
          </v:shape>
          <o:OLEObject Type="Embed" ProgID="Equation.DSMT4" ShapeID="_x0000_i1122" DrawAspect="Content" ObjectID="_1839937754" r:id="rId208"/>
        </w:object>
      </w:r>
      <w:r w:rsidRPr="00AC546D">
        <w:t>、</w:t>
      </w:r>
      <w:r w:rsidRPr="00AC546D">
        <w:rPr>
          <w:position w:val="-12"/>
        </w:rPr>
        <w:object w:dxaOrig="240" w:dyaOrig="360" w14:anchorId="5B8A4B2A">
          <v:shape id="_x0000_i1123" type="#_x0000_t75" style="width:12pt;height:18pt" o:ole="">
            <v:imagedata r:id="rId209" o:title=""/>
          </v:shape>
          <o:OLEObject Type="Embed" ProgID="Equation.DSMT4" ShapeID="_x0000_i1123" DrawAspect="Content" ObjectID="_1839937755" r:id="rId210"/>
        </w:object>
      </w:r>
      <w:r w:rsidRPr="00AC546D">
        <w:t>分别为</w:t>
      </w:r>
      <w:r w:rsidRPr="00AC546D">
        <w:t>ODI</w:t>
      </w:r>
      <w:r w:rsidRPr="00AC546D">
        <w:t>均值、</w:t>
      </w:r>
      <w:r w:rsidRPr="00AC546D">
        <w:t>P90</w:t>
      </w:r>
      <w:r w:rsidRPr="00AC546D">
        <w:t>和超阈值比例的权重，且满足</w:t>
      </w:r>
      <w:r w:rsidRPr="00AC546D">
        <w:rPr>
          <w:position w:val="-12"/>
        </w:rPr>
        <w:object w:dxaOrig="1380" w:dyaOrig="360" w14:anchorId="135C6EE4">
          <v:shape id="_x0000_i1124" type="#_x0000_t75" style="width:69pt;height:18pt" o:ole="">
            <v:imagedata r:id="rId211" o:title=""/>
          </v:shape>
          <o:OLEObject Type="Embed" ProgID="Equation.DSMT4" ShapeID="_x0000_i1124" DrawAspect="Content" ObjectID="_1839937756" r:id="rId212"/>
        </w:object>
      </w:r>
      <w:r w:rsidRPr="00AC546D">
        <w:t>。该得分越低，说明方案扰动风险越小。</w:t>
      </w:r>
    </w:p>
    <w:p w14:paraId="0C59ACE6" w14:textId="1672DF23" w:rsidR="00AC546D" w:rsidRPr="00AC546D" w:rsidRDefault="00365DBA" w:rsidP="00AC546D">
      <w:pPr>
        <w:pStyle w:val="100"/>
        <w:ind w:firstLine="420"/>
      </w:pPr>
      <w:r w:rsidRPr="00365DBA">
        <w:t>需要说明的是，低扰动方案不宜仅依据</w:t>
      </w:r>
      <w:r w:rsidRPr="00365DBA">
        <w:rPr>
          <w:position w:val="-12"/>
        </w:rPr>
        <w:object w:dxaOrig="440" w:dyaOrig="360" w14:anchorId="54491B18">
          <v:shape id="_x0000_i1125" type="#_x0000_t75" style="width:22.2pt;height:18pt" o:ole="">
            <v:imagedata r:id="rId213" o:title=""/>
          </v:shape>
          <o:OLEObject Type="Embed" ProgID="Equation.DSMT4" ShapeID="_x0000_i1125" DrawAspect="Content" ObjectID="_1839937757" r:id="rId214"/>
        </w:object>
      </w:r>
      <w:r w:rsidRPr="00365DBA">
        <w:t>判定。超阈值比例可以反映方案与中高扰动区域的重叠程度，但对阈值选取较敏感；</w:t>
      </w:r>
      <w:r w:rsidRPr="00365DBA">
        <w:t>ODI</w:t>
      </w:r>
      <w:r w:rsidRPr="00365DBA">
        <w:t>均值能够反映方案整体扰动水平；</w:t>
      </w:r>
      <w:r w:rsidRPr="00365DBA">
        <w:t>P90</w:t>
      </w:r>
      <w:r w:rsidRPr="00365DBA">
        <w:t>则反映局部高值扰动对方案的影响。因此，本文采用三者联合判断低扰动候选方案</w:t>
      </w:r>
      <w:r w:rsidR="00AC546D" w:rsidRPr="00AC546D">
        <w:t>。</w:t>
      </w:r>
    </w:p>
    <w:p w14:paraId="6ECD3627" w14:textId="6C6C62DC" w:rsidR="008A2F6D" w:rsidRPr="008A2F6D" w:rsidRDefault="008A2F6D" w:rsidP="008A2F6D">
      <w:pPr>
        <w:pStyle w:val="100"/>
        <w:ind w:firstLine="422"/>
        <w:rPr>
          <w:b/>
          <w:bCs/>
        </w:rPr>
      </w:pPr>
      <w:r w:rsidRPr="008A2F6D">
        <w:rPr>
          <w:b/>
          <w:bCs/>
        </w:rPr>
        <w:t xml:space="preserve">2.3.4 </w:t>
      </w:r>
      <w:r w:rsidR="00365DBA" w:rsidRPr="00365DBA">
        <w:rPr>
          <w:b/>
          <w:bCs/>
        </w:rPr>
        <w:t>方案综合评价与优选</w:t>
      </w:r>
    </w:p>
    <w:p w14:paraId="51A378C4" w14:textId="1C82CF80" w:rsidR="008A2F6D" w:rsidRPr="008A2F6D" w:rsidRDefault="00365DBA" w:rsidP="008A2F6D">
      <w:pPr>
        <w:pStyle w:val="100"/>
        <w:ind w:firstLine="420"/>
      </w:pPr>
      <w:r w:rsidRPr="00365DBA">
        <w:t>在工程效率、资源回收和扰动控制评价基础上，可进一步对候选方案进行综合评价</w:t>
      </w:r>
      <w:r w:rsidR="008A2F6D" w:rsidRPr="008A2F6D">
        <w:t>：</w:t>
      </w:r>
    </w:p>
    <w:p w14:paraId="08C73155" w14:textId="2C0CF7E0" w:rsidR="008A2F6D" w:rsidRPr="008A2F6D" w:rsidRDefault="008A2F6D" w:rsidP="008A2F6D">
      <w:pPr>
        <w:pStyle w:val="MTDisplayEquation"/>
        <w:ind w:firstLine="480"/>
      </w:pPr>
      <w:r>
        <w:tab/>
      </w:r>
      <w:r w:rsidRPr="008A2F6D">
        <w:rPr>
          <w:position w:val="-12"/>
        </w:rPr>
        <w:object w:dxaOrig="2180" w:dyaOrig="360" w14:anchorId="339A6BFF">
          <v:shape id="_x0000_i1126" type="#_x0000_t75" style="width:109.2pt;height:18pt" o:ole="">
            <v:imagedata r:id="rId215" o:title=""/>
          </v:shape>
          <o:OLEObject Type="Embed" ProgID="Equation.DSMT4" ShapeID="_x0000_i1126" DrawAspect="Content" ObjectID="_1839937758" r:id="rId2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22</w:instrText>
        </w:r>
      </w:fldSimple>
      <w:r>
        <w:instrText>)</w:instrText>
      </w:r>
      <w:r>
        <w:fldChar w:fldCharType="end"/>
      </w:r>
    </w:p>
    <w:p w14:paraId="1241BCD7" w14:textId="4404179A" w:rsidR="008A2F6D" w:rsidRPr="008A2F6D" w:rsidRDefault="008A2F6D" w:rsidP="008A2F6D">
      <w:pPr>
        <w:pStyle w:val="100"/>
        <w:ind w:firstLine="420"/>
      </w:pPr>
      <w:r w:rsidRPr="008A2F6D">
        <w:t>式中：</w:t>
      </w:r>
      <w:r w:rsidRPr="008A2F6D">
        <w:rPr>
          <w:position w:val="-12"/>
        </w:rPr>
        <w:object w:dxaOrig="260" w:dyaOrig="360" w14:anchorId="4456B7AB">
          <v:shape id="_x0000_i1127" type="#_x0000_t75" style="width:13.2pt;height:18pt" o:ole="">
            <v:imagedata r:id="rId217" o:title=""/>
          </v:shape>
          <o:OLEObject Type="Embed" ProgID="Equation.DSMT4" ShapeID="_x0000_i1127" DrawAspect="Content" ObjectID="_1839937759" r:id="rId218"/>
        </w:object>
      </w:r>
      <w:r w:rsidRPr="008A2F6D">
        <w:t>为候选方案综合评价值；</w:t>
      </w:r>
      <w:r w:rsidRPr="008A2F6D">
        <w:rPr>
          <w:position w:val="-12"/>
        </w:rPr>
        <w:object w:dxaOrig="279" w:dyaOrig="360" w14:anchorId="7F8C4314">
          <v:shape id="_x0000_i1128" type="#_x0000_t75" style="width:13.8pt;height:18pt" o:ole="">
            <v:imagedata r:id="rId219" o:title=""/>
          </v:shape>
          <o:OLEObject Type="Embed" ProgID="Equation.DSMT4" ShapeID="_x0000_i1128" DrawAspect="Content" ObjectID="_1839937760" r:id="rId220"/>
        </w:object>
      </w:r>
      <w:r w:rsidRPr="008A2F6D">
        <w:t>为工程效率评分；</w:t>
      </w:r>
      <w:r w:rsidRPr="008A2F6D">
        <w:rPr>
          <w:position w:val="-12"/>
        </w:rPr>
        <w:object w:dxaOrig="260" w:dyaOrig="360" w14:anchorId="1A58CD84">
          <v:shape id="_x0000_i1129" type="#_x0000_t75" style="width:13.2pt;height:18pt" o:ole="">
            <v:imagedata r:id="rId221" o:title=""/>
          </v:shape>
          <o:OLEObject Type="Embed" ProgID="Equation.DSMT4" ShapeID="_x0000_i1129" DrawAspect="Content" ObjectID="_1839937761" r:id="rId222"/>
        </w:object>
      </w:r>
      <w:r w:rsidRPr="008A2F6D">
        <w:t>为资源回收评分；</w:t>
      </w:r>
      <w:r w:rsidRPr="008A2F6D">
        <w:rPr>
          <w:position w:val="-12"/>
        </w:rPr>
        <w:object w:dxaOrig="300" w:dyaOrig="360" w14:anchorId="28AD50F2">
          <v:shape id="_x0000_i1130" type="#_x0000_t75" style="width:15pt;height:18pt" o:ole="">
            <v:imagedata r:id="rId223" o:title=""/>
          </v:shape>
          <o:OLEObject Type="Embed" ProgID="Equation.DSMT4" ShapeID="_x0000_i1130" DrawAspect="Content" ObjectID="_1839937762" r:id="rId224"/>
        </w:object>
      </w:r>
      <w:r w:rsidRPr="008A2F6D">
        <w:t>为扰动风险综合得分；</w:t>
      </w:r>
      <w:r w:rsidRPr="008A2F6D">
        <w:rPr>
          <w:position w:val="-12"/>
        </w:rPr>
        <w:object w:dxaOrig="260" w:dyaOrig="360" w14:anchorId="33C71853">
          <v:shape id="_x0000_i1131" type="#_x0000_t75" style="width:13.2pt;height:18pt" o:ole="">
            <v:imagedata r:id="rId225" o:title=""/>
          </v:shape>
          <o:OLEObject Type="Embed" ProgID="Equation.DSMT4" ShapeID="_x0000_i1131" DrawAspect="Content" ObjectID="_1839937763" r:id="rId226"/>
        </w:object>
      </w:r>
      <w:r w:rsidRPr="008A2F6D">
        <w:t>、</w:t>
      </w:r>
      <w:r w:rsidRPr="008A2F6D">
        <w:rPr>
          <w:position w:val="-12"/>
        </w:rPr>
        <w:object w:dxaOrig="279" w:dyaOrig="360" w14:anchorId="5D8505D2">
          <v:shape id="_x0000_i1132" type="#_x0000_t75" style="width:13.8pt;height:18pt" o:ole="">
            <v:imagedata r:id="rId227" o:title=""/>
          </v:shape>
          <o:OLEObject Type="Embed" ProgID="Equation.DSMT4" ShapeID="_x0000_i1132" DrawAspect="Content" ObjectID="_1839937764" r:id="rId228"/>
        </w:object>
      </w:r>
      <w:r w:rsidRPr="008A2F6D">
        <w:t>、</w:t>
      </w:r>
      <w:r w:rsidRPr="008A2F6D">
        <w:rPr>
          <w:position w:val="-12"/>
        </w:rPr>
        <w:object w:dxaOrig="279" w:dyaOrig="360" w14:anchorId="02589401">
          <v:shape id="_x0000_i1133" type="#_x0000_t75" style="width:13.8pt;height:18pt" o:ole="">
            <v:imagedata r:id="rId229" o:title=""/>
          </v:shape>
          <o:OLEObject Type="Embed" ProgID="Equation.DSMT4" ShapeID="_x0000_i1133" DrawAspect="Content" ObjectID="_1839937765" r:id="rId230"/>
        </w:object>
      </w:r>
      <w:r w:rsidRPr="008A2F6D">
        <w:t>分别为工程效率、资源回收和扰动控制权重。由于扰动风险越低越有利，因此在综合评价中以负向项表示。</w:t>
      </w:r>
    </w:p>
    <w:p w14:paraId="7EF633D5" w14:textId="23D9A30C" w:rsidR="008A2F6D" w:rsidRPr="008A2F6D" w:rsidRDefault="00365DBA" w:rsidP="008A2F6D">
      <w:pPr>
        <w:pStyle w:val="100"/>
        <w:ind w:firstLine="420"/>
      </w:pPr>
      <w:r w:rsidRPr="00365DBA">
        <w:t>不同规划目标下，</w:t>
      </w:r>
      <w:r w:rsidRPr="00365DBA">
        <w:rPr>
          <w:position w:val="-12"/>
        </w:rPr>
        <w:object w:dxaOrig="260" w:dyaOrig="360" w14:anchorId="6DC35E78">
          <v:shape id="_x0000_i1134" type="#_x0000_t75" style="width:13.2pt;height:18pt" o:ole="">
            <v:imagedata r:id="rId231" o:title=""/>
          </v:shape>
          <o:OLEObject Type="Embed" ProgID="Equation.DSMT4" ShapeID="_x0000_i1134" DrawAspect="Content" ObjectID="_1839937766" r:id="rId232"/>
        </w:object>
      </w:r>
      <w:r w:rsidRPr="00365DBA">
        <w:t>、</w:t>
      </w:r>
      <w:r w:rsidRPr="00365DBA">
        <w:rPr>
          <w:position w:val="-12"/>
        </w:rPr>
        <w:object w:dxaOrig="279" w:dyaOrig="360" w14:anchorId="38AE7A0E">
          <v:shape id="_x0000_i1135" type="#_x0000_t75" style="width:13.8pt;height:18pt" o:ole="">
            <v:imagedata r:id="rId233" o:title=""/>
          </v:shape>
          <o:OLEObject Type="Embed" ProgID="Equation.DSMT4" ShapeID="_x0000_i1135" DrawAspect="Content" ObjectID="_1839937767" r:id="rId234"/>
        </w:object>
      </w:r>
      <w:r w:rsidRPr="00365DBA">
        <w:t>、</w:t>
      </w:r>
      <w:r w:rsidRPr="00365DBA">
        <w:rPr>
          <w:position w:val="-12"/>
        </w:rPr>
        <w:object w:dxaOrig="279" w:dyaOrig="360" w14:anchorId="78660042">
          <v:shape id="_x0000_i1136" type="#_x0000_t75" style="width:13.8pt;height:18pt" o:ole="">
            <v:imagedata r:id="rId235" o:title=""/>
          </v:shape>
          <o:OLEObject Type="Embed" ProgID="Equation.DSMT4" ShapeID="_x0000_i1136" DrawAspect="Content" ObjectID="_1839937768" r:id="rId236"/>
        </w:object>
      </w:r>
      <w:r w:rsidRPr="00365DBA">
        <w:t>可采用不同取值。当生产组织和采掘接续要求更突出时，可提高工程效率权重；当资源回收要求更突出时，可提高资源回收权重；当采动扰动控制要求更高时，可提高扰动控制权重。本文根据不同规划偏好输出</w:t>
      </w:r>
      <w:r w:rsidRPr="00365DBA">
        <w:t>3</w:t>
      </w:r>
      <w:r w:rsidRPr="00365DBA">
        <w:t>类代表性方案：工程效率优先方案、资源回收优先方案和低扰动候选方案。三类方案均来自同一候选方案集合，差异主要反映工作面布置在工程效率、资源回收和扰动控制之间的不同取舍</w:t>
      </w:r>
      <w:r w:rsidR="008A2F6D" w:rsidRPr="008A2F6D">
        <w:t>。</w:t>
      </w:r>
    </w:p>
    <w:p w14:paraId="27399A48" w14:textId="1386BA81" w:rsidR="00351EC4" w:rsidRPr="00DF00E8" w:rsidRDefault="00351EC4" w:rsidP="00DF00E8">
      <w:pPr>
        <w:pStyle w:val="11"/>
      </w:pPr>
      <w:r w:rsidRPr="00DF00E8">
        <w:t xml:space="preserve">3 </w:t>
      </w:r>
      <w:r w:rsidR="00365DBA" w:rsidRPr="00365DBA">
        <w:t>采动扰动约束下采区规划计算</w:t>
      </w:r>
    </w:p>
    <w:p w14:paraId="5E94BF75" w14:textId="77777777" w:rsidR="00365DBA" w:rsidRPr="00365DBA" w:rsidRDefault="00365DBA" w:rsidP="00365DBA">
      <w:pPr>
        <w:pStyle w:val="100"/>
        <w:ind w:firstLine="420"/>
      </w:pPr>
      <w:r w:rsidRPr="00365DBA">
        <w:t>第</w:t>
      </w:r>
      <w:r w:rsidRPr="00365DBA">
        <w:t>2</w:t>
      </w:r>
      <w:r w:rsidRPr="00365DBA">
        <w:t>章给出了工作面可布置区域、煤厚分布、</w:t>
      </w:r>
      <w:r w:rsidRPr="00365DBA">
        <w:t>ODI</w:t>
      </w:r>
      <w:r w:rsidRPr="00365DBA">
        <w:t>指标和方案评价方法。为了在工程应用中使用这些方法，还需要将边界、钻孔、煤柱参数、工作面参数和采动扰动评价结果组织成一套完整的计算流程。本章重点说明各类数据如何进入计算、工作面方案如何形成，以及最终成果如何用于采区规划判断。</w:t>
      </w:r>
    </w:p>
    <w:p w14:paraId="0FB3C4FF" w14:textId="77777777" w:rsidR="00365DBA" w:rsidRPr="00365DBA" w:rsidRDefault="00365DBA" w:rsidP="00365DBA">
      <w:pPr>
        <w:pStyle w:val="100"/>
        <w:ind w:firstLine="420"/>
      </w:pPr>
      <w:r w:rsidRPr="00365DBA">
        <w:t>该流程把分散的地质资料、工程约束和采动扰动评价结果连接起来，使工作面方案在形成过程中就能同时考虑资源覆盖、生产组织和扰动控制要求。</w:t>
      </w:r>
    </w:p>
    <w:p w14:paraId="209AA050" w14:textId="0F4E0448" w:rsidR="00DD780E" w:rsidRPr="00DF00E8" w:rsidRDefault="00DD780E" w:rsidP="00DF00E8">
      <w:pPr>
        <w:pStyle w:val="12"/>
      </w:pPr>
      <w:r w:rsidRPr="00DF00E8">
        <w:t xml:space="preserve">3.1 </w:t>
      </w:r>
      <w:r w:rsidR="00365DBA" w:rsidRPr="00365DBA">
        <w:t>数据准备与流程安排</w:t>
      </w:r>
    </w:p>
    <w:p w14:paraId="652D7383" w14:textId="77777777" w:rsidR="00365DBA" w:rsidRPr="00365DBA" w:rsidRDefault="00365DBA" w:rsidP="00365DBA">
      <w:pPr>
        <w:pStyle w:val="100"/>
        <w:ind w:firstLine="420"/>
      </w:pPr>
      <w:r w:rsidRPr="00365DBA">
        <w:t>采动扰动约束下的采区规划需要准备</w:t>
      </w:r>
      <w:r w:rsidRPr="00365DBA">
        <w:t>4</w:t>
      </w:r>
      <w:r w:rsidRPr="00365DBA">
        <w:t>类基础数据。第一类为采区边界和局部约束条件，包括原始采区边界、边界煤柱、区段煤柱、不可采区域和保护对象范围等，用于确定工作面可布置区域。第二类为钻孔及煤层属性资料，主要包括钻孔位置和煤层厚度，用于计算煤厚分布。第三类为工作面设计参数，包括工作面宽度、推进方向、煤柱宽度、最小推进长度和工作面数量控制范围等，用于生成候选工作面方案。第四类为采动扰动评价结果，包括地表沉陷、含水层扰动和上行开采影响等分量，用于计算</w:t>
      </w:r>
      <w:r w:rsidRPr="00365DBA">
        <w:t>ODI</w:t>
      </w:r>
      <w:r w:rsidRPr="00365DBA">
        <w:t>图层并参与方案评价。</w:t>
      </w:r>
    </w:p>
    <w:p w14:paraId="1BB55949" w14:textId="77777777" w:rsidR="00365DBA" w:rsidRPr="00365DBA" w:rsidRDefault="00365DBA" w:rsidP="00365DBA">
      <w:pPr>
        <w:pStyle w:val="100"/>
        <w:ind w:firstLine="420"/>
      </w:pPr>
      <w:r w:rsidRPr="00365DBA">
        <w:t>在正式计算前，应先完成坐标系统、评价范围和网格尺度的统一。采区边界需要检查闭合性和几何合法性，钻孔煤厚数据需要检查异常值，煤厚分布和采动扰动分量应裁剪到相同评价范围内。如果不同数据之间存在坐标偏移、边界范围不一致或网格尺度不统一，后续工作面覆盖率、煤厚资源贡献和</w:t>
      </w:r>
      <w:r w:rsidRPr="00365DBA">
        <w:t>ODI</w:t>
      </w:r>
      <w:r w:rsidRPr="00365DBA">
        <w:t>统计结果都会受到影响。</w:t>
      </w:r>
    </w:p>
    <w:p w14:paraId="172F0031" w14:textId="77777777" w:rsidR="00365DBA" w:rsidRPr="00365DBA" w:rsidRDefault="00365DBA" w:rsidP="00365DBA">
      <w:pPr>
        <w:pStyle w:val="100"/>
        <w:ind w:firstLine="420"/>
      </w:pPr>
      <w:r w:rsidRPr="00365DBA">
        <w:t>完成数据整理后，计算流程按照以下顺序展开：首先，根据采区边界和煤柱约束确定工作面可布置区域；其次，利用钻孔煤厚样点计算煤层厚度分布；然后，将地表沉陷、含水层扰动和上行开采影响转化为</w:t>
      </w:r>
      <w:r w:rsidRPr="00365DBA">
        <w:t>ODI</w:t>
      </w:r>
      <w:r w:rsidRPr="00365DBA">
        <w:t>图层；最后，在工作面可布置区域内形成候选方案，并统计各方案的覆盖率、煤厚资源贡献、</w:t>
      </w:r>
      <w:r w:rsidRPr="00365DBA">
        <w:t>ODI</w:t>
      </w:r>
      <w:r w:rsidRPr="00365DBA">
        <w:t>均值、</w:t>
      </w:r>
      <w:r w:rsidRPr="00365DBA">
        <w:t>P90</w:t>
      </w:r>
      <w:r w:rsidRPr="00365DBA">
        <w:t>和超阈值比例等指标。采动扰动约束下采区规划计算流程如图</w:t>
      </w:r>
      <w:r w:rsidRPr="00365DBA">
        <w:t>3</w:t>
      </w:r>
      <w:r w:rsidRPr="00365DBA">
        <w:t>所示。</w:t>
      </w:r>
    </w:p>
    <w:p w14:paraId="48502D9F" w14:textId="5B6F709C" w:rsidR="00210CE2" w:rsidRDefault="00210CE2" w:rsidP="001A27C0">
      <w:pPr>
        <w:pStyle w:val="100"/>
        <w:ind w:firstLineChars="95" w:firstLine="199"/>
        <w:sectPr w:rsidR="00210CE2" w:rsidSect="00A07DBF">
          <w:type w:val="continuous"/>
          <w:pgSz w:w="11906" w:h="16838"/>
          <w:pgMar w:top="1418" w:right="1134" w:bottom="1134" w:left="1134" w:header="720" w:footer="720" w:gutter="0"/>
          <w:cols w:num="2" w:space="720"/>
          <w:docGrid w:linePitch="598"/>
        </w:sectPr>
      </w:pPr>
    </w:p>
    <w:p w14:paraId="02AC35FB" w14:textId="77777777" w:rsidR="00210CE2" w:rsidRDefault="00210CE2" w:rsidP="00210CE2">
      <w:pPr>
        <w:pStyle w:val="aff"/>
      </w:pPr>
      <w:r w:rsidRPr="003767A7">
        <w:rPr>
          <w:noProof/>
        </w:rPr>
        <w:lastRenderedPageBreak/>
        <w:drawing>
          <wp:inline distT="0" distB="0" distL="0" distR="0" wp14:anchorId="3BDA9CA3" wp14:editId="4CB7F573">
            <wp:extent cx="5778000" cy="2958271"/>
            <wp:effectExtent l="0" t="0" r="0" b="0"/>
            <wp:docPr id="527564147" name="图片 1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22"/>
                    <pic:cNvPicPr>
                      <a:picLocks noChangeAspect="1" noChangeArrowheads="1"/>
                    </pic:cNvPicPr>
                  </pic:nvPicPr>
                  <pic:blipFill>
                    <a:blip r:embed="rId237" cstate="print">
                      <a:extLst>
                        <a:ext uri="{28A0092B-C50C-407E-A947-70E740481C1C}">
                          <a14:useLocalDpi xmlns:a14="http://schemas.microsoft.com/office/drawing/2010/main" val="0"/>
                        </a:ext>
                      </a:extLst>
                    </a:blip>
                    <a:srcRect/>
                    <a:stretch>
                      <a:fillRect/>
                    </a:stretch>
                  </pic:blipFill>
                  <pic:spPr bwMode="auto">
                    <a:xfrm>
                      <a:off x="0" y="0"/>
                      <a:ext cx="5778000" cy="2958271"/>
                    </a:xfrm>
                    <a:prstGeom prst="rect">
                      <a:avLst/>
                    </a:prstGeom>
                    <a:noFill/>
                    <a:ln>
                      <a:noFill/>
                    </a:ln>
                  </pic:spPr>
                </pic:pic>
              </a:graphicData>
            </a:graphic>
          </wp:inline>
        </w:drawing>
      </w:r>
    </w:p>
    <w:p w14:paraId="239F9DF3" w14:textId="0D37DA5C" w:rsidR="00210CE2" w:rsidRDefault="00210CE2" w:rsidP="00210CE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3</w:t>
      </w:r>
      <w:r>
        <w:fldChar w:fldCharType="end"/>
      </w:r>
      <w:r>
        <w:rPr>
          <w:rFonts w:hint="eastAsia"/>
        </w:rPr>
        <w:t xml:space="preserve"> </w:t>
      </w:r>
      <w:r w:rsidR="003B394F" w:rsidRPr="003B394F">
        <w:t>采动扰动约束下采区规划计算流程</w:t>
      </w:r>
    </w:p>
    <w:p w14:paraId="46F2F55E" w14:textId="57C179D4" w:rsidR="00210CE2" w:rsidRDefault="00210CE2" w:rsidP="00210CE2">
      <w:pPr>
        <w:pStyle w:val="14"/>
        <w:sectPr w:rsidR="00210CE2" w:rsidSect="00210CE2">
          <w:type w:val="continuous"/>
          <w:pgSz w:w="11906" w:h="16838"/>
          <w:pgMar w:top="1418" w:right="1134" w:bottom="1134" w:left="1134" w:header="720" w:footer="720" w:gutter="0"/>
          <w:cols w:space="720"/>
          <w:docGrid w:linePitch="598"/>
        </w:sectPr>
      </w:pPr>
      <w:r w:rsidRPr="009F1274">
        <w:t>Fig.</w:t>
      </w:r>
      <w:r w:rsidR="008419FD">
        <w:rPr>
          <w:rFonts w:hint="eastAsia"/>
        </w:rPr>
        <w:t>3</w:t>
      </w:r>
      <w:r w:rsidRPr="009F1274">
        <w:t xml:space="preserve"> </w:t>
      </w:r>
      <w:r w:rsidR="003B394F" w:rsidRPr="003B394F">
        <w:t>Calculation process of mining district planning under mining-induced disturbance constraints</w:t>
      </w:r>
    </w:p>
    <w:p w14:paraId="15323A31" w14:textId="1F59B1C3" w:rsidR="008419FD" w:rsidRDefault="00365DBA" w:rsidP="008419FD">
      <w:pPr>
        <w:pStyle w:val="100"/>
        <w:ind w:firstLine="420"/>
      </w:pPr>
      <w:r w:rsidRPr="00365DBA">
        <w:t>由图</w:t>
      </w:r>
      <w:r w:rsidRPr="00365DBA">
        <w:t>3</w:t>
      </w:r>
      <w:r w:rsidRPr="00365DBA">
        <w:t>可见，该流程并不是在传统工作面方案完成后再增加一项风险评价，而是将采区基础资料、采动扰动评价和工作面方案比较连接在一起。这样形成的候选方案既满足基本采矿条件，也能够反映不同方案在资源覆盖和扰动控制方面的差异</w:t>
      </w:r>
      <w:r w:rsidR="008419FD" w:rsidRPr="008419FD">
        <w:t>。</w:t>
      </w:r>
    </w:p>
    <w:p w14:paraId="46FAA18E" w14:textId="3D57131A" w:rsidR="00694DA6" w:rsidRPr="00DF00E8" w:rsidRDefault="00694DA6" w:rsidP="00DF00E8">
      <w:pPr>
        <w:pStyle w:val="12"/>
      </w:pPr>
      <w:r w:rsidRPr="00DF00E8">
        <w:t xml:space="preserve">3.2 </w:t>
      </w:r>
      <w:r w:rsidR="00365DBA" w:rsidRPr="00365DBA">
        <w:t>主要计算步骤</w:t>
      </w:r>
    </w:p>
    <w:p w14:paraId="73C96D9D" w14:textId="77777777" w:rsidR="00365DBA" w:rsidRPr="00365DBA" w:rsidRDefault="00365DBA" w:rsidP="00365DBA">
      <w:pPr>
        <w:pStyle w:val="100"/>
        <w:ind w:firstLine="420"/>
      </w:pPr>
      <w:r w:rsidRPr="00365DBA">
        <w:t>计算过程主要包括工作面可布置区域确定、煤厚分布计算、</w:t>
      </w:r>
      <w:r w:rsidRPr="00365DBA">
        <w:t>ODI</w:t>
      </w:r>
      <w:r w:rsidRPr="00365DBA">
        <w:t>图层生成和工作面方案评价</w:t>
      </w:r>
      <w:r w:rsidRPr="00365DBA">
        <w:t>4</w:t>
      </w:r>
      <w:r w:rsidRPr="00365DBA">
        <w:t>个步骤。</w:t>
      </w:r>
    </w:p>
    <w:p w14:paraId="117F06C4" w14:textId="77777777" w:rsidR="00365DBA" w:rsidRPr="00365DBA" w:rsidRDefault="00365DBA" w:rsidP="00365DBA">
      <w:pPr>
        <w:pStyle w:val="100"/>
        <w:ind w:firstLine="420"/>
      </w:pPr>
      <w:r w:rsidRPr="00365DBA">
        <w:t>首先，根据采区边界、边界煤柱、区段煤柱和局部保护要求确定工作面可布置区域。该步骤的目的，是排除越界、煤柱不足、局部不可采或不满足保护要求的区域，使后续候选方案具有基本的工程可实施性。对于断层、陷落柱、采空区或地表保护对象等复杂约束，也可按照控制范围和保护距离转化为限制区域，并从原始采区边界中扣除。</w:t>
      </w:r>
    </w:p>
    <w:p w14:paraId="513341E1" w14:textId="77777777" w:rsidR="00365DBA" w:rsidRPr="00365DBA" w:rsidRDefault="00365DBA" w:rsidP="00365DBA">
      <w:pPr>
        <w:pStyle w:val="100"/>
        <w:ind w:firstLine="420"/>
      </w:pPr>
      <w:r w:rsidRPr="00365DBA">
        <w:t>其次，根据钻孔煤厚样点计算煤层厚度分布。煤层厚度直接影响资源覆盖评价，不能只作为钻孔点上的离散属性使用。本文采用反距离加权法将钻孔煤厚数据扩展为连续的煤厚分布结果，并在工作面可布置区域内统计不同候选方案覆盖的煤厚资源。这样，方案评价不仅考虑覆盖面积，也能够反映煤厚差异对资源利用的影响。</w:t>
      </w:r>
    </w:p>
    <w:p w14:paraId="367322D1" w14:textId="77777777" w:rsidR="00365DBA" w:rsidRPr="00365DBA" w:rsidRDefault="00365DBA" w:rsidP="00365DBA">
      <w:pPr>
        <w:pStyle w:val="100"/>
        <w:ind w:firstLine="420"/>
      </w:pPr>
      <w:r w:rsidRPr="00365DBA">
        <w:t>再次，计算采动扰动强弱分布。地表沉陷、含水层扰动和上行开采影响分别反映不同方面的采动响应，难以直接用单一指标判断方案优劣。本文将各扰动分量归一化后按照权重叠加，得到</w:t>
      </w:r>
      <w:r w:rsidRPr="00365DBA">
        <w:t>ODI</w:t>
      </w:r>
      <w:r w:rsidRPr="00365DBA">
        <w:t>图层。</w:t>
      </w:r>
      <w:r w:rsidRPr="00365DBA">
        <w:t>ODI</w:t>
      </w:r>
      <w:r w:rsidRPr="00365DBA">
        <w:t>值越大，表示该位置采动扰动越强，在工作面布置中越需要避让或进一步复核。对于最终推荐方案，仍需结合地表沉陷预计、导水裂隙带高度判定、含水层保护和上行开采安全性等专项评价进行复核。</w:t>
      </w:r>
    </w:p>
    <w:p w14:paraId="7A0B69BD" w14:textId="77777777" w:rsidR="00365DBA" w:rsidRPr="00365DBA" w:rsidRDefault="00365DBA" w:rsidP="00365DBA">
      <w:pPr>
        <w:pStyle w:val="100"/>
        <w:ind w:firstLine="420"/>
      </w:pPr>
      <w:r w:rsidRPr="00365DBA">
        <w:t>最后，在工作面可布置区域内形成候选工作面方案。方案形成时，以工作面宽度、推进方向、煤柱宽度和最小推进长度为主要控制参数，构造平行工作面条带，并通过平移、组合和裁剪形成多组方案。随后对方案进行越界、重叠、煤柱不足、推进长度不足和几何形态异常检查，保留满足基本采矿条件的方案。对保留方案分别统计工程效率、资源覆盖和扰动风险指标，并根据不同规划偏好选取代表性方案。</w:t>
      </w:r>
    </w:p>
    <w:p w14:paraId="22E4723F" w14:textId="77777777" w:rsidR="00365DBA" w:rsidRPr="00365DBA" w:rsidRDefault="00365DBA" w:rsidP="00365DBA">
      <w:pPr>
        <w:pStyle w:val="100"/>
        <w:ind w:firstLine="420"/>
      </w:pPr>
      <w:r w:rsidRPr="00365DBA">
        <w:t>通过上述步骤，采区规划从单一经验布置转为多方案比较。工程人员不仅可以看到哪一类方案覆盖率更高，也可以判断哪些方案与扰动较强区域接触更多，从而在资源回收、生产组织和安全控制之间进行取舍。</w:t>
      </w:r>
    </w:p>
    <w:p w14:paraId="6F22C449" w14:textId="2A0F5409" w:rsidR="00624086" w:rsidRPr="00DF00E8" w:rsidRDefault="00624086" w:rsidP="00DF00E8">
      <w:pPr>
        <w:pStyle w:val="12"/>
      </w:pPr>
      <w:r w:rsidRPr="00DF00E8">
        <w:t xml:space="preserve">3.3 </w:t>
      </w:r>
      <w:r w:rsidR="004C1CA5" w:rsidRPr="004C1CA5">
        <w:t>方案输出与工程应用</w:t>
      </w:r>
    </w:p>
    <w:p w14:paraId="35429350" w14:textId="77777777" w:rsidR="004C1CA5" w:rsidRPr="004C1CA5" w:rsidRDefault="004C1CA5" w:rsidP="004C1CA5">
      <w:pPr>
        <w:pStyle w:val="100"/>
        <w:ind w:firstLine="420"/>
      </w:pPr>
      <w:r w:rsidRPr="004C1CA5">
        <w:t>经过上述计算后，每个候选工作面方案均可得到一组对应指标，包括工作面数量、覆盖率、煤厚资源贡献、工程效率评分、</w:t>
      </w:r>
      <w:r w:rsidRPr="004C1CA5">
        <w:t>ODI</w:t>
      </w:r>
      <w:r w:rsidRPr="004C1CA5">
        <w:t>均值、</w:t>
      </w:r>
      <w:r w:rsidRPr="004C1CA5">
        <w:t>P90</w:t>
      </w:r>
      <w:r w:rsidRPr="004C1CA5">
        <w:t>、超阈值比例和扰动风险综合得分等。这些指标分别反映方案在生产组织、资源利用和扰动控制方面的表现，可用于比较不同布置方案的优劣。</w:t>
      </w:r>
    </w:p>
    <w:p w14:paraId="561A2553" w14:textId="77777777" w:rsidR="004C1CA5" w:rsidRPr="004C1CA5" w:rsidRDefault="004C1CA5" w:rsidP="004C1CA5">
      <w:pPr>
        <w:pStyle w:val="100"/>
        <w:ind w:firstLine="420"/>
      </w:pPr>
      <w:r w:rsidRPr="004C1CA5">
        <w:t>根据规划目标不同，可从同一候选方案集合中选取工程效率优先、资源回收优先和低扰动候</w:t>
      </w:r>
      <w:r w:rsidRPr="004C1CA5">
        <w:lastRenderedPageBreak/>
        <w:t>选等代表性方案。三类方案并不是在不同条件下分别计算得到的，而是在相同边界、煤厚分布和</w:t>
      </w:r>
      <w:r w:rsidRPr="004C1CA5">
        <w:t>ODI</w:t>
      </w:r>
      <w:r w:rsidRPr="004C1CA5">
        <w:t>图层基础上，按照不同评价偏好筛选得到。因此，它们之间的差异能够反映资源覆盖、工程组织和扰动控制之间的取舍关系。</w:t>
      </w:r>
    </w:p>
    <w:p w14:paraId="4416C302" w14:textId="77777777" w:rsidR="004C1CA5" w:rsidRPr="004C1CA5" w:rsidRDefault="004C1CA5" w:rsidP="004C1CA5">
      <w:pPr>
        <w:pStyle w:val="100"/>
        <w:ind w:firstLine="420"/>
      </w:pPr>
      <w:r w:rsidRPr="004C1CA5">
        <w:t>需要说明的是，本文方法主要用于采区规划阶段的工作面方案初选和扰动风险前置识别。最终推荐方案仍需结合矿井生产系统、通风运输能力、采掘接续安排、设备适配性以及地表沉陷、含水层保护和上行开采安全性等专项评价结果进行复核。</w:t>
      </w:r>
    </w:p>
    <w:p w14:paraId="6A4B7F7C" w14:textId="14E94F8A" w:rsidR="00694DA6" w:rsidRPr="00DF00E8" w:rsidRDefault="00694DA6" w:rsidP="00DF00E8">
      <w:pPr>
        <w:pStyle w:val="11"/>
      </w:pPr>
      <w:r w:rsidRPr="00DF00E8">
        <w:t xml:space="preserve">4 </w:t>
      </w:r>
      <w:r w:rsidR="004B7D90" w:rsidRPr="00DF00E8">
        <w:t>工程应用与结果分析</w:t>
      </w:r>
    </w:p>
    <w:p w14:paraId="160AB4CC" w14:textId="313E7855" w:rsidR="004B7D90" w:rsidRDefault="004C1CA5" w:rsidP="004B7D90">
      <w:pPr>
        <w:pStyle w:val="100"/>
        <w:ind w:firstLine="420"/>
      </w:pPr>
      <w:r w:rsidRPr="004C1CA5">
        <w:t>为验证所提方法在实际采区规划中的适用性，选取敏东矿区作为工程应用对象。按照前文计算流程，先整理采区边界、钻孔煤厚、煤柱参数和工作面设计参数，再计算工作面可布置区域、煤层厚度分布和</w:t>
      </w:r>
      <w:r w:rsidRPr="004C1CA5">
        <w:t>ODI</w:t>
      </w:r>
      <w:r w:rsidRPr="004C1CA5">
        <w:t>图层，最后生成并比较不同工作面布置方案。本章重点分析</w:t>
      </w:r>
      <w:r w:rsidRPr="004C1CA5">
        <w:t>ODI</w:t>
      </w:r>
      <w:r w:rsidRPr="004C1CA5">
        <w:t>引入采区规划后，对工作面布置范围、方案筛选结果以及资源覆盖与扰动控制关系的影响</w:t>
      </w:r>
      <w:r w:rsidR="004B7D90" w:rsidRPr="004B7D90">
        <w:t>。</w:t>
      </w:r>
    </w:p>
    <w:p w14:paraId="04603FBD" w14:textId="7B48BAA8" w:rsidR="004B7D90" w:rsidRPr="004B7D90" w:rsidRDefault="004B7D90" w:rsidP="00DF00E8">
      <w:pPr>
        <w:pStyle w:val="12"/>
      </w:pPr>
      <w:r w:rsidRPr="004B7D90">
        <w:t xml:space="preserve">4.1 </w:t>
      </w:r>
      <w:r w:rsidR="00927E53" w:rsidRPr="00927E53">
        <w:t>研究区概况与基础输入</w:t>
      </w:r>
    </w:p>
    <w:p w14:paraId="19A83998" w14:textId="77777777" w:rsidR="004C1CA5" w:rsidRPr="004C1CA5" w:rsidRDefault="004C1CA5" w:rsidP="004C1CA5">
      <w:pPr>
        <w:pStyle w:val="100"/>
        <w:ind w:firstLine="420"/>
      </w:pPr>
      <w:r w:rsidRPr="004C1CA5">
        <w:t>研究区以内蒙古呼伦贝尔敏东一矿相关工程条件为背景。敏东矿区煤层赋存较稳定，顶底板岩性主要包括泥岩、砂质泥岩、炭质泥岩、煤和细粒砂岩，覆岩整体呈软弱</w:t>
      </w:r>
      <w:r w:rsidRPr="004C1CA5">
        <w:t>—</w:t>
      </w:r>
      <w:r w:rsidRPr="004C1CA5">
        <w:t>层状结构。前期工程资料显示，敏东一矿</w:t>
      </w:r>
      <w:r w:rsidRPr="004C1CA5">
        <w:t>Ⅰ01163</w:t>
      </w:r>
      <w:r w:rsidRPr="004C1CA5">
        <w:t>上</w:t>
      </w:r>
      <w:r w:rsidRPr="004C1CA5">
        <w:t>01</w:t>
      </w:r>
      <w:r w:rsidRPr="004C1CA5">
        <w:t>首采综放工作面主采</w:t>
      </w:r>
      <w:r w:rsidRPr="004C1CA5">
        <w:t>16-3</w:t>
      </w:r>
      <w:r w:rsidRPr="004C1CA5">
        <w:t>上煤层，工作面实际可采走向长度为</w:t>
      </w:r>
      <w:r w:rsidRPr="004C1CA5">
        <w:t>1380 m</w:t>
      </w:r>
      <w:r w:rsidRPr="004C1CA5">
        <w:t>，倾向宽度为</w:t>
      </w:r>
      <w:r w:rsidRPr="004C1CA5">
        <w:t>197.5 m</w:t>
      </w:r>
      <w:r w:rsidRPr="004C1CA5">
        <w:t>，采放高度为</w:t>
      </w:r>
      <w:r w:rsidRPr="004C1CA5">
        <w:t>9.0 m</w:t>
      </w:r>
      <w:r w:rsidRPr="004C1CA5">
        <w:t>，煤层平均倾角约</w:t>
      </w:r>
      <w:r w:rsidRPr="004C1CA5">
        <w:t>5°</w:t>
      </w:r>
      <w:r w:rsidRPr="004C1CA5">
        <w:t>，平均埋深约</w:t>
      </w:r>
      <w:r w:rsidRPr="004C1CA5">
        <w:t>310 m</w:t>
      </w:r>
      <w:r w:rsidRPr="004C1CA5">
        <w:t>，属于中等埋深厚煤层综放开采条件。该类开采条件下，采空区尺度较大，覆岩移动、地表沉陷和裂隙发育响应较为明显，工作面布置不能只依据采区边界和常规几何参数确定。</w:t>
      </w:r>
    </w:p>
    <w:p w14:paraId="65B644BF" w14:textId="77777777" w:rsidR="004C1CA5" w:rsidRPr="004C1CA5" w:rsidRDefault="004C1CA5" w:rsidP="004C1CA5">
      <w:pPr>
        <w:pStyle w:val="100"/>
        <w:ind w:firstLine="420"/>
      </w:pPr>
      <w:r w:rsidRPr="004C1CA5">
        <w:t>从规划需求看，敏东矿区既需要保证资源回收和采掘接续，也需要控制地表沉陷、含水层受扰和上行开采条件下的覆岩再扰动。厚煤层综放</w:t>
      </w:r>
      <w:r w:rsidRPr="004C1CA5">
        <w:t>开采会增强覆岩移动和地表变形；软弱</w:t>
      </w:r>
      <w:r w:rsidRPr="004C1CA5">
        <w:t>—</w:t>
      </w:r>
      <w:r w:rsidRPr="004C1CA5">
        <w:t>层状覆岩及含水层赋存条件会使导水裂隙带发育和含水层保护问题更加突出；上覆岩层再扰动也会对后续开采安全形成约束。因此，在该类采区开展工作面布置时，有必要将地表沉陷、含水层扰动和上行开采影响纳入同一套方案评价中。</w:t>
      </w:r>
    </w:p>
    <w:p w14:paraId="1C784CFF" w14:textId="77777777" w:rsidR="004C1CA5" w:rsidRPr="004C1CA5" w:rsidRDefault="004C1CA5" w:rsidP="004C1CA5">
      <w:pPr>
        <w:pStyle w:val="100"/>
        <w:ind w:firstLine="420"/>
      </w:pPr>
      <w:r w:rsidRPr="004C1CA5">
        <w:t>本次计算以采区边界、钻孔煤厚和规划控制参数为主要输入。采区边界用于确定规划范围，钻孔煤厚用于计算煤层厚度分布，边界煤柱、区段煤柱、工作面宽度和推进方向等参数用于控制工作面方案形成。研究区边界与钻孔样点分布如图</w:t>
      </w:r>
      <w:r w:rsidRPr="004C1CA5">
        <w:t>4</w:t>
      </w:r>
      <w:r w:rsidRPr="004C1CA5">
        <w:t>所示。</w:t>
      </w:r>
    </w:p>
    <w:p w14:paraId="5CB25670" w14:textId="77777777" w:rsidR="004B7D90" w:rsidRDefault="004B7D90" w:rsidP="004B7D90">
      <w:pPr>
        <w:pStyle w:val="14"/>
      </w:pPr>
      <w:r>
        <w:rPr>
          <w:rFonts w:ascii="宋体" w:hAnsi="宋体"/>
          <w:noProof/>
        </w:rPr>
        <w:drawing>
          <wp:inline distT="0" distB="0" distL="0" distR="0" wp14:anchorId="31E565E2" wp14:editId="48824A38">
            <wp:extent cx="2864246" cy="1777365"/>
            <wp:effectExtent l="0" t="0" r="0" b="0"/>
            <wp:docPr id="135859836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238" cstate="print">
                      <a:extLst>
                        <a:ext uri="{28A0092B-C50C-407E-A947-70E740481C1C}">
                          <a14:useLocalDpi xmlns:a14="http://schemas.microsoft.com/office/drawing/2010/main" val="0"/>
                        </a:ext>
                      </a:extLst>
                    </a:blip>
                    <a:srcRect l="529"/>
                    <a:stretch>
                      <a:fillRect/>
                    </a:stretch>
                  </pic:blipFill>
                  <pic:spPr bwMode="auto">
                    <a:xfrm>
                      <a:off x="0" y="0"/>
                      <a:ext cx="2864757" cy="1777682"/>
                    </a:xfrm>
                    <a:prstGeom prst="rect">
                      <a:avLst/>
                    </a:prstGeom>
                    <a:noFill/>
                    <a:ln>
                      <a:noFill/>
                    </a:ln>
                    <a:extLst>
                      <a:ext uri="{53640926-AAD7-44D8-BBD7-CCE9431645EC}">
                        <a14:shadowObscured xmlns:a14="http://schemas.microsoft.com/office/drawing/2010/main"/>
                      </a:ext>
                    </a:extLst>
                  </pic:spPr>
                </pic:pic>
              </a:graphicData>
            </a:graphic>
          </wp:inline>
        </w:drawing>
      </w:r>
    </w:p>
    <w:p w14:paraId="40AAF3B5" w14:textId="3D7A518D" w:rsidR="004B7D90" w:rsidRDefault="004B7D90" w:rsidP="004B7D90">
      <w:pPr>
        <w:pStyle w:val="14"/>
      </w:pPr>
      <w:bookmarkStart w:id="3" w:name="_Ref227919590"/>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4</w:t>
      </w:r>
      <w:r>
        <w:fldChar w:fldCharType="end"/>
      </w:r>
      <w:bookmarkEnd w:id="3"/>
      <w:r>
        <w:rPr>
          <w:rFonts w:hint="eastAsia"/>
        </w:rPr>
        <w:t xml:space="preserve"> </w:t>
      </w:r>
      <w:r w:rsidRPr="000E1681">
        <w:rPr>
          <w:rFonts w:hint="eastAsia"/>
        </w:rPr>
        <w:t>研究区边界与钻孔样点分布</w:t>
      </w:r>
    </w:p>
    <w:p w14:paraId="7B3F47AF" w14:textId="5B42C9CC" w:rsidR="004B7D90" w:rsidRPr="004B7D90" w:rsidRDefault="004B7D90" w:rsidP="004B7D90">
      <w:pPr>
        <w:pStyle w:val="14"/>
      </w:pPr>
      <w:r w:rsidRPr="00351EC4">
        <w:t>Fig.</w:t>
      </w:r>
      <w:r>
        <w:fldChar w:fldCharType="begin"/>
      </w:r>
      <w:r>
        <w:instrText xml:space="preserve"> REF _Ref227919590 \h </w:instrText>
      </w:r>
      <w:r>
        <w:fldChar w:fldCharType="separate"/>
      </w:r>
      <w:r w:rsidR="008A2F6D">
        <w:rPr>
          <w:noProof/>
        </w:rPr>
        <w:t>4</w:t>
      </w:r>
      <w:r>
        <w:fldChar w:fldCharType="end"/>
      </w:r>
      <w:r w:rsidRPr="00351EC4">
        <w:t xml:space="preserve"> </w:t>
      </w:r>
      <w:r w:rsidRPr="002D513A">
        <w:t>Boundary of the study area and distribution of borehole samples</w:t>
      </w:r>
    </w:p>
    <w:p w14:paraId="569E3118" w14:textId="77777777" w:rsidR="004C1CA5" w:rsidRPr="004C1CA5" w:rsidRDefault="004C1CA5" w:rsidP="004C1CA5">
      <w:pPr>
        <w:pStyle w:val="100"/>
        <w:ind w:firstLine="420"/>
      </w:pPr>
      <w:r w:rsidRPr="004C1CA5">
        <w:t>由图</w:t>
      </w:r>
      <w:r w:rsidRPr="004C1CA5">
        <w:t>4</w:t>
      </w:r>
      <w:r w:rsidRPr="004C1CA5">
        <w:t>可见，</w:t>
      </w:r>
      <w:r w:rsidRPr="004C1CA5">
        <w:t>15</w:t>
      </w:r>
      <w:r w:rsidRPr="004C1CA5">
        <w:t>个钻孔样点在研究区内形成了基本控制。钻孔揭露煤层厚度为</w:t>
      </w:r>
      <w:r w:rsidRPr="004C1CA5">
        <w:t>2.8</w:t>
      </w:r>
      <w:r w:rsidRPr="004C1CA5">
        <w:t>～</w:t>
      </w:r>
      <w:r w:rsidRPr="004C1CA5">
        <w:t>4.8 m</w:t>
      </w:r>
      <w:r w:rsidRPr="004C1CA5">
        <w:t>，平均值为</w:t>
      </w:r>
      <w:r w:rsidRPr="004C1CA5">
        <w:t>3.7933 m</w:t>
      </w:r>
      <w:r w:rsidRPr="004C1CA5">
        <w:t>，说明研究区煤厚存在一定空间差异。对于工作面方案评价而言，面积覆盖率只能反映方案占用了多少范围，不能反映不同区域煤厚资源的差别。因此，需要根据钻孔煤厚资料计算煤层厚度分布，并将其用于后续资源覆盖评价。</w:t>
      </w:r>
    </w:p>
    <w:p w14:paraId="0DCE3871" w14:textId="77777777" w:rsidR="004C1CA5" w:rsidRPr="004C1CA5" w:rsidRDefault="004C1CA5" w:rsidP="004C1CA5">
      <w:pPr>
        <w:pStyle w:val="100"/>
        <w:ind w:firstLine="420"/>
      </w:pPr>
      <w:r w:rsidRPr="004C1CA5">
        <w:t>原始采区边界不能直接作为工作面布置边界。实际规划中，边界煤柱、区段煤柱和局部保护要求会压缩工作面可布置区域。本文在原始边界基础上叠加煤柱和保护约束，得到工作面可布置区域，如图</w:t>
      </w:r>
      <w:r w:rsidRPr="004C1CA5">
        <w:t>5</w:t>
      </w:r>
      <w:r w:rsidRPr="004C1CA5">
        <w:t>所示。</w:t>
      </w:r>
    </w:p>
    <w:p w14:paraId="57CA0477" w14:textId="77777777" w:rsidR="004B7D90" w:rsidRPr="004C1CA5" w:rsidRDefault="004B7D90" w:rsidP="004B7D90">
      <w:pPr>
        <w:pStyle w:val="100"/>
        <w:keepNext/>
        <w:ind w:firstLineChars="0" w:firstLine="0"/>
        <w:jc w:val="center"/>
        <w:sectPr w:rsidR="004B7D90" w:rsidRPr="004C1CA5" w:rsidSect="00A07DBF">
          <w:type w:val="continuous"/>
          <w:pgSz w:w="11906" w:h="16838"/>
          <w:pgMar w:top="1418" w:right="1134" w:bottom="1134" w:left="1134" w:header="720" w:footer="720" w:gutter="0"/>
          <w:cols w:num="2" w:space="720"/>
          <w:docGrid w:linePitch="598"/>
        </w:sectPr>
      </w:pPr>
    </w:p>
    <w:p w14:paraId="0F8C1EB9" w14:textId="77777777" w:rsidR="004B7D90" w:rsidRDefault="004B7D90" w:rsidP="004B7D90">
      <w:pPr>
        <w:pStyle w:val="100"/>
        <w:keepNext/>
        <w:ind w:firstLineChars="0" w:firstLine="0"/>
        <w:jc w:val="center"/>
      </w:pPr>
      <w:r>
        <w:rPr>
          <w:noProof/>
        </w:rPr>
        <w:drawing>
          <wp:inline distT="0" distB="0" distL="0" distR="0" wp14:anchorId="4428C729" wp14:editId="6B6D3653">
            <wp:extent cx="6111240" cy="1264920"/>
            <wp:effectExtent l="0" t="0" r="3810" b="0"/>
            <wp:docPr id="951091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39" cstate="print">
                      <a:extLst>
                        <a:ext uri="{28A0092B-C50C-407E-A947-70E740481C1C}">
                          <a14:useLocalDpi xmlns:a14="http://schemas.microsoft.com/office/drawing/2010/main" val="0"/>
                        </a:ext>
                      </a:extLst>
                    </a:blip>
                    <a:srcRect/>
                    <a:stretch>
                      <a:fillRect/>
                    </a:stretch>
                  </pic:blipFill>
                  <pic:spPr bwMode="auto">
                    <a:xfrm>
                      <a:off x="0" y="0"/>
                      <a:ext cx="6111240" cy="1264920"/>
                    </a:xfrm>
                    <a:prstGeom prst="rect">
                      <a:avLst/>
                    </a:prstGeom>
                    <a:noFill/>
                    <a:ln>
                      <a:noFill/>
                    </a:ln>
                  </pic:spPr>
                </pic:pic>
              </a:graphicData>
            </a:graphic>
          </wp:inline>
        </w:drawing>
      </w:r>
    </w:p>
    <w:p w14:paraId="0D836079" w14:textId="1D4DF97F" w:rsidR="004B7D90" w:rsidRPr="00F41E99" w:rsidRDefault="004B7D90" w:rsidP="004B7D90">
      <w:pPr>
        <w:pStyle w:val="14"/>
      </w:pPr>
      <w:bookmarkStart w:id="4" w:name="_Ref227925859"/>
      <w:r w:rsidRPr="00F41E99">
        <w:rPr>
          <w:rFonts w:hint="eastAsia"/>
        </w:rPr>
        <w:t>图</w:t>
      </w:r>
      <w:r w:rsidRPr="00F41E99">
        <w:fldChar w:fldCharType="begin"/>
      </w:r>
      <w:r w:rsidRPr="00F41E99">
        <w:instrText xml:space="preserve"> </w:instrText>
      </w:r>
      <w:r w:rsidRPr="00F41E99">
        <w:rPr>
          <w:rFonts w:hint="eastAsia"/>
        </w:rPr>
        <w:instrText xml:space="preserve">SEQ </w:instrText>
      </w:r>
      <w:r w:rsidRPr="00F41E99">
        <w:rPr>
          <w:rFonts w:hint="eastAsia"/>
        </w:rPr>
        <w:instrText>图</w:instrText>
      </w:r>
      <w:r w:rsidRPr="00F41E99">
        <w:rPr>
          <w:rFonts w:hint="eastAsia"/>
        </w:rPr>
        <w:instrText xml:space="preserve"> \* ARABIC</w:instrText>
      </w:r>
      <w:r w:rsidRPr="00F41E99">
        <w:instrText xml:space="preserve"> </w:instrText>
      </w:r>
      <w:r w:rsidRPr="00F41E99">
        <w:fldChar w:fldCharType="separate"/>
      </w:r>
      <w:r w:rsidR="001E1EA5">
        <w:rPr>
          <w:noProof/>
        </w:rPr>
        <w:t>5</w:t>
      </w:r>
      <w:r w:rsidRPr="00F41E99">
        <w:fldChar w:fldCharType="end"/>
      </w:r>
      <w:bookmarkEnd w:id="4"/>
      <w:r w:rsidRPr="00F41E99">
        <w:rPr>
          <w:rFonts w:hint="eastAsia"/>
        </w:rPr>
        <w:t xml:space="preserve"> </w:t>
      </w:r>
      <w:r w:rsidR="003B394F" w:rsidRPr="003B394F">
        <w:t>原始边界与工作面可布置区域</w:t>
      </w:r>
    </w:p>
    <w:p w14:paraId="0418BD74" w14:textId="2680BBBF" w:rsidR="004B7D90" w:rsidRPr="00F41E99" w:rsidRDefault="004B7D90" w:rsidP="004B7D90">
      <w:pPr>
        <w:pStyle w:val="14"/>
      </w:pPr>
      <w:r w:rsidRPr="00F41E99">
        <w:t>Fig.</w:t>
      </w:r>
      <w:r w:rsidR="008419FD">
        <w:rPr>
          <w:rFonts w:hint="eastAsia"/>
        </w:rPr>
        <w:t>5</w:t>
      </w:r>
      <w:r w:rsidRPr="00F41E99">
        <w:t xml:space="preserve"> </w:t>
      </w:r>
      <w:r w:rsidR="003B394F" w:rsidRPr="003B394F">
        <w:t>Original boundary and working-face layout area</w:t>
      </w:r>
    </w:p>
    <w:p w14:paraId="7C1A1BDF"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530E6D50" w14:textId="77777777" w:rsidR="004C1CA5" w:rsidRPr="004C1CA5" w:rsidRDefault="004C1CA5" w:rsidP="004C1CA5">
      <w:pPr>
        <w:pStyle w:val="100"/>
        <w:ind w:firstLine="420"/>
      </w:pPr>
      <w:r w:rsidRPr="004C1CA5">
        <w:lastRenderedPageBreak/>
        <w:t>由图</w:t>
      </w:r>
      <w:r w:rsidRPr="004C1CA5">
        <w:t>5</w:t>
      </w:r>
      <w:r w:rsidRPr="004C1CA5">
        <w:t>可见，原始采区边界经煤柱约束和几何处理后，部分边界区域被内缩或剔除。后续候选工作面方案均在该可布置区域内形成，并需满</w:t>
      </w:r>
      <w:r w:rsidRPr="004C1CA5">
        <w:t>足不越界、不重叠、煤柱宽度满足要求和推进长度满足校核要求等基本采矿约束。</w:t>
      </w:r>
    </w:p>
    <w:p w14:paraId="6B8489F9" w14:textId="63E74B18" w:rsidR="004C1CA5" w:rsidRPr="004C1CA5" w:rsidRDefault="004C1CA5" w:rsidP="004C1CA5">
      <w:pPr>
        <w:pStyle w:val="100"/>
        <w:ind w:firstLine="420"/>
      </w:pPr>
      <w:r w:rsidRPr="004C1CA5">
        <w:t>研究区主要输入参数与约束条件见表</w:t>
      </w:r>
      <w:r w:rsidR="00495807">
        <w:rPr>
          <w:rFonts w:hint="eastAsia"/>
        </w:rPr>
        <w:t>3</w:t>
      </w:r>
      <w:r w:rsidRPr="004C1CA5">
        <w:t>。</w:t>
      </w:r>
    </w:p>
    <w:p w14:paraId="3D841CDB" w14:textId="77777777" w:rsidR="004B7D90" w:rsidRPr="008A2F6D" w:rsidRDefault="004B7D90" w:rsidP="004B7D90">
      <w:pPr>
        <w:pStyle w:val="15"/>
        <w:sectPr w:rsidR="004B7D90" w:rsidRPr="008A2F6D" w:rsidSect="00A07DBF">
          <w:type w:val="continuous"/>
          <w:pgSz w:w="11906" w:h="16838"/>
          <w:pgMar w:top="1418" w:right="1134" w:bottom="1134" w:left="1134" w:header="720" w:footer="720" w:gutter="0"/>
          <w:cols w:num="2" w:space="720"/>
          <w:docGrid w:linePitch="598"/>
        </w:sectPr>
      </w:pPr>
    </w:p>
    <w:p w14:paraId="1C90D709" w14:textId="40570F53" w:rsidR="004B7D90" w:rsidRDefault="004B7D90" w:rsidP="004B7D90">
      <w:pPr>
        <w:pStyle w:val="15"/>
      </w:pPr>
      <w:bookmarkStart w:id="5" w:name="_Ref228479977"/>
      <w:r>
        <w:rPr>
          <w:rFonts w:hint="eastAsia"/>
        </w:rPr>
        <w:t>表</w:t>
      </w:r>
      <w:r w:rsidR="00495807">
        <w:fldChar w:fldCharType="begin"/>
      </w:r>
      <w:r w:rsidR="00495807">
        <w:instrText xml:space="preserve"> </w:instrText>
      </w:r>
      <w:r w:rsidR="00495807">
        <w:rPr>
          <w:rFonts w:hint="eastAsia"/>
        </w:rPr>
        <w:instrText xml:space="preserve">SEQ </w:instrText>
      </w:r>
      <w:r w:rsidR="00495807">
        <w:rPr>
          <w:rFonts w:hint="eastAsia"/>
        </w:rPr>
        <w:instrText>表</w:instrText>
      </w:r>
      <w:r w:rsidR="00495807">
        <w:rPr>
          <w:rFonts w:hint="eastAsia"/>
        </w:rPr>
        <w:instrText xml:space="preserve"> \* ARABIC</w:instrText>
      </w:r>
      <w:r w:rsidR="00495807">
        <w:instrText xml:space="preserve"> </w:instrText>
      </w:r>
      <w:r w:rsidR="00495807">
        <w:fldChar w:fldCharType="separate"/>
      </w:r>
      <w:r w:rsidR="00495807">
        <w:rPr>
          <w:noProof/>
        </w:rPr>
        <w:t>3</w:t>
      </w:r>
      <w:r w:rsidR="00495807">
        <w:fldChar w:fldCharType="end"/>
      </w:r>
      <w:bookmarkEnd w:id="5"/>
      <w:r>
        <w:rPr>
          <w:rFonts w:hint="eastAsia"/>
        </w:rPr>
        <w:t xml:space="preserve"> </w:t>
      </w:r>
      <w:r w:rsidRPr="00421776">
        <w:t>研究区主要输入参数与约束条件</w:t>
      </w:r>
    </w:p>
    <w:p w14:paraId="7B963C59" w14:textId="0066EB14" w:rsidR="004B7D90" w:rsidRDefault="004B7D90" w:rsidP="004B7D90">
      <w:pPr>
        <w:pStyle w:val="15"/>
      </w:pPr>
      <w:r w:rsidRPr="00421776">
        <w:t xml:space="preserve">Table </w:t>
      </w:r>
      <w:r w:rsidR="00495807">
        <w:rPr>
          <w:rFonts w:hint="eastAsia"/>
        </w:rPr>
        <w:t>3</w:t>
      </w:r>
      <w:r w:rsidRPr="00421776">
        <w:t xml:space="preserve"> Main input parameters and constraints of the study area</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1860"/>
        <w:gridCol w:w="2202"/>
        <w:gridCol w:w="420"/>
        <w:gridCol w:w="2516"/>
      </w:tblGrid>
      <w:tr w:rsidR="004B7D90" w:rsidRPr="00006F50" w14:paraId="55EE5BBE" w14:textId="77777777" w:rsidTr="000F5584">
        <w:trPr>
          <w:tblHeader/>
          <w:tblCellSpacing w:w="15" w:type="dxa"/>
          <w:jc w:val="center"/>
        </w:trPr>
        <w:tc>
          <w:tcPr>
            <w:tcW w:w="0" w:type="auto"/>
            <w:tcBorders>
              <w:top w:val="nil"/>
              <w:bottom w:val="single" w:sz="4" w:space="0" w:color="auto"/>
            </w:tcBorders>
            <w:vAlign w:val="center"/>
            <w:hideMark/>
          </w:tcPr>
          <w:p w14:paraId="4D96187E" w14:textId="77777777" w:rsidR="004B7D90" w:rsidRPr="00006F50" w:rsidRDefault="004B7D90" w:rsidP="000F5584">
            <w:pPr>
              <w:spacing w:beforeLines="0" w:before="0" w:afterLines="0" w:after="0"/>
              <w:jc w:val="center"/>
              <w:rPr>
                <w:rFonts w:eastAsia="宋体"/>
                <w:sz w:val="18"/>
              </w:rPr>
            </w:pPr>
            <w:r w:rsidRPr="00006F50">
              <w:rPr>
                <w:rFonts w:eastAsia="宋体"/>
                <w:sz w:val="18"/>
              </w:rPr>
              <w:t>类别</w:t>
            </w:r>
          </w:p>
        </w:tc>
        <w:tc>
          <w:tcPr>
            <w:tcW w:w="0" w:type="auto"/>
            <w:tcBorders>
              <w:top w:val="nil"/>
              <w:bottom w:val="single" w:sz="4" w:space="0" w:color="auto"/>
            </w:tcBorders>
            <w:vAlign w:val="center"/>
            <w:hideMark/>
          </w:tcPr>
          <w:p w14:paraId="123684D9" w14:textId="77777777" w:rsidR="004B7D90" w:rsidRPr="00006F50" w:rsidRDefault="004B7D90" w:rsidP="000F5584">
            <w:pPr>
              <w:spacing w:beforeLines="0" w:before="0" w:afterLines="0" w:after="0"/>
              <w:jc w:val="center"/>
              <w:rPr>
                <w:rFonts w:eastAsia="宋体"/>
                <w:sz w:val="18"/>
              </w:rPr>
            </w:pPr>
            <w:r w:rsidRPr="00006F50">
              <w:rPr>
                <w:rFonts w:eastAsia="宋体"/>
                <w:sz w:val="18"/>
              </w:rPr>
              <w:t>参数名称</w:t>
            </w:r>
          </w:p>
        </w:tc>
        <w:tc>
          <w:tcPr>
            <w:tcW w:w="0" w:type="auto"/>
            <w:tcBorders>
              <w:top w:val="nil"/>
              <w:bottom w:val="single" w:sz="4" w:space="0" w:color="auto"/>
            </w:tcBorders>
            <w:vAlign w:val="center"/>
            <w:hideMark/>
          </w:tcPr>
          <w:p w14:paraId="509341F6" w14:textId="77777777" w:rsidR="004B7D90" w:rsidRPr="00006F50" w:rsidRDefault="004B7D90" w:rsidP="000F5584">
            <w:pPr>
              <w:spacing w:beforeLines="0" w:before="0" w:afterLines="0" w:after="0"/>
              <w:jc w:val="center"/>
              <w:rPr>
                <w:rFonts w:eastAsia="宋体"/>
                <w:sz w:val="18"/>
              </w:rPr>
            </w:pPr>
            <w:r w:rsidRPr="00006F50">
              <w:rPr>
                <w:rFonts w:eastAsia="宋体"/>
                <w:sz w:val="18"/>
              </w:rPr>
              <w:t>数值或范围</w:t>
            </w:r>
          </w:p>
        </w:tc>
        <w:tc>
          <w:tcPr>
            <w:tcW w:w="0" w:type="auto"/>
            <w:tcBorders>
              <w:top w:val="nil"/>
              <w:bottom w:val="single" w:sz="4" w:space="0" w:color="auto"/>
            </w:tcBorders>
            <w:vAlign w:val="center"/>
            <w:hideMark/>
          </w:tcPr>
          <w:p w14:paraId="3C565EFF" w14:textId="77777777" w:rsidR="004B7D90" w:rsidRPr="00006F50" w:rsidRDefault="004B7D90" w:rsidP="000F5584">
            <w:pPr>
              <w:spacing w:beforeLines="0" w:before="0" w:afterLines="0" w:after="0"/>
              <w:jc w:val="center"/>
              <w:rPr>
                <w:rFonts w:eastAsia="宋体"/>
                <w:sz w:val="18"/>
              </w:rPr>
            </w:pPr>
            <w:r w:rsidRPr="00006F50">
              <w:rPr>
                <w:rFonts w:eastAsia="宋体"/>
                <w:sz w:val="18"/>
              </w:rPr>
              <w:t>单位</w:t>
            </w:r>
          </w:p>
        </w:tc>
        <w:tc>
          <w:tcPr>
            <w:tcW w:w="0" w:type="auto"/>
            <w:tcBorders>
              <w:top w:val="nil"/>
              <w:bottom w:val="single" w:sz="4" w:space="0" w:color="auto"/>
            </w:tcBorders>
            <w:vAlign w:val="center"/>
            <w:hideMark/>
          </w:tcPr>
          <w:p w14:paraId="5887344D" w14:textId="77777777" w:rsidR="004B7D90" w:rsidRPr="00006F50" w:rsidRDefault="004B7D90" w:rsidP="000F5584">
            <w:pPr>
              <w:spacing w:beforeLines="0" w:before="0" w:afterLines="0" w:after="0"/>
              <w:jc w:val="center"/>
              <w:rPr>
                <w:rFonts w:eastAsia="宋体"/>
                <w:sz w:val="18"/>
              </w:rPr>
            </w:pPr>
            <w:r w:rsidRPr="00006F50">
              <w:rPr>
                <w:rFonts w:eastAsia="宋体"/>
                <w:sz w:val="18"/>
              </w:rPr>
              <w:t>说明</w:t>
            </w:r>
          </w:p>
        </w:tc>
      </w:tr>
      <w:tr w:rsidR="004B7D90" w:rsidRPr="00006F50" w14:paraId="799D8892" w14:textId="77777777" w:rsidTr="000F5584">
        <w:trPr>
          <w:tblCellSpacing w:w="15" w:type="dxa"/>
          <w:jc w:val="center"/>
        </w:trPr>
        <w:tc>
          <w:tcPr>
            <w:tcW w:w="0" w:type="auto"/>
            <w:vAlign w:val="center"/>
            <w:hideMark/>
          </w:tcPr>
          <w:p w14:paraId="344265D6" w14:textId="77777777" w:rsidR="004B7D90" w:rsidRPr="00006F50" w:rsidRDefault="004B7D90" w:rsidP="000F5584">
            <w:pPr>
              <w:spacing w:beforeLines="0" w:before="0" w:afterLines="0" w:after="0"/>
              <w:jc w:val="center"/>
              <w:rPr>
                <w:rFonts w:eastAsia="宋体"/>
                <w:sz w:val="18"/>
              </w:rPr>
            </w:pPr>
            <w:r w:rsidRPr="00006F50">
              <w:rPr>
                <w:rFonts w:eastAsia="宋体"/>
                <w:sz w:val="18"/>
              </w:rPr>
              <w:t>研究区基础</w:t>
            </w:r>
          </w:p>
        </w:tc>
        <w:tc>
          <w:tcPr>
            <w:tcW w:w="0" w:type="auto"/>
            <w:vAlign w:val="center"/>
            <w:hideMark/>
          </w:tcPr>
          <w:p w14:paraId="7249861A" w14:textId="77777777" w:rsidR="004B7D90" w:rsidRPr="00006F50" w:rsidRDefault="004B7D90" w:rsidP="000F5584">
            <w:pPr>
              <w:spacing w:beforeLines="0" w:before="0" w:afterLines="0" w:after="0"/>
              <w:jc w:val="center"/>
              <w:rPr>
                <w:rFonts w:eastAsia="宋体"/>
                <w:sz w:val="18"/>
              </w:rPr>
            </w:pPr>
            <w:r w:rsidRPr="00006F50">
              <w:rPr>
                <w:rFonts w:eastAsia="宋体"/>
                <w:sz w:val="18"/>
              </w:rPr>
              <w:t>钻孔数量</w:t>
            </w:r>
          </w:p>
        </w:tc>
        <w:tc>
          <w:tcPr>
            <w:tcW w:w="0" w:type="auto"/>
            <w:vAlign w:val="center"/>
            <w:hideMark/>
          </w:tcPr>
          <w:p w14:paraId="09AA789A" w14:textId="77777777" w:rsidR="004B7D90" w:rsidRPr="00006F50" w:rsidRDefault="004B7D90" w:rsidP="000F5584">
            <w:pPr>
              <w:spacing w:beforeLines="0" w:before="0" w:afterLines="0" w:after="0"/>
              <w:jc w:val="center"/>
              <w:rPr>
                <w:rFonts w:eastAsia="宋体"/>
                <w:sz w:val="18"/>
              </w:rPr>
            </w:pPr>
            <w:r w:rsidRPr="00006F50">
              <w:rPr>
                <w:rFonts w:eastAsia="宋体"/>
                <w:sz w:val="18"/>
              </w:rPr>
              <w:t>15</w:t>
            </w:r>
          </w:p>
        </w:tc>
        <w:tc>
          <w:tcPr>
            <w:tcW w:w="0" w:type="auto"/>
            <w:vAlign w:val="center"/>
            <w:hideMark/>
          </w:tcPr>
          <w:p w14:paraId="6BE167D0" w14:textId="77777777" w:rsidR="004B7D90" w:rsidRPr="00006F50" w:rsidRDefault="004B7D90" w:rsidP="000F5584">
            <w:pPr>
              <w:spacing w:beforeLines="0" w:before="0" w:afterLines="0" w:after="0"/>
              <w:jc w:val="center"/>
              <w:rPr>
                <w:rFonts w:eastAsia="宋体"/>
                <w:sz w:val="18"/>
              </w:rPr>
            </w:pPr>
            <w:r w:rsidRPr="00006F50">
              <w:rPr>
                <w:rFonts w:eastAsia="宋体"/>
                <w:sz w:val="18"/>
              </w:rPr>
              <w:t>个</w:t>
            </w:r>
          </w:p>
        </w:tc>
        <w:tc>
          <w:tcPr>
            <w:tcW w:w="0" w:type="auto"/>
            <w:vAlign w:val="center"/>
            <w:hideMark/>
          </w:tcPr>
          <w:p w14:paraId="4158756C" w14:textId="77777777" w:rsidR="004B7D90" w:rsidRPr="00006F50" w:rsidRDefault="004B7D90" w:rsidP="000F5584">
            <w:pPr>
              <w:spacing w:beforeLines="0" w:before="0" w:afterLines="0" w:after="0"/>
              <w:jc w:val="center"/>
              <w:rPr>
                <w:rFonts w:eastAsia="宋体"/>
                <w:sz w:val="18"/>
              </w:rPr>
            </w:pPr>
            <w:r w:rsidRPr="00006F50">
              <w:rPr>
                <w:rFonts w:eastAsia="宋体"/>
                <w:sz w:val="18"/>
              </w:rPr>
              <w:t>钻孔资料</w:t>
            </w:r>
          </w:p>
        </w:tc>
      </w:tr>
      <w:tr w:rsidR="004B7D90" w:rsidRPr="00006F50" w14:paraId="5BE69FC0" w14:textId="77777777" w:rsidTr="000F5584">
        <w:trPr>
          <w:tblCellSpacing w:w="15" w:type="dxa"/>
          <w:jc w:val="center"/>
        </w:trPr>
        <w:tc>
          <w:tcPr>
            <w:tcW w:w="0" w:type="auto"/>
            <w:vAlign w:val="center"/>
            <w:hideMark/>
          </w:tcPr>
          <w:p w14:paraId="2B8D4F2A" w14:textId="77777777" w:rsidR="004B7D90" w:rsidRPr="00006F50" w:rsidRDefault="004B7D90" w:rsidP="000F5584">
            <w:pPr>
              <w:spacing w:beforeLines="0" w:before="0" w:afterLines="0" w:after="0"/>
              <w:jc w:val="center"/>
              <w:rPr>
                <w:rFonts w:eastAsia="宋体"/>
                <w:sz w:val="18"/>
              </w:rPr>
            </w:pPr>
            <w:r w:rsidRPr="00006F50">
              <w:rPr>
                <w:rFonts w:eastAsia="宋体"/>
                <w:sz w:val="18"/>
              </w:rPr>
              <w:t>研究区基础</w:t>
            </w:r>
          </w:p>
        </w:tc>
        <w:tc>
          <w:tcPr>
            <w:tcW w:w="0" w:type="auto"/>
            <w:vAlign w:val="center"/>
            <w:hideMark/>
          </w:tcPr>
          <w:p w14:paraId="6722B720" w14:textId="77777777" w:rsidR="004B7D90" w:rsidRPr="00006F50" w:rsidRDefault="004B7D90" w:rsidP="000F5584">
            <w:pPr>
              <w:spacing w:beforeLines="0" w:before="0" w:afterLines="0" w:after="0"/>
              <w:jc w:val="center"/>
              <w:rPr>
                <w:rFonts w:eastAsia="宋体"/>
                <w:sz w:val="18"/>
              </w:rPr>
            </w:pPr>
            <w:r w:rsidRPr="00006F50">
              <w:rPr>
                <w:rFonts w:eastAsia="宋体"/>
                <w:sz w:val="18"/>
              </w:rPr>
              <w:t>原始边界面积</w:t>
            </w:r>
          </w:p>
        </w:tc>
        <w:tc>
          <w:tcPr>
            <w:tcW w:w="0" w:type="auto"/>
            <w:vAlign w:val="center"/>
            <w:hideMark/>
          </w:tcPr>
          <w:p w14:paraId="39D841A8" w14:textId="77777777" w:rsidR="004B7D90" w:rsidRPr="00006F50" w:rsidRDefault="004B7D90" w:rsidP="000F5584">
            <w:pPr>
              <w:spacing w:beforeLines="0" w:before="0" w:afterLines="0" w:after="0"/>
              <w:jc w:val="center"/>
              <w:rPr>
                <w:rFonts w:eastAsia="宋体"/>
                <w:sz w:val="18"/>
              </w:rPr>
            </w:pPr>
            <w:r w:rsidRPr="00006F50">
              <w:rPr>
                <w:rFonts w:eastAsia="宋体"/>
                <w:sz w:val="18"/>
              </w:rPr>
              <w:t>255250.00</w:t>
            </w:r>
          </w:p>
        </w:tc>
        <w:tc>
          <w:tcPr>
            <w:tcW w:w="0" w:type="auto"/>
            <w:vAlign w:val="center"/>
            <w:hideMark/>
          </w:tcPr>
          <w:p w14:paraId="385BAD9D" w14:textId="77777777" w:rsidR="004B7D90" w:rsidRPr="00006F50" w:rsidRDefault="004B7D90" w:rsidP="000F5584">
            <w:pPr>
              <w:spacing w:beforeLines="0" w:before="0" w:afterLines="0" w:after="0"/>
              <w:jc w:val="center"/>
              <w:rPr>
                <w:rFonts w:eastAsia="宋体"/>
                <w:sz w:val="18"/>
              </w:rPr>
            </w:pPr>
            <w:r w:rsidRPr="00006F50">
              <w:rPr>
                <w:rFonts w:eastAsia="宋体"/>
                <w:sz w:val="18"/>
              </w:rPr>
              <w:t>m²</w:t>
            </w:r>
          </w:p>
        </w:tc>
        <w:tc>
          <w:tcPr>
            <w:tcW w:w="0" w:type="auto"/>
            <w:vAlign w:val="center"/>
            <w:hideMark/>
          </w:tcPr>
          <w:p w14:paraId="302022DF" w14:textId="77777777" w:rsidR="004B7D90" w:rsidRPr="00006F50" w:rsidRDefault="004B7D90" w:rsidP="000F5584">
            <w:pPr>
              <w:spacing w:beforeLines="0" w:before="0" w:afterLines="0" w:after="0"/>
              <w:jc w:val="center"/>
              <w:rPr>
                <w:rFonts w:eastAsia="宋体"/>
                <w:sz w:val="18"/>
              </w:rPr>
            </w:pPr>
            <w:r w:rsidRPr="00006F50">
              <w:rPr>
                <w:rFonts w:eastAsia="宋体"/>
                <w:sz w:val="18"/>
              </w:rPr>
              <w:t>边界数据</w:t>
            </w:r>
          </w:p>
        </w:tc>
      </w:tr>
      <w:tr w:rsidR="004B7D90" w:rsidRPr="00006F50" w14:paraId="0AA4AD8B" w14:textId="77777777" w:rsidTr="000F5584">
        <w:trPr>
          <w:tblCellSpacing w:w="15" w:type="dxa"/>
          <w:jc w:val="center"/>
        </w:trPr>
        <w:tc>
          <w:tcPr>
            <w:tcW w:w="0" w:type="auto"/>
            <w:vAlign w:val="center"/>
            <w:hideMark/>
          </w:tcPr>
          <w:p w14:paraId="398B6151" w14:textId="77777777" w:rsidR="004B7D90" w:rsidRPr="00006F50" w:rsidRDefault="004B7D90" w:rsidP="000F5584">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33212EBA" w14:textId="77777777" w:rsidR="004B7D90" w:rsidRPr="00006F50" w:rsidRDefault="004B7D90" w:rsidP="000F5584">
            <w:pPr>
              <w:spacing w:beforeLines="0" w:before="0" w:afterLines="0" w:after="0"/>
              <w:jc w:val="center"/>
              <w:rPr>
                <w:rFonts w:eastAsia="宋体"/>
                <w:sz w:val="18"/>
              </w:rPr>
            </w:pPr>
            <w:r w:rsidRPr="00006F50">
              <w:rPr>
                <w:rFonts w:eastAsia="宋体"/>
                <w:sz w:val="18"/>
              </w:rPr>
              <w:t>煤层厚度最小值</w:t>
            </w:r>
          </w:p>
        </w:tc>
        <w:tc>
          <w:tcPr>
            <w:tcW w:w="0" w:type="auto"/>
            <w:vAlign w:val="center"/>
            <w:hideMark/>
          </w:tcPr>
          <w:p w14:paraId="1B0A684B" w14:textId="77777777" w:rsidR="004B7D90" w:rsidRPr="00006F50" w:rsidRDefault="004B7D90" w:rsidP="000F5584">
            <w:pPr>
              <w:spacing w:beforeLines="0" w:before="0" w:afterLines="0" w:after="0"/>
              <w:jc w:val="center"/>
              <w:rPr>
                <w:rFonts w:eastAsia="宋体"/>
                <w:sz w:val="18"/>
              </w:rPr>
            </w:pPr>
            <w:r w:rsidRPr="00006F50">
              <w:rPr>
                <w:rFonts w:eastAsia="宋体"/>
                <w:sz w:val="18"/>
              </w:rPr>
              <w:t>2.8</w:t>
            </w:r>
          </w:p>
        </w:tc>
        <w:tc>
          <w:tcPr>
            <w:tcW w:w="0" w:type="auto"/>
            <w:vAlign w:val="center"/>
            <w:hideMark/>
          </w:tcPr>
          <w:p w14:paraId="794FCD19" w14:textId="77777777" w:rsidR="004B7D90" w:rsidRPr="00006F50" w:rsidRDefault="004B7D90" w:rsidP="000F5584">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057C3FB5" w14:textId="77777777" w:rsidR="004B7D90" w:rsidRPr="00006F50" w:rsidRDefault="004B7D90" w:rsidP="000F5584">
            <w:pPr>
              <w:spacing w:beforeLines="0" w:before="0" w:afterLines="0" w:after="0"/>
              <w:jc w:val="center"/>
              <w:rPr>
                <w:rFonts w:eastAsia="宋体"/>
                <w:sz w:val="18"/>
              </w:rPr>
            </w:pPr>
            <w:r w:rsidRPr="00006F50">
              <w:rPr>
                <w:rFonts w:eastAsia="宋体"/>
                <w:sz w:val="18"/>
              </w:rPr>
              <w:t>钻孔样点</w:t>
            </w:r>
          </w:p>
        </w:tc>
      </w:tr>
      <w:tr w:rsidR="004B7D90" w:rsidRPr="00006F50" w14:paraId="7538B217" w14:textId="77777777" w:rsidTr="000F5584">
        <w:trPr>
          <w:tblCellSpacing w:w="15" w:type="dxa"/>
          <w:jc w:val="center"/>
        </w:trPr>
        <w:tc>
          <w:tcPr>
            <w:tcW w:w="0" w:type="auto"/>
            <w:vAlign w:val="center"/>
            <w:hideMark/>
          </w:tcPr>
          <w:p w14:paraId="6AA2561B" w14:textId="77777777" w:rsidR="004B7D90" w:rsidRPr="00006F50" w:rsidRDefault="004B7D90" w:rsidP="000F5584">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70CE34E1" w14:textId="77777777" w:rsidR="004B7D90" w:rsidRPr="00006F50" w:rsidRDefault="004B7D90" w:rsidP="000F5584">
            <w:pPr>
              <w:spacing w:beforeLines="0" w:before="0" w:afterLines="0" w:after="0"/>
              <w:jc w:val="center"/>
              <w:rPr>
                <w:rFonts w:eastAsia="宋体"/>
                <w:sz w:val="18"/>
              </w:rPr>
            </w:pPr>
            <w:r w:rsidRPr="00006F50">
              <w:rPr>
                <w:rFonts w:eastAsia="宋体"/>
                <w:sz w:val="18"/>
              </w:rPr>
              <w:t>煤层厚度最大值</w:t>
            </w:r>
          </w:p>
        </w:tc>
        <w:tc>
          <w:tcPr>
            <w:tcW w:w="0" w:type="auto"/>
            <w:vAlign w:val="center"/>
            <w:hideMark/>
          </w:tcPr>
          <w:p w14:paraId="31CF8B3C" w14:textId="77777777" w:rsidR="004B7D90" w:rsidRPr="00006F50" w:rsidRDefault="004B7D90" w:rsidP="000F5584">
            <w:pPr>
              <w:spacing w:beforeLines="0" w:before="0" w:afterLines="0" w:after="0"/>
              <w:jc w:val="center"/>
              <w:rPr>
                <w:rFonts w:eastAsia="宋体"/>
                <w:sz w:val="18"/>
              </w:rPr>
            </w:pPr>
            <w:r w:rsidRPr="00006F50">
              <w:rPr>
                <w:rFonts w:eastAsia="宋体"/>
                <w:sz w:val="18"/>
              </w:rPr>
              <w:t>4.8</w:t>
            </w:r>
          </w:p>
        </w:tc>
        <w:tc>
          <w:tcPr>
            <w:tcW w:w="0" w:type="auto"/>
            <w:vAlign w:val="center"/>
            <w:hideMark/>
          </w:tcPr>
          <w:p w14:paraId="021D3B11" w14:textId="77777777" w:rsidR="004B7D90" w:rsidRPr="00006F50" w:rsidRDefault="004B7D90" w:rsidP="000F5584">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366FAC7B" w14:textId="77777777" w:rsidR="004B7D90" w:rsidRPr="00006F50" w:rsidRDefault="004B7D90" w:rsidP="000F5584">
            <w:pPr>
              <w:spacing w:beforeLines="0" w:before="0" w:afterLines="0" w:after="0"/>
              <w:jc w:val="center"/>
              <w:rPr>
                <w:rFonts w:eastAsia="宋体"/>
                <w:sz w:val="18"/>
              </w:rPr>
            </w:pPr>
            <w:r w:rsidRPr="00006F50">
              <w:rPr>
                <w:rFonts w:eastAsia="宋体"/>
                <w:sz w:val="18"/>
              </w:rPr>
              <w:t>钻孔样点</w:t>
            </w:r>
          </w:p>
        </w:tc>
      </w:tr>
      <w:tr w:rsidR="004B7D90" w:rsidRPr="00006F50" w14:paraId="32FB86FC" w14:textId="77777777" w:rsidTr="000F5584">
        <w:trPr>
          <w:tblCellSpacing w:w="15" w:type="dxa"/>
          <w:jc w:val="center"/>
        </w:trPr>
        <w:tc>
          <w:tcPr>
            <w:tcW w:w="0" w:type="auto"/>
            <w:vAlign w:val="center"/>
            <w:hideMark/>
          </w:tcPr>
          <w:p w14:paraId="1B15112C" w14:textId="77777777" w:rsidR="004B7D90" w:rsidRPr="00006F50" w:rsidRDefault="004B7D90" w:rsidP="000F5584">
            <w:pPr>
              <w:spacing w:beforeLines="0" w:before="0" w:afterLines="0" w:after="0"/>
              <w:jc w:val="center"/>
              <w:rPr>
                <w:rFonts w:eastAsia="宋体"/>
                <w:sz w:val="18"/>
              </w:rPr>
            </w:pPr>
            <w:r w:rsidRPr="00006F50">
              <w:rPr>
                <w:rFonts w:eastAsia="宋体"/>
                <w:sz w:val="18"/>
              </w:rPr>
              <w:t>煤层属性</w:t>
            </w:r>
          </w:p>
        </w:tc>
        <w:tc>
          <w:tcPr>
            <w:tcW w:w="0" w:type="auto"/>
            <w:vAlign w:val="center"/>
            <w:hideMark/>
          </w:tcPr>
          <w:p w14:paraId="12407F5B" w14:textId="77777777" w:rsidR="004B7D90" w:rsidRPr="00006F50" w:rsidRDefault="004B7D90" w:rsidP="000F5584">
            <w:pPr>
              <w:spacing w:beforeLines="0" w:before="0" w:afterLines="0" w:after="0"/>
              <w:jc w:val="center"/>
              <w:rPr>
                <w:rFonts w:eastAsia="宋体"/>
                <w:sz w:val="18"/>
              </w:rPr>
            </w:pPr>
            <w:r w:rsidRPr="00006F50">
              <w:rPr>
                <w:rFonts w:eastAsia="宋体"/>
                <w:sz w:val="18"/>
              </w:rPr>
              <w:t>煤层厚度平均值</w:t>
            </w:r>
          </w:p>
        </w:tc>
        <w:tc>
          <w:tcPr>
            <w:tcW w:w="0" w:type="auto"/>
            <w:vAlign w:val="center"/>
            <w:hideMark/>
          </w:tcPr>
          <w:p w14:paraId="4F628CA4" w14:textId="77777777" w:rsidR="004B7D90" w:rsidRPr="00006F50" w:rsidRDefault="004B7D90" w:rsidP="000F5584">
            <w:pPr>
              <w:spacing w:beforeLines="0" w:before="0" w:afterLines="0" w:after="0"/>
              <w:jc w:val="center"/>
              <w:rPr>
                <w:rFonts w:eastAsia="宋体"/>
                <w:sz w:val="18"/>
              </w:rPr>
            </w:pPr>
            <w:r w:rsidRPr="00006F50">
              <w:rPr>
                <w:rFonts w:eastAsia="宋体"/>
                <w:sz w:val="18"/>
              </w:rPr>
              <w:t>3.7933</w:t>
            </w:r>
          </w:p>
        </w:tc>
        <w:tc>
          <w:tcPr>
            <w:tcW w:w="0" w:type="auto"/>
            <w:vAlign w:val="center"/>
            <w:hideMark/>
          </w:tcPr>
          <w:p w14:paraId="12BA4D77" w14:textId="77777777" w:rsidR="004B7D90" w:rsidRPr="00006F50" w:rsidRDefault="004B7D90" w:rsidP="000F5584">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03A9890" w14:textId="77777777" w:rsidR="004B7D90" w:rsidRPr="00006F50" w:rsidRDefault="004B7D90" w:rsidP="000F5584">
            <w:pPr>
              <w:spacing w:beforeLines="0" w:before="0" w:afterLines="0" w:after="0"/>
              <w:jc w:val="center"/>
              <w:rPr>
                <w:rFonts w:eastAsia="宋体"/>
                <w:sz w:val="18"/>
              </w:rPr>
            </w:pPr>
            <w:r w:rsidRPr="00006F50">
              <w:rPr>
                <w:rFonts w:eastAsia="宋体"/>
                <w:sz w:val="18"/>
              </w:rPr>
              <w:t>钻孔样点</w:t>
            </w:r>
          </w:p>
        </w:tc>
      </w:tr>
      <w:tr w:rsidR="004B7D90" w:rsidRPr="00006F50" w14:paraId="053D0202" w14:textId="77777777" w:rsidTr="000F5584">
        <w:trPr>
          <w:tblCellSpacing w:w="15" w:type="dxa"/>
          <w:jc w:val="center"/>
        </w:trPr>
        <w:tc>
          <w:tcPr>
            <w:tcW w:w="0" w:type="auto"/>
            <w:vAlign w:val="center"/>
            <w:hideMark/>
          </w:tcPr>
          <w:p w14:paraId="76762DA3" w14:textId="77777777" w:rsidR="004B7D90" w:rsidRPr="00006F50" w:rsidRDefault="004B7D90" w:rsidP="000F5584">
            <w:pPr>
              <w:spacing w:beforeLines="0" w:before="0" w:afterLines="0" w:after="0"/>
              <w:jc w:val="center"/>
              <w:rPr>
                <w:rFonts w:eastAsia="宋体"/>
                <w:sz w:val="18"/>
              </w:rPr>
            </w:pPr>
            <w:r w:rsidRPr="00006F50">
              <w:rPr>
                <w:rFonts w:eastAsia="宋体"/>
                <w:sz w:val="18"/>
              </w:rPr>
              <w:t>几何约束</w:t>
            </w:r>
          </w:p>
        </w:tc>
        <w:tc>
          <w:tcPr>
            <w:tcW w:w="0" w:type="auto"/>
            <w:vAlign w:val="center"/>
            <w:hideMark/>
          </w:tcPr>
          <w:p w14:paraId="2EC1B9FB" w14:textId="77777777" w:rsidR="004B7D90" w:rsidRPr="00006F50" w:rsidRDefault="004B7D90" w:rsidP="000F5584">
            <w:pPr>
              <w:spacing w:beforeLines="0" w:before="0" w:afterLines="0" w:after="0"/>
              <w:jc w:val="center"/>
              <w:rPr>
                <w:rFonts w:eastAsia="宋体"/>
                <w:sz w:val="18"/>
              </w:rPr>
            </w:pPr>
            <w:r w:rsidRPr="00006F50">
              <w:rPr>
                <w:rFonts w:eastAsia="宋体"/>
                <w:sz w:val="18"/>
              </w:rPr>
              <w:t>边界煤柱宽度</w:t>
            </w:r>
          </w:p>
        </w:tc>
        <w:tc>
          <w:tcPr>
            <w:tcW w:w="0" w:type="auto"/>
            <w:vAlign w:val="center"/>
            <w:hideMark/>
          </w:tcPr>
          <w:p w14:paraId="59089E16" w14:textId="77777777" w:rsidR="004B7D90" w:rsidRPr="00006F50" w:rsidRDefault="004B7D90" w:rsidP="000F5584">
            <w:pPr>
              <w:spacing w:beforeLines="0" w:before="0" w:afterLines="0" w:after="0"/>
              <w:jc w:val="center"/>
              <w:rPr>
                <w:rFonts w:eastAsia="宋体"/>
                <w:sz w:val="18"/>
              </w:rPr>
            </w:pPr>
            <w:r w:rsidRPr="00006F50">
              <w:rPr>
                <w:rFonts w:eastAsia="宋体"/>
                <w:sz w:val="18"/>
              </w:rPr>
              <w:t>30.0</w:t>
            </w:r>
          </w:p>
        </w:tc>
        <w:tc>
          <w:tcPr>
            <w:tcW w:w="0" w:type="auto"/>
            <w:vAlign w:val="center"/>
            <w:hideMark/>
          </w:tcPr>
          <w:p w14:paraId="3AA58BE8" w14:textId="77777777" w:rsidR="004B7D90" w:rsidRPr="00006F50" w:rsidRDefault="004B7D90" w:rsidP="000F5584">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7BF51BEB" w14:textId="77777777" w:rsidR="004B7D90" w:rsidRPr="00006F50" w:rsidRDefault="004B7D90" w:rsidP="000F5584">
            <w:pPr>
              <w:spacing w:beforeLines="0" w:before="0" w:afterLines="0" w:after="0"/>
              <w:jc w:val="center"/>
              <w:rPr>
                <w:rFonts w:eastAsia="宋体"/>
                <w:sz w:val="18"/>
              </w:rPr>
            </w:pPr>
            <w:r w:rsidRPr="00006F50">
              <w:rPr>
                <w:rFonts w:eastAsia="宋体"/>
                <w:sz w:val="18"/>
              </w:rPr>
              <w:t>规划约束</w:t>
            </w:r>
          </w:p>
        </w:tc>
      </w:tr>
      <w:tr w:rsidR="004B7D90" w:rsidRPr="00006F50" w14:paraId="11130047" w14:textId="77777777" w:rsidTr="000F5584">
        <w:trPr>
          <w:tblCellSpacing w:w="15" w:type="dxa"/>
          <w:jc w:val="center"/>
        </w:trPr>
        <w:tc>
          <w:tcPr>
            <w:tcW w:w="0" w:type="auto"/>
            <w:vAlign w:val="center"/>
            <w:hideMark/>
          </w:tcPr>
          <w:p w14:paraId="1082AF1E" w14:textId="77777777" w:rsidR="004B7D90" w:rsidRPr="00006F50" w:rsidRDefault="004B7D90" w:rsidP="000F5584">
            <w:pPr>
              <w:spacing w:beforeLines="0" w:before="0" w:afterLines="0" w:after="0"/>
              <w:jc w:val="center"/>
              <w:rPr>
                <w:rFonts w:eastAsia="宋体"/>
                <w:sz w:val="18"/>
              </w:rPr>
            </w:pPr>
            <w:r w:rsidRPr="00006F50">
              <w:rPr>
                <w:rFonts w:eastAsia="宋体"/>
                <w:sz w:val="18"/>
              </w:rPr>
              <w:t>几何约束</w:t>
            </w:r>
          </w:p>
        </w:tc>
        <w:tc>
          <w:tcPr>
            <w:tcW w:w="0" w:type="auto"/>
            <w:vAlign w:val="center"/>
            <w:hideMark/>
          </w:tcPr>
          <w:p w14:paraId="0084C1B5" w14:textId="77777777" w:rsidR="004B7D90" w:rsidRPr="00006F50" w:rsidRDefault="004B7D90" w:rsidP="000F5584">
            <w:pPr>
              <w:spacing w:beforeLines="0" w:before="0" w:afterLines="0" w:after="0"/>
              <w:jc w:val="center"/>
              <w:rPr>
                <w:rFonts w:eastAsia="宋体"/>
                <w:sz w:val="18"/>
              </w:rPr>
            </w:pPr>
            <w:r w:rsidRPr="00006F50">
              <w:rPr>
                <w:rFonts w:eastAsia="宋体"/>
                <w:sz w:val="18"/>
              </w:rPr>
              <w:t>区段煤柱宽度</w:t>
            </w:r>
          </w:p>
        </w:tc>
        <w:tc>
          <w:tcPr>
            <w:tcW w:w="0" w:type="auto"/>
            <w:vAlign w:val="center"/>
            <w:hideMark/>
          </w:tcPr>
          <w:p w14:paraId="0007EBE3" w14:textId="77777777" w:rsidR="004B7D90" w:rsidRPr="00006F50" w:rsidRDefault="004B7D90" w:rsidP="000F5584">
            <w:pPr>
              <w:spacing w:beforeLines="0" w:before="0" w:afterLines="0" w:after="0"/>
              <w:jc w:val="center"/>
              <w:rPr>
                <w:rFonts w:eastAsia="宋体"/>
                <w:sz w:val="18"/>
              </w:rPr>
            </w:pPr>
            <w:r w:rsidRPr="00006F50">
              <w:rPr>
                <w:rFonts w:eastAsia="宋体"/>
                <w:sz w:val="18"/>
              </w:rPr>
              <w:t>20.0</w:t>
            </w:r>
          </w:p>
        </w:tc>
        <w:tc>
          <w:tcPr>
            <w:tcW w:w="0" w:type="auto"/>
            <w:vAlign w:val="center"/>
            <w:hideMark/>
          </w:tcPr>
          <w:p w14:paraId="4AF1209B" w14:textId="77777777" w:rsidR="004B7D90" w:rsidRPr="00006F50" w:rsidRDefault="004B7D90" w:rsidP="000F5584">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F7CC80B" w14:textId="77777777" w:rsidR="004B7D90" w:rsidRPr="00006F50" w:rsidRDefault="004B7D90" w:rsidP="000F5584">
            <w:pPr>
              <w:spacing w:beforeLines="0" w:before="0" w:afterLines="0" w:after="0"/>
              <w:jc w:val="center"/>
              <w:rPr>
                <w:rFonts w:eastAsia="宋体"/>
                <w:sz w:val="18"/>
              </w:rPr>
            </w:pPr>
            <w:r w:rsidRPr="00006F50">
              <w:rPr>
                <w:rFonts w:eastAsia="宋体"/>
                <w:sz w:val="18"/>
              </w:rPr>
              <w:t>规划约束</w:t>
            </w:r>
          </w:p>
        </w:tc>
      </w:tr>
      <w:tr w:rsidR="004B7D90" w:rsidRPr="00006F50" w14:paraId="46717A97" w14:textId="77777777" w:rsidTr="000F5584">
        <w:trPr>
          <w:tblCellSpacing w:w="15" w:type="dxa"/>
          <w:jc w:val="center"/>
        </w:trPr>
        <w:tc>
          <w:tcPr>
            <w:tcW w:w="0" w:type="auto"/>
            <w:vAlign w:val="center"/>
            <w:hideMark/>
          </w:tcPr>
          <w:p w14:paraId="20FE52B3" w14:textId="77777777" w:rsidR="004B7D90" w:rsidRPr="00006F50" w:rsidRDefault="004B7D90" w:rsidP="000F5584">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57B76BA0" w14:textId="77777777" w:rsidR="004B7D90" w:rsidRPr="00006F50" w:rsidRDefault="004B7D90" w:rsidP="000F5584">
            <w:pPr>
              <w:spacing w:beforeLines="0" w:before="0" w:afterLines="0" w:after="0"/>
              <w:jc w:val="center"/>
              <w:rPr>
                <w:rFonts w:eastAsia="宋体"/>
                <w:sz w:val="18"/>
              </w:rPr>
            </w:pPr>
            <w:r w:rsidRPr="00006F50">
              <w:rPr>
                <w:rFonts w:eastAsia="宋体"/>
                <w:sz w:val="18"/>
              </w:rPr>
              <w:t>工作面宽度</w:t>
            </w:r>
          </w:p>
        </w:tc>
        <w:tc>
          <w:tcPr>
            <w:tcW w:w="0" w:type="auto"/>
            <w:vAlign w:val="center"/>
            <w:hideMark/>
          </w:tcPr>
          <w:p w14:paraId="32A8C7B8" w14:textId="77777777" w:rsidR="004B7D90" w:rsidRPr="00006F50" w:rsidRDefault="004B7D90" w:rsidP="000F5584">
            <w:pPr>
              <w:spacing w:beforeLines="0" w:before="0" w:afterLines="0" w:after="0"/>
              <w:jc w:val="center"/>
              <w:rPr>
                <w:rFonts w:eastAsia="宋体"/>
                <w:sz w:val="18"/>
              </w:rPr>
            </w:pPr>
            <w:r w:rsidRPr="00006F50">
              <w:rPr>
                <w:rFonts w:eastAsia="宋体"/>
                <w:sz w:val="18"/>
              </w:rPr>
              <w:t>120.0</w:t>
            </w:r>
          </w:p>
        </w:tc>
        <w:tc>
          <w:tcPr>
            <w:tcW w:w="0" w:type="auto"/>
            <w:vAlign w:val="center"/>
            <w:hideMark/>
          </w:tcPr>
          <w:p w14:paraId="1002BB95" w14:textId="77777777" w:rsidR="004B7D90" w:rsidRPr="00006F50" w:rsidRDefault="004B7D90" w:rsidP="000F5584">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53E2FF85" w14:textId="77777777" w:rsidR="004B7D90" w:rsidRPr="00006F50" w:rsidRDefault="004B7D90" w:rsidP="000F5584">
            <w:pPr>
              <w:spacing w:beforeLines="0" w:before="0" w:afterLines="0" w:after="0"/>
              <w:jc w:val="center"/>
              <w:rPr>
                <w:rFonts w:eastAsia="宋体"/>
                <w:sz w:val="18"/>
              </w:rPr>
            </w:pPr>
            <w:r w:rsidRPr="00006F50">
              <w:rPr>
                <w:rFonts w:eastAsia="宋体"/>
                <w:sz w:val="18"/>
              </w:rPr>
              <w:t>设计参数</w:t>
            </w:r>
          </w:p>
        </w:tc>
      </w:tr>
      <w:tr w:rsidR="004B7D90" w:rsidRPr="00006F50" w14:paraId="4A719EF8" w14:textId="77777777" w:rsidTr="000F5584">
        <w:trPr>
          <w:tblCellSpacing w:w="15" w:type="dxa"/>
          <w:jc w:val="center"/>
        </w:trPr>
        <w:tc>
          <w:tcPr>
            <w:tcW w:w="0" w:type="auto"/>
            <w:vAlign w:val="center"/>
            <w:hideMark/>
          </w:tcPr>
          <w:p w14:paraId="0A78D491" w14:textId="77777777" w:rsidR="004B7D90" w:rsidRPr="00006F50" w:rsidRDefault="004B7D90" w:rsidP="000F5584">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587F6CC1" w14:textId="77777777" w:rsidR="004B7D90" w:rsidRPr="00006F50" w:rsidRDefault="004B7D90" w:rsidP="000F5584">
            <w:pPr>
              <w:spacing w:beforeLines="0" w:before="0" w:afterLines="0" w:after="0"/>
              <w:jc w:val="center"/>
              <w:rPr>
                <w:rFonts w:eastAsia="宋体"/>
                <w:sz w:val="18"/>
              </w:rPr>
            </w:pPr>
            <w:r w:rsidRPr="00006F50">
              <w:rPr>
                <w:rFonts w:eastAsia="宋体"/>
                <w:sz w:val="18"/>
              </w:rPr>
              <w:t>单工作面几何长度规则</w:t>
            </w:r>
          </w:p>
        </w:tc>
        <w:tc>
          <w:tcPr>
            <w:tcW w:w="0" w:type="auto"/>
            <w:vAlign w:val="center"/>
            <w:hideMark/>
          </w:tcPr>
          <w:p w14:paraId="2B7C1D27" w14:textId="77777777" w:rsidR="004B7D90" w:rsidRPr="00006F50" w:rsidRDefault="004B7D90" w:rsidP="000F5584">
            <w:pPr>
              <w:spacing w:beforeLines="0" w:before="0" w:afterLines="0" w:after="0"/>
              <w:jc w:val="center"/>
              <w:rPr>
                <w:rFonts w:eastAsia="宋体"/>
                <w:sz w:val="18"/>
              </w:rPr>
            </w:pPr>
            <w:r w:rsidRPr="00006F50">
              <w:rPr>
                <w:rFonts w:eastAsia="宋体"/>
                <w:sz w:val="18"/>
              </w:rPr>
              <w:t>120</w:t>
            </w:r>
            <w:r w:rsidRPr="00006F50">
              <w:rPr>
                <w:rFonts w:eastAsia="宋体"/>
                <w:sz w:val="18"/>
              </w:rPr>
              <w:t>～</w:t>
            </w:r>
            <w:r w:rsidRPr="00006F50">
              <w:rPr>
                <w:rFonts w:eastAsia="宋体"/>
                <w:sz w:val="18"/>
              </w:rPr>
              <w:t>260</w:t>
            </w:r>
            <w:r w:rsidRPr="00006F50">
              <w:rPr>
                <w:rFonts w:eastAsia="宋体"/>
                <w:sz w:val="18"/>
              </w:rPr>
              <w:t>，推荐值</w:t>
            </w:r>
            <w:r w:rsidRPr="00006F50">
              <w:rPr>
                <w:rFonts w:eastAsia="宋体"/>
                <w:sz w:val="18"/>
              </w:rPr>
              <w:t>200</w:t>
            </w:r>
          </w:p>
        </w:tc>
        <w:tc>
          <w:tcPr>
            <w:tcW w:w="0" w:type="auto"/>
            <w:vAlign w:val="center"/>
            <w:hideMark/>
          </w:tcPr>
          <w:p w14:paraId="5377305E" w14:textId="77777777" w:rsidR="004B7D90" w:rsidRPr="00006F50" w:rsidRDefault="004B7D90" w:rsidP="000F5584">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1E875FC4" w14:textId="77777777" w:rsidR="004B7D90" w:rsidRPr="00006F50" w:rsidRDefault="004B7D90" w:rsidP="000F5584">
            <w:pPr>
              <w:spacing w:beforeLines="0" w:before="0" w:afterLines="0" w:after="0"/>
              <w:jc w:val="center"/>
              <w:rPr>
                <w:rFonts w:eastAsia="宋体"/>
                <w:sz w:val="18"/>
              </w:rPr>
            </w:pPr>
            <w:r w:rsidRPr="00006F50">
              <w:rPr>
                <w:rFonts w:eastAsia="宋体"/>
                <w:sz w:val="18"/>
              </w:rPr>
              <w:t>规划规则</w:t>
            </w:r>
          </w:p>
        </w:tc>
      </w:tr>
      <w:tr w:rsidR="004B7D90" w:rsidRPr="00006F50" w14:paraId="43FB1964" w14:textId="77777777" w:rsidTr="000F5584">
        <w:trPr>
          <w:tblCellSpacing w:w="15" w:type="dxa"/>
          <w:jc w:val="center"/>
        </w:trPr>
        <w:tc>
          <w:tcPr>
            <w:tcW w:w="0" w:type="auto"/>
            <w:vAlign w:val="center"/>
            <w:hideMark/>
          </w:tcPr>
          <w:p w14:paraId="03EC75DA" w14:textId="77777777" w:rsidR="004B7D90" w:rsidRPr="00006F50" w:rsidRDefault="004B7D90" w:rsidP="000F5584">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2171D2EF" w14:textId="77777777" w:rsidR="004B7D90" w:rsidRPr="00006F50" w:rsidRDefault="004B7D90" w:rsidP="000F5584">
            <w:pPr>
              <w:spacing w:beforeLines="0" w:before="0" w:afterLines="0" w:after="0"/>
              <w:jc w:val="center"/>
              <w:rPr>
                <w:rFonts w:eastAsia="宋体"/>
                <w:sz w:val="18"/>
              </w:rPr>
            </w:pPr>
            <w:r w:rsidRPr="00006F50">
              <w:rPr>
                <w:rFonts w:eastAsia="宋体"/>
                <w:sz w:val="18"/>
              </w:rPr>
              <w:t>推进长度校核阈值</w:t>
            </w:r>
          </w:p>
        </w:tc>
        <w:tc>
          <w:tcPr>
            <w:tcW w:w="0" w:type="auto"/>
            <w:vAlign w:val="center"/>
            <w:hideMark/>
          </w:tcPr>
          <w:p w14:paraId="26B5F125" w14:textId="77777777" w:rsidR="004B7D90" w:rsidRPr="00006F50" w:rsidRDefault="004B7D90" w:rsidP="000F5584">
            <w:pPr>
              <w:spacing w:beforeLines="0" w:before="0" w:afterLines="0" w:after="0"/>
              <w:jc w:val="center"/>
              <w:rPr>
                <w:rFonts w:eastAsia="宋体"/>
                <w:sz w:val="18"/>
              </w:rPr>
            </w:pPr>
            <w:r w:rsidRPr="00006F50">
              <w:rPr>
                <w:rFonts w:eastAsia="宋体"/>
                <w:sz w:val="18"/>
              </w:rPr>
              <w:t>800.0</w:t>
            </w:r>
          </w:p>
        </w:tc>
        <w:tc>
          <w:tcPr>
            <w:tcW w:w="0" w:type="auto"/>
            <w:vAlign w:val="center"/>
            <w:hideMark/>
          </w:tcPr>
          <w:p w14:paraId="2CF0D582" w14:textId="77777777" w:rsidR="004B7D90" w:rsidRPr="00006F50" w:rsidRDefault="004B7D90" w:rsidP="000F5584">
            <w:pPr>
              <w:spacing w:beforeLines="0" w:before="0" w:afterLines="0" w:after="0"/>
              <w:jc w:val="center"/>
              <w:rPr>
                <w:rFonts w:eastAsia="宋体"/>
                <w:sz w:val="18"/>
              </w:rPr>
            </w:pPr>
            <w:r w:rsidRPr="00006F50">
              <w:rPr>
                <w:rFonts w:eastAsia="宋体"/>
                <w:sz w:val="18"/>
              </w:rPr>
              <w:t>m</w:t>
            </w:r>
          </w:p>
        </w:tc>
        <w:tc>
          <w:tcPr>
            <w:tcW w:w="0" w:type="auto"/>
            <w:vAlign w:val="center"/>
            <w:hideMark/>
          </w:tcPr>
          <w:p w14:paraId="2E3BB77E" w14:textId="77777777" w:rsidR="004B7D90" w:rsidRPr="00006F50" w:rsidRDefault="004B7D90" w:rsidP="000F5584">
            <w:pPr>
              <w:spacing w:beforeLines="0" w:before="0" w:afterLines="0" w:after="0"/>
              <w:jc w:val="center"/>
              <w:rPr>
                <w:rFonts w:eastAsia="宋体"/>
                <w:sz w:val="18"/>
              </w:rPr>
            </w:pPr>
            <w:r w:rsidRPr="00006F50">
              <w:rPr>
                <w:rFonts w:eastAsia="宋体"/>
                <w:sz w:val="18"/>
              </w:rPr>
              <w:t>规划规则</w:t>
            </w:r>
          </w:p>
        </w:tc>
      </w:tr>
      <w:tr w:rsidR="004B7D90" w:rsidRPr="00006F50" w14:paraId="423C0545" w14:textId="77777777" w:rsidTr="000F5584">
        <w:trPr>
          <w:tblCellSpacing w:w="15" w:type="dxa"/>
          <w:jc w:val="center"/>
        </w:trPr>
        <w:tc>
          <w:tcPr>
            <w:tcW w:w="0" w:type="auto"/>
            <w:vAlign w:val="center"/>
            <w:hideMark/>
          </w:tcPr>
          <w:p w14:paraId="1309E926" w14:textId="77777777" w:rsidR="004B7D90" w:rsidRPr="00006F50" w:rsidRDefault="004B7D90" w:rsidP="000F5584">
            <w:pPr>
              <w:spacing w:beforeLines="0" w:before="0" w:afterLines="0" w:after="0"/>
              <w:jc w:val="center"/>
              <w:rPr>
                <w:rFonts w:eastAsia="宋体"/>
                <w:sz w:val="18"/>
              </w:rPr>
            </w:pPr>
            <w:r w:rsidRPr="00006F50">
              <w:rPr>
                <w:rFonts w:eastAsia="宋体"/>
                <w:sz w:val="18"/>
              </w:rPr>
              <w:t>布置参数</w:t>
            </w:r>
          </w:p>
        </w:tc>
        <w:tc>
          <w:tcPr>
            <w:tcW w:w="0" w:type="auto"/>
            <w:vAlign w:val="center"/>
            <w:hideMark/>
          </w:tcPr>
          <w:p w14:paraId="7E4205C8" w14:textId="77777777" w:rsidR="004B7D90" w:rsidRPr="00006F50" w:rsidRDefault="004B7D90" w:rsidP="000F5584">
            <w:pPr>
              <w:spacing w:beforeLines="0" w:before="0" w:afterLines="0" w:after="0"/>
              <w:jc w:val="center"/>
              <w:rPr>
                <w:rFonts w:eastAsia="宋体"/>
                <w:sz w:val="18"/>
              </w:rPr>
            </w:pPr>
            <w:r w:rsidRPr="00006F50">
              <w:rPr>
                <w:rFonts w:eastAsia="宋体"/>
                <w:sz w:val="18"/>
              </w:rPr>
              <w:t>推进方向</w:t>
            </w:r>
          </w:p>
        </w:tc>
        <w:tc>
          <w:tcPr>
            <w:tcW w:w="0" w:type="auto"/>
            <w:vAlign w:val="center"/>
            <w:hideMark/>
          </w:tcPr>
          <w:p w14:paraId="45E4C596" w14:textId="77777777" w:rsidR="004B7D90" w:rsidRPr="00006F50" w:rsidRDefault="004B7D90" w:rsidP="000F5584">
            <w:pPr>
              <w:spacing w:beforeLines="0" w:before="0" w:afterLines="0" w:after="0"/>
              <w:jc w:val="center"/>
              <w:rPr>
                <w:rFonts w:eastAsia="宋体"/>
                <w:sz w:val="18"/>
              </w:rPr>
            </w:pPr>
            <w:r w:rsidRPr="00006F50">
              <w:rPr>
                <w:rFonts w:eastAsia="宋体"/>
                <w:sz w:val="18"/>
              </w:rPr>
              <w:t>走向长壁布置，走向</w:t>
            </w:r>
            <w:r w:rsidRPr="00006F50">
              <w:rPr>
                <w:rFonts w:eastAsia="宋体"/>
                <w:sz w:val="18"/>
              </w:rPr>
              <w:t>180.0°</w:t>
            </w:r>
          </w:p>
        </w:tc>
        <w:tc>
          <w:tcPr>
            <w:tcW w:w="0" w:type="auto"/>
            <w:vAlign w:val="center"/>
            <w:hideMark/>
          </w:tcPr>
          <w:p w14:paraId="747CF61D" w14:textId="77777777" w:rsidR="004B7D90" w:rsidRPr="00006F50" w:rsidRDefault="004B7D90" w:rsidP="000F5584">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78FAA294" w14:textId="77777777" w:rsidR="004B7D90" w:rsidRPr="00006F50" w:rsidRDefault="004B7D90" w:rsidP="000F5584">
            <w:pPr>
              <w:spacing w:beforeLines="0" w:before="0" w:afterLines="0" w:after="0"/>
              <w:jc w:val="center"/>
              <w:rPr>
                <w:rFonts w:eastAsia="宋体"/>
                <w:sz w:val="18"/>
              </w:rPr>
            </w:pPr>
            <w:r w:rsidRPr="00006F50">
              <w:rPr>
                <w:rFonts w:eastAsia="宋体"/>
                <w:sz w:val="18"/>
              </w:rPr>
              <w:t>设计结果</w:t>
            </w:r>
          </w:p>
        </w:tc>
      </w:tr>
      <w:tr w:rsidR="004B7D90" w:rsidRPr="00006F50" w14:paraId="15C2F6B4" w14:textId="77777777" w:rsidTr="000F5584">
        <w:trPr>
          <w:tblCellSpacing w:w="15" w:type="dxa"/>
          <w:jc w:val="center"/>
        </w:trPr>
        <w:tc>
          <w:tcPr>
            <w:tcW w:w="0" w:type="auto"/>
            <w:vAlign w:val="center"/>
            <w:hideMark/>
          </w:tcPr>
          <w:p w14:paraId="13A30B80" w14:textId="77777777" w:rsidR="004B7D90" w:rsidRPr="00006F50" w:rsidRDefault="004B7D90" w:rsidP="000F5584">
            <w:pPr>
              <w:spacing w:beforeLines="0" w:before="0" w:afterLines="0" w:after="0"/>
              <w:jc w:val="center"/>
              <w:rPr>
                <w:rFonts w:eastAsia="宋体"/>
                <w:sz w:val="18"/>
              </w:rPr>
            </w:pPr>
            <w:r w:rsidRPr="00006F50">
              <w:rPr>
                <w:rFonts w:eastAsia="宋体"/>
                <w:sz w:val="18"/>
              </w:rPr>
              <w:t>扰动参数</w:t>
            </w:r>
          </w:p>
        </w:tc>
        <w:tc>
          <w:tcPr>
            <w:tcW w:w="0" w:type="auto"/>
            <w:vAlign w:val="center"/>
            <w:hideMark/>
          </w:tcPr>
          <w:p w14:paraId="70FCE266" w14:textId="77777777" w:rsidR="004B7D90" w:rsidRPr="00006F50" w:rsidRDefault="004B7D90" w:rsidP="000F5584">
            <w:pPr>
              <w:spacing w:beforeLines="0" w:before="0" w:afterLines="0" w:after="0"/>
              <w:jc w:val="center"/>
              <w:rPr>
                <w:rFonts w:eastAsia="宋体"/>
                <w:sz w:val="18"/>
              </w:rPr>
            </w:pPr>
            <w:r w:rsidRPr="00006F50">
              <w:rPr>
                <w:rFonts w:eastAsia="宋体"/>
                <w:sz w:val="18"/>
              </w:rPr>
              <w:t>ODI</w:t>
            </w:r>
            <w:r w:rsidRPr="00006F50">
              <w:rPr>
                <w:rFonts w:eastAsia="宋体"/>
                <w:sz w:val="18"/>
              </w:rPr>
              <w:t>权重</w:t>
            </w:r>
          </w:p>
        </w:tc>
        <w:tc>
          <w:tcPr>
            <w:tcW w:w="0" w:type="auto"/>
            <w:vAlign w:val="center"/>
            <w:hideMark/>
          </w:tcPr>
          <w:p w14:paraId="30864609" w14:textId="77777777" w:rsidR="004B7D90" w:rsidRPr="00006F50" w:rsidRDefault="004B7D90" w:rsidP="000F5584">
            <w:pPr>
              <w:spacing w:beforeLines="0" w:before="0" w:afterLines="0" w:after="0"/>
              <w:jc w:val="center"/>
              <w:rPr>
                <w:rFonts w:eastAsia="宋体"/>
                <w:sz w:val="18"/>
              </w:rPr>
            </w:pPr>
            <w:r w:rsidRPr="00006F50">
              <w:rPr>
                <w:rFonts w:eastAsia="宋体"/>
                <w:sz w:val="18"/>
              </w:rPr>
              <w:t>0.45/0.30/0.25</w:t>
            </w:r>
          </w:p>
        </w:tc>
        <w:tc>
          <w:tcPr>
            <w:tcW w:w="0" w:type="auto"/>
            <w:vAlign w:val="center"/>
            <w:hideMark/>
          </w:tcPr>
          <w:p w14:paraId="2A399F29" w14:textId="77777777" w:rsidR="004B7D90" w:rsidRPr="00006F50" w:rsidRDefault="004B7D90" w:rsidP="000F5584">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7F9BC434" w14:textId="77777777" w:rsidR="004B7D90" w:rsidRPr="00006F50" w:rsidRDefault="004B7D90" w:rsidP="000F5584">
            <w:pPr>
              <w:spacing w:beforeLines="0" w:before="0" w:afterLines="0" w:after="0"/>
              <w:jc w:val="center"/>
              <w:rPr>
                <w:rFonts w:eastAsia="宋体"/>
                <w:sz w:val="18"/>
              </w:rPr>
            </w:pPr>
            <w:r w:rsidRPr="00006F50">
              <w:rPr>
                <w:rFonts w:eastAsia="宋体"/>
                <w:sz w:val="18"/>
              </w:rPr>
              <w:t>地表沉陷</w:t>
            </w:r>
            <w:r w:rsidRPr="00006F50">
              <w:rPr>
                <w:rFonts w:eastAsia="宋体"/>
                <w:sz w:val="18"/>
              </w:rPr>
              <w:t>/</w:t>
            </w:r>
            <w:r w:rsidRPr="00006F50">
              <w:rPr>
                <w:rFonts w:eastAsia="宋体"/>
                <w:sz w:val="18"/>
              </w:rPr>
              <w:t>含水层扰动</w:t>
            </w:r>
            <w:r w:rsidRPr="00006F50">
              <w:rPr>
                <w:rFonts w:eastAsia="宋体"/>
                <w:sz w:val="18"/>
              </w:rPr>
              <w:t>/</w:t>
            </w:r>
            <w:r w:rsidRPr="00006F50">
              <w:rPr>
                <w:rFonts w:eastAsia="宋体"/>
                <w:sz w:val="18"/>
              </w:rPr>
              <w:t>上行开采</w:t>
            </w:r>
          </w:p>
        </w:tc>
      </w:tr>
      <w:tr w:rsidR="004B7D90" w:rsidRPr="00006F50" w14:paraId="46CD8D5D" w14:textId="77777777" w:rsidTr="000F5584">
        <w:trPr>
          <w:tblCellSpacing w:w="15" w:type="dxa"/>
          <w:jc w:val="center"/>
        </w:trPr>
        <w:tc>
          <w:tcPr>
            <w:tcW w:w="0" w:type="auto"/>
            <w:vAlign w:val="center"/>
            <w:hideMark/>
          </w:tcPr>
          <w:p w14:paraId="737F1BF2" w14:textId="77777777" w:rsidR="004B7D90" w:rsidRPr="00006F50" w:rsidRDefault="004B7D90" w:rsidP="000F5584">
            <w:pPr>
              <w:spacing w:beforeLines="0" w:before="0" w:afterLines="0" w:after="0"/>
              <w:jc w:val="center"/>
              <w:rPr>
                <w:rFonts w:eastAsia="宋体"/>
                <w:sz w:val="18"/>
              </w:rPr>
            </w:pPr>
            <w:r w:rsidRPr="00006F50">
              <w:rPr>
                <w:rFonts w:eastAsia="宋体"/>
                <w:sz w:val="18"/>
              </w:rPr>
              <w:t>扰动参数</w:t>
            </w:r>
          </w:p>
        </w:tc>
        <w:tc>
          <w:tcPr>
            <w:tcW w:w="0" w:type="auto"/>
            <w:vAlign w:val="center"/>
            <w:hideMark/>
          </w:tcPr>
          <w:p w14:paraId="6E601AD5" w14:textId="77777777" w:rsidR="004B7D90" w:rsidRPr="00006F50" w:rsidRDefault="004B7D90" w:rsidP="000F5584">
            <w:pPr>
              <w:spacing w:beforeLines="0" w:before="0" w:afterLines="0" w:after="0"/>
              <w:jc w:val="center"/>
              <w:rPr>
                <w:rFonts w:eastAsia="宋体"/>
                <w:sz w:val="18"/>
              </w:rPr>
            </w:pPr>
            <w:r w:rsidRPr="00006F50">
              <w:rPr>
                <w:rFonts w:eastAsia="宋体"/>
                <w:sz w:val="18"/>
              </w:rPr>
              <w:t>ODI</w:t>
            </w:r>
            <w:r w:rsidRPr="00006F50">
              <w:rPr>
                <w:rFonts w:eastAsia="宋体"/>
                <w:sz w:val="18"/>
              </w:rPr>
              <w:t>统计阈值</w:t>
            </w:r>
          </w:p>
        </w:tc>
        <w:tc>
          <w:tcPr>
            <w:tcW w:w="0" w:type="auto"/>
            <w:vAlign w:val="center"/>
            <w:hideMark/>
          </w:tcPr>
          <w:p w14:paraId="77F24A66" w14:textId="77777777" w:rsidR="004B7D90" w:rsidRPr="00006F50" w:rsidRDefault="004B7D90" w:rsidP="000F5584">
            <w:pPr>
              <w:spacing w:beforeLines="0" w:before="0" w:afterLines="0" w:after="0"/>
              <w:jc w:val="center"/>
              <w:rPr>
                <w:rFonts w:eastAsia="宋体"/>
                <w:sz w:val="18"/>
              </w:rPr>
            </w:pPr>
            <w:r w:rsidRPr="00006F50">
              <w:rPr>
                <w:rFonts w:eastAsia="宋体"/>
                <w:sz w:val="18"/>
              </w:rPr>
              <w:t>0.70</w:t>
            </w:r>
            <w:r w:rsidRPr="00006F50">
              <w:rPr>
                <w:rFonts w:eastAsia="宋体"/>
                <w:sz w:val="18"/>
              </w:rPr>
              <w:t>、</w:t>
            </w:r>
            <w:r w:rsidRPr="00006F50">
              <w:rPr>
                <w:rFonts w:eastAsia="宋体"/>
                <w:sz w:val="18"/>
              </w:rPr>
              <w:t>0.80</w:t>
            </w:r>
          </w:p>
        </w:tc>
        <w:tc>
          <w:tcPr>
            <w:tcW w:w="0" w:type="auto"/>
            <w:vAlign w:val="center"/>
            <w:hideMark/>
          </w:tcPr>
          <w:p w14:paraId="251D0FFC" w14:textId="77777777" w:rsidR="004B7D90" w:rsidRPr="00006F50" w:rsidRDefault="004B7D90" w:rsidP="000F5584">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66FB03CC" w14:textId="77777777" w:rsidR="004B7D90" w:rsidRPr="00006F50" w:rsidRDefault="004B7D90" w:rsidP="000F5584">
            <w:pPr>
              <w:spacing w:beforeLines="0" w:before="0" w:afterLines="0" w:after="0"/>
              <w:jc w:val="center"/>
              <w:rPr>
                <w:rFonts w:eastAsia="宋体"/>
                <w:sz w:val="18"/>
              </w:rPr>
            </w:pPr>
            <w:r w:rsidRPr="00006F50">
              <w:rPr>
                <w:rFonts w:eastAsia="宋体"/>
                <w:sz w:val="18"/>
              </w:rPr>
              <w:t>方案风险统计</w:t>
            </w:r>
          </w:p>
        </w:tc>
      </w:tr>
      <w:tr w:rsidR="004B7D90" w:rsidRPr="00006F50" w14:paraId="7F140155" w14:textId="77777777" w:rsidTr="000F5584">
        <w:trPr>
          <w:tblCellSpacing w:w="15" w:type="dxa"/>
          <w:jc w:val="center"/>
        </w:trPr>
        <w:tc>
          <w:tcPr>
            <w:tcW w:w="0" w:type="auto"/>
            <w:vAlign w:val="center"/>
            <w:hideMark/>
          </w:tcPr>
          <w:p w14:paraId="56B503F9" w14:textId="77777777" w:rsidR="004B7D90" w:rsidRPr="00006F50" w:rsidRDefault="004B7D90" w:rsidP="000F5584">
            <w:pPr>
              <w:spacing w:beforeLines="0" w:before="0" w:afterLines="0" w:after="0"/>
              <w:jc w:val="center"/>
              <w:rPr>
                <w:rFonts w:eastAsia="宋体"/>
                <w:sz w:val="18"/>
              </w:rPr>
            </w:pPr>
            <w:r w:rsidRPr="00006F50">
              <w:rPr>
                <w:rFonts w:eastAsia="宋体"/>
                <w:sz w:val="18"/>
              </w:rPr>
              <w:t>网格参数</w:t>
            </w:r>
          </w:p>
        </w:tc>
        <w:tc>
          <w:tcPr>
            <w:tcW w:w="0" w:type="auto"/>
            <w:vAlign w:val="center"/>
            <w:hideMark/>
          </w:tcPr>
          <w:p w14:paraId="79664377" w14:textId="77777777" w:rsidR="004B7D90" w:rsidRPr="00006F50" w:rsidRDefault="004B7D90" w:rsidP="000F5584">
            <w:pPr>
              <w:spacing w:beforeLines="0" w:before="0" w:afterLines="0" w:after="0"/>
              <w:jc w:val="center"/>
              <w:rPr>
                <w:rFonts w:eastAsia="宋体"/>
                <w:sz w:val="18"/>
              </w:rPr>
            </w:pPr>
            <w:r w:rsidRPr="00006F50">
              <w:rPr>
                <w:rFonts w:eastAsia="宋体"/>
                <w:sz w:val="18"/>
              </w:rPr>
              <w:t>ODI</w:t>
            </w:r>
            <w:r w:rsidRPr="00006F50">
              <w:rPr>
                <w:rFonts w:eastAsia="宋体"/>
                <w:sz w:val="18"/>
              </w:rPr>
              <w:t>场网格规模</w:t>
            </w:r>
          </w:p>
        </w:tc>
        <w:tc>
          <w:tcPr>
            <w:tcW w:w="0" w:type="auto"/>
            <w:vAlign w:val="center"/>
            <w:hideMark/>
          </w:tcPr>
          <w:p w14:paraId="63372E87" w14:textId="77777777" w:rsidR="004B7D90" w:rsidRPr="00006F50" w:rsidRDefault="004B7D90" w:rsidP="000F5584">
            <w:pPr>
              <w:spacing w:beforeLines="0" w:before="0" w:afterLines="0" w:after="0"/>
              <w:jc w:val="center"/>
              <w:rPr>
                <w:rFonts w:eastAsia="宋体"/>
                <w:sz w:val="18"/>
              </w:rPr>
            </w:pPr>
            <w:r w:rsidRPr="00006F50">
              <w:rPr>
                <w:rFonts w:eastAsia="宋体"/>
                <w:sz w:val="18"/>
              </w:rPr>
              <w:t>80×56</w:t>
            </w:r>
          </w:p>
        </w:tc>
        <w:tc>
          <w:tcPr>
            <w:tcW w:w="0" w:type="auto"/>
            <w:vAlign w:val="center"/>
            <w:hideMark/>
          </w:tcPr>
          <w:p w14:paraId="5700EC73" w14:textId="77777777" w:rsidR="004B7D90" w:rsidRPr="00006F50" w:rsidRDefault="004B7D90" w:rsidP="000F5584">
            <w:pPr>
              <w:spacing w:beforeLines="0" w:before="0" w:afterLines="0" w:after="0"/>
              <w:jc w:val="center"/>
              <w:rPr>
                <w:rFonts w:eastAsia="宋体"/>
                <w:sz w:val="18"/>
              </w:rPr>
            </w:pPr>
            <w:r w:rsidRPr="00006F50">
              <w:rPr>
                <w:rFonts w:eastAsia="宋体"/>
                <w:sz w:val="18"/>
              </w:rPr>
              <w:t>—</w:t>
            </w:r>
          </w:p>
        </w:tc>
        <w:tc>
          <w:tcPr>
            <w:tcW w:w="0" w:type="auto"/>
            <w:vAlign w:val="center"/>
            <w:hideMark/>
          </w:tcPr>
          <w:p w14:paraId="597BD7D6" w14:textId="77777777" w:rsidR="004B7D90" w:rsidRPr="00006F50" w:rsidRDefault="004B7D90" w:rsidP="000F5584">
            <w:pPr>
              <w:spacing w:beforeLines="0" w:before="0" w:afterLines="0" w:after="0"/>
              <w:jc w:val="center"/>
              <w:rPr>
                <w:rFonts w:eastAsia="宋体"/>
                <w:sz w:val="18"/>
              </w:rPr>
            </w:pPr>
            <w:r w:rsidRPr="00006F50">
              <w:rPr>
                <w:rFonts w:eastAsia="宋体"/>
                <w:sz w:val="18"/>
              </w:rPr>
              <w:t>共</w:t>
            </w:r>
            <w:r w:rsidRPr="00006F50">
              <w:rPr>
                <w:rFonts w:eastAsia="宋体"/>
                <w:sz w:val="18"/>
              </w:rPr>
              <w:t>4480</w:t>
            </w:r>
            <w:r w:rsidRPr="00006F50">
              <w:rPr>
                <w:rFonts w:eastAsia="宋体"/>
                <w:sz w:val="18"/>
              </w:rPr>
              <w:t>个栅格</w:t>
            </w:r>
          </w:p>
        </w:tc>
      </w:tr>
    </w:tbl>
    <w:p w14:paraId="1053C48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0D373840" w14:textId="2CCFDCA7" w:rsidR="004C1CA5" w:rsidRPr="004C1CA5" w:rsidRDefault="003B394F" w:rsidP="004C1CA5">
      <w:pPr>
        <w:pStyle w:val="100"/>
        <w:ind w:firstLine="420"/>
      </w:pPr>
      <w:r>
        <w:fldChar w:fldCharType="begin"/>
      </w:r>
      <w:r>
        <w:instrText xml:space="preserve"> REF _Ref228479977 \h </w:instrText>
      </w:r>
      <w:r>
        <w:fldChar w:fldCharType="separate"/>
      </w:r>
      <w:r>
        <w:rPr>
          <w:rFonts w:hint="eastAsia"/>
        </w:rPr>
        <w:t>表</w:t>
      </w:r>
      <w:r>
        <w:rPr>
          <w:noProof/>
        </w:rPr>
        <w:t>3</w:t>
      </w:r>
      <w:r>
        <w:fldChar w:fldCharType="end"/>
      </w:r>
      <w:r w:rsidR="004C1CA5" w:rsidRPr="004C1CA5">
        <w:t>中的边界煤柱宽度、区段煤柱宽度、工作面宽度、推进方向和推进长度校核阈值等参数，主要依据敏东矿区已有采区设计资料、矿方开采技术条件及综放工作面布置经验确定。其中，边界煤柱和区段煤柱用于满足采区边界保护、区段隔离和相邻工作面边界支承要求；工作面宽度控制采空区水平跨度和覆岩结构调整范围；推进方向需与矿井既有长壁开采方式、巷道布置和采掘接续安排相协调；推进长度校核阈值用于剔除不具备连续推进条件的短工作面。上述参数既是工作面布置的几何控制条件，也是影响覆岩移动、应力重分布和裂隙发育的重要开采因素。</w:t>
      </w:r>
    </w:p>
    <w:p w14:paraId="1A759E02" w14:textId="77777777" w:rsidR="004C1CA5" w:rsidRPr="004C1CA5" w:rsidRDefault="004C1CA5" w:rsidP="004C1CA5">
      <w:pPr>
        <w:pStyle w:val="100"/>
        <w:ind w:firstLine="420"/>
      </w:pPr>
      <w:r w:rsidRPr="004C1CA5">
        <w:t>ODI</w:t>
      </w:r>
      <w:r w:rsidRPr="004C1CA5">
        <w:t>权重和统计阈值用于计算采区采动扰动</w:t>
      </w:r>
      <w:r w:rsidRPr="004C1CA5">
        <w:t>强弱，并统计不同工作面方案的扰动水平。本文采用</w:t>
      </w:r>
      <w:r w:rsidRPr="004C1CA5">
        <w:t>0.45/0.30/0.25</w:t>
      </w:r>
      <w:r w:rsidRPr="004C1CA5">
        <w:t>作为地表沉陷、含水层扰动和上行开采影响的基准权重，主要用于敏东矿区不同候选方案之间的统一比较。该权重不作为跨矿区通用参数；当应用于其他矿区时，应结合主控风险、保护对象、水文地质条件和开采技术条件重新确定，并开展相应敏感性分析。</w:t>
      </w:r>
    </w:p>
    <w:p w14:paraId="1564A0E3" w14:textId="3FFC6F48" w:rsidR="004B7D90" w:rsidRPr="004B7D90" w:rsidRDefault="004B7D90" w:rsidP="00DF00E8">
      <w:pPr>
        <w:pStyle w:val="12"/>
      </w:pPr>
      <w:r w:rsidRPr="004B7D90">
        <w:t xml:space="preserve">4.2 </w:t>
      </w:r>
      <w:r w:rsidR="004C1CA5" w:rsidRPr="004C1CA5">
        <w:t>煤厚分布与</w:t>
      </w:r>
      <w:r w:rsidR="004C1CA5" w:rsidRPr="004C1CA5">
        <w:t>ODI</w:t>
      </w:r>
      <w:r w:rsidR="004C1CA5" w:rsidRPr="004C1CA5">
        <w:t>图层计算结果</w:t>
      </w:r>
    </w:p>
    <w:p w14:paraId="507CD40B" w14:textId="1384E3D3" w:rsidR="004B7D90" w:rsidRPr="004B7D90" w:rsidRDefault="004C1CA5" w:rsidP="004B7D90">
      <w:pPr>
        <w:pStyle w:val="100"/>
        <w:ind w:firstLine="420"/>
      </w:pPr>
      <w:r w:rsidRPr="004C1CA5">
        <w:t>在研究区边界和钻孔样点确定后，采用反距离加权法对钻孔煤厚数据进行插值，并将结果裁剪至工作面可布置区域内，得到煤层厚度分布，如</w:t>
      </w:r>
      <w:r w:rsidR="001E1EA5">
        <w:fldChar w:fldCharType="begin"/>
      </w:r>
      <w:r w:rsidR="001E1EA5">
        <w:instrText xml:space="preserve"> REF _Ref227925888 \h </w:instrText>
      </w:r>
      <w:r w:rsidR="001E1EA5">
        <w:fldChar w:fldCharType="separate"/>
      </w:r>
      <w:r w:rsidR="001E1EA5">
        <w:rPr>
          <w:rFonts w:hint="eastAsia"/>
        </w:rPr>
        <w:t>图</w:t>
      </w:r>
      <w:r w:rsidR="001E1EA5">
        <w:rPr>
          <w:noProof/>
        </w:rPr>
        <w:t>6</w:t>
      </w:r>
      <w:r w:rsidR="001E1EA5">
        <w:fldChar w:fldCharType="end"/>
      </w:r>
      <w:r w:rsidRPr="004C1CA5">
        <w:t>所示</w:t>
      </w:r>
      <w:r w:rsidR="004B7D90" w:rsidRPr="004B7D90">
        <w:t>。</w:t>
      </w:r>
    </w:p>
    <w:p w14:paraId="608E8144"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7CB23003" w14:textId="77777777" w:rsidR="004B7D90" w:rsidRDefault="004B7D90" w:rsidP="004B7D90">
      <w:pPr>
        <w:pStyle w:val="aff"/>
      </w:pPr>
      <w:r>
        <w:rPr>
          <w:noProof/>
        </w:rPr>
        <w:drawing>
          <wp:inline distT="0" distB="0" distL="0" distR="0" wp14:anchorId="3A10D1E3" wp14:editId="7D1AFA51">
            <wp:extent cx="6128099" cy="1539240"/>
            <wp:effectExtent l="0" t="0" r="6350" b="3810"/>
            <wp:docPr id="8673514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240" cstate="print">
                      <a:extLst>
                        <a:ext uri="{28A0092B-C50C-407E-A947-70E740481C1C}">
                          <a14:useLocalDpi xmlns:a14="http://schemas.microsoft.com/office/drawing/2010/main" val="0"/>
                        </a:ext>
                      </a:extLst>
                    </a:blip>
                    <a:srcRect/>
                    <a:stretch>
                      <a:fillRect/>
                    </a:stretch>
                  </pic:blipFill>
                  <pic:spPr bwMode="auto">
                    <a:xfrm>
                      <a:off x="0" y="0"/>
                      <a:ext cx="6136702" cy="1541401"/>
                    </a:xfrm>
                    <a:prstGeom prst="rect">
                      <a:avLst/>
                    </a:prstGeom>
                    <a:noFill/>
                    <a:ln>
                      <a:noFill/>
                    </a:ln>
                  </pic:spPr>
                </pic:pic>
              </a:graphicData>
            </a:graphic>
          </wp:inline>
        </w:drawing>
      </w:r>
    </w:p>
    <w:p w14:paraId="5AE8EE15" w14:textId="6982E113" w:rsidR="004B7D90" w:rsidRDefault="004B7D90" w:rsidP="004B7D90">
      <w:pPr>
        <w:pStyle w:val="14"/>
      </w:pPr>
      <w:bookmarkStart w:id="6" w:name="_Ref227925888"/>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6</w:t>
      </w:r>
      <w:r>
        <w:fldChar w:fldCharType="end"/>
      </w:r>
      <w:bookmarkEnd w:id="6"/>
      <w:r>
        <w:rPr>
          <w:rFonts w:hint="eastAsia"/>
        </w:rPr>
        <w:t xml:space="preserve"> </w:t>
      </w:r>
      <w:r w:rsidR="003B394F" w:rsidRPr="003B394F">
        <w:t>煤层厚度分布及钻孔样点叠置图</w:t>
      </w:r>
    </w:p>
    <w:p w14:paraId="3502735F" w14:textId="733FBFBD" w:rsidR="004B7D90" w:rsidRDefault="004B7D90" w:rsidP="004B7D90">
      <w:pPr>
        <w:pStyle w:val="14"/>
      </w:pPr>
      <w:r w:rsidRPr="00551567">
        <w:t>Fig.</w:t>
      </w:r>
      <w:r w:rsidR="008419FD">
        <w:rPr>
          <w:rFonts w:hint="eastAsia"/>
        </w:rPr>
        <w:t>6</w:t>
      </w:r>
      <w:r w:rsidRPr="00551567">
        <w:t xml:space="preserve"> </w:t>
      </w:r>
      <w:r w:rsidR="003B394F" w:rsidRPr="003B394F">
        <w:t>Coal thickness distribution overlaid with borehole samples</w:t>
      </w:r>
    </w:p>
    <w:p w14:paraId="5601EF5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602DD5D3" w14:textId="6D812BA1" w:rsidR="004C1CA5" w:rsidRPr="004C1CA5" w:rsidRDefault="004C1CA5" w:rsidP="004C1CA5">
      <w:pPr>
        <w:pStyle w:val="100"/>
        <w:ind w:firstLine="420"/>
      </w:pPr>
      <w:r w:rsidRPr="004C1CA5">
        <w:t>由</w:t>
      </w:r>
      <w:r w:rsidR="001E1EA5">
        <w:fldChar w:fldCharType="begin"/>
      </w:r>
      <w:r w:rsidR="001E1EA5">
        <w:instrText xml:space="preserve"> REF _Ref227925888 \h </w:instrText>
      </w:r>
      <w:r w:rsidR="001E1EA5">
        <w:fldChar w:fldCharType="separate"/>
      </w:r>
      <w:r w:rsidR="001E1EA5">
        <w:rPr>
          <w:rFonts w:hint="eastAsia"/>
        </w:rPr>
        <w:t>图</w:t>
      </w:r>
      <w:r w:rsidR="001E1EA5">
        <w:rPr>
          <w:noProof/>
        </w:rPr>
        <w:t>6</w:t>
      </w:r>
      <w:r w:rsidR="001E1EA5">
        <w:fldChar w:fldCharType="end"/>
      </w:r>
      <w:r w:rsidRPr="004C1CA5">
        <w:t>可见，研究区煤层厚度在空间上存在一定差异。其中，煤层相对较厚区域主要分布于</w:t>
      </w:r>
      <w:r w:rsidRPr="004C1CA5">
        <w:t>ZK-106</w:t>
      </w:r>
      <w:r w:rsidRPr="004C1CA5">
        <w:t>及其邻近区域，煤层相对较薄区域主要位</w:t>
      </w:r>
      <w:r w:rsidRPr="004C1CA5">
        <w:t>于</w:t>
      </w:r>
      <w:r w:rsidRPr="004C1CA5">
        <w:t>ZK-107</w:t>
      </w:r>
      <w:r w:rsidRPr="004C1CA5">
        <w:t>附近。该结果说明，在工作面方案评价中，如果只采用面积覆盖率，容易忽略不同区域煤厚资源的差别。将钻孔煤厚资料转化为煤层厚</w:t>
      </w:r>
      <w:r w:rsidRPr="004C1CA5">
        <w:lastRenderedPageBreak/>
        <w:t>度分布后，可以进一步统计不同工作面方案覆盖的煤厚资源，使资源回收评价更加接近实际赋存条件。</w:t>
      </w:r>
    </w:p>
    <w:p w14:paraId="5970DD03" w14:textId="5BEE45EF" w:rsidR="004C1CA5" w:rsidRPr="004C1CA5" w:rsidRDefault="004C1CA5" w:rsidP="004C1CA5">
      <w:pPr>
        <w:pStyle w:val="100"/>
        <w:ind w:firstLine="420"/>
      </w:pPr>
      <w:r w:rsidRPr="004C1CA5">
        <w:t>在煤厚分布计算基础上，进一步计算地表沉</w:t>
      </w:r>
      <w:r w:rsidRPr="004C1CA5">
        <w:t>陷、含水层扰动和上行开采影响</w:t>
      </w:r>
      <w:r w:rsidRPr="004C1CA5">
        <w:t>3</w:t>
      </w:r>
      <w:r w:rsidRPr="004C1CA5">
        <w:t>类扰动分量，并按照</w:t>
      </w:r>
      <w:r w:rsidRPr="004C1CA5">
        <w:t>0.45</w:t>
      </w:r>
      <w:r w:rsidRPr="004C1CA5">
        <w:t>、</w:t>
      </w:r>
      <w:r w:rsidRPr="004C1CA5">
        <w:t>0.30</w:t>
      </w:r>
      <w:r w:rsidRPr="004C1CA5">
        <w:t>和</w:t>
      </w:r>
      <w:r w:rsidRPr="004C1CA5">
        <w:t>0.25</w:t>
      </w:r>
      <w:r w:rsidRPr="004C1CA5">
        <w:t>的权重进行归一化加权，得到研究区</w:t>
      </w:r>
      <w:r w:rsidRPr="004C1CA5">
        <w:t>ODI</w:t>
      </w:r>
      <w:r w:rsidRPr="004C1CA5">
        <w:t>图层，如</w:t>
      </w:r>
      <w:r w:rsidR="001E1EA5">
        <w:fldChar w:fldCharType="begin"/>
      </w:r>
      <w:r w:rsidR="001E1EA5">
        <w:instrText xml:space="preserve"> REF _Ref227925903 \h </w:instrText>
      </w:r>
      <w:r w:rsidR="001E1EA5">
        <w:fldChar w:fldCharType="separate"/>
      </w:r>
      <w:r w:rsidR="001E1EA5">
        <w:rPr>
          <w:rFonts w:hint="eastAsia"/>
        </w:rPr>
        <w:t>图</w:t>
      </w:r>
      <w:r w:rsidR="001E1EA5">
        <w:rPr>
          <w:noProof/>
        </w:rPr>
        <w:t>7</w:t>
      </w:r>
      <w:r w:rsidR="001E1EA5">
        <w:fldChar w:fldCharType="end"/>
      </w:r>
      <w:r w:rsidRPr="004C1CA5">
        <w:t>所示。</w:t>
      </w:r>
    </w:p>
    <w:p w14:paraId="2292FB2C" w14:textId="77777777" w:rsidR="004B7D90" w:rsidRPr="008A2F6D" w:rsidRDefault="004B7D90" w:rsidP="004B7D90">
      <w:pPr>
        <w:pStyle w:val="aff"/>
        <w:sectPr w:rsidR="004B7D90" w:rsidRPr="008A2F6D" w:rsidSect="00A07DBF">
          <w:type w:val="continuous"/>
          <w:pgSz w:w="11906" w:h="16838"/>
          <w:pgMar w:top="1418" w:right="1134" w:bottom="1134" w:left="1134" w:header="720" w:footer="720" w:gutter="0"/>
          <w:cols w:num="2" w:space="720"/>
          <w:docGrid w:linePitch="598"/>
        </w:sectPr>
      </w:pPr>
    </w:p>
    <w:p w14:paraId="1A6C20B7" w14:textId="77777777" w:rsidR="004B7D90" w:rsidRDefault="004B7D90" w:rsidP="004B7D90">
      <w:pPr>
        <w:pStyle w:val="aff"/>
      </w:pPr>
      <w:r>
        <w:rPr>
          <w:noProof/>
        </w:rPr>
        <w:drawing>
          <wp:inline distT="0" distB="0" distL="0" distR="0" wp14:anchorId="5D052D53" wp14:editId="2E85FEA8">
            <wp:extent cx="6259906" cy="1478280"/>
            <wp:effectExtent l="0" t="0" r="7620" b="7620"/>
            <wp:docPr id="6622613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rotWithShape="1">
                    <a:blip r:embed="rId241" cstate="print">
                      <a:extLst>
                        <a:ext uri="{28A0092B-C50C-407E-A947-70E740481C1C}">
                          <a14:useLocalDpi xmlns:a14="http://schemas.microsoft.com/office/drawing/2010/main" val="0"/>
                        </a:ext>
                      </a:extLst>
                    </a:blip>
                    <a:srcRect b="8674"/>
                    <a:stretch>
                      <a:fillRect/>
                    </a:stretch>
                  </pic:blipFill>
                  <pic:spPr bwMode="auto">
                    <a:xfrm>
                      <a:off x="0" y="0"/>
                      <a:ext cx="6268858" cy="1480394"/>
                    </a:xfrm>
                    <a:prstGeom prst="rect">
                      <a:avLst/>
                    </a:prstGeom>
                    <a:noFill/>
                    <a:ln>
                      <a:noFill/>
                    </a:ln>
                    <a:extLst>
                      <a:ext uri="{53640926-AAD7-44D8-BBD7-CCE9431645EC}">
                        <a14:shadowObscured xmlns:a14="http://schemas.microsoft.com/office/drawing/2010/main"/>
                      </a:ext>
                    </a:extLst>
                  </pic:spPr>
                </pic:pic>
              </a:graphicData>
            </a:graphic>
          </wp:inline>
        </w:drawing>
      </w:r>
    </w:p>
    <w:p w14:paraId="412FD1B7" w14:textId="6EDC127D" w:rsidR="004B7D90" w:rsidRDefault="004B7D90" w:rsidP="004B7D90">
      <w:pPr>
        <w:pStyle w:val="14"/>
      </w:pPr>
      <w:bookmarkStart w:id="7" w:name="_Ref227925903"/>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7</w:t>
      </w:r>
      <w:r>
        <w:fldChar w:fldCharType="end"/>
      </w:r>
      <w:bookmarkEnd w:id="7"/>
      <w:r>
        <w:rPr>
          <w:rFonts w:hint="eastAsia"/>
        </w:rPr>
        <w:t xml:space="preserve"> </w:t>
      </w:r>
      <w:r w:rsidRPr="000E1681">
        <w:t>多场景覆岩扰动分量与综合</w:t>
      </w:r>
      <w:r w:rsidRPr="000E1681">
        <w:t>ODI</w:t>
      </w:r>
      <w:r w:rsidRPr="000E1681">
        <w:t>场分布</w:t>
      </w:r>
    </w:p>
    <w:p w14:paraId="628D2D06" w14:textId="4A486BC5" w:rsidR="004B7D90" w:rsidRDefault="004B7D90" w:rsidP="004B7D90">
      <w:pPr>
        <w:pStyle w:val="14"/>
      </w:pPr>
      <w:r w:rsidRPr="00551567">
        <w:t>Fig.</w:t>
      </w:r>
      <w:r w:rsidR="008419FD">
        <w:rPr>
          <w:rFonts w:hint="eastAsia"/>
        </w:rPr>
        <w:t>7</w:t>
      </w:r>
      <w:r w:rsidRPr="00551567">
        <w:t xml:space="preserve"> </w:t>
      </w:r>
      <w:r w:rsidRPr="002D513A">
        <w:t>Distributions of multi-scenario overburden disturbance components and integrated ODI field</w:t>
      </w:r>
    </w:p>
    <w:p w14:paraId="7BBA87A5"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4E24C109" w14:textId="290D1FC0" w:rsidR="004C1CA5" w:rsidRPr="004C1CA5" w:rsidRDefault="001E1EA5" w:rsidP="004C1CA5">
      <w:pPr>
        <w:pStyle w:val="100"/>
        <w:ind w:firstLine="420"/>
      </w:pPr>
      <w:r>
        <w:fldChar w:fldCharType="begin"/>
      </w:r>
      <w:r>
        <w:instrText xml:space="preserve"> REF _Ref227925903 \h </w:instrText>
      </w:r>
      <w:r>
        <w:fldChar w:fldCharType="separate"/>
      </w:r>
      <w:r>
        <w:rPr>
          <w:rFonts w:hint="eastAsia"/>
        </w:rPr>
        <w:t>图</w:t>
      </w:r>
      <w:r>
        <w:rPr>
          <w:noProof/>
        </w:rPr>
        <w:t>7</w:t>
      </w:r>
      <w:r>
        <w:fldChar w:fldCharType="end"/>
      </w:r>
      <w:r w:rsidR="004C1CA5" w:rsidRPr="004C1CA5">
        <w:t>显示，不同扰动分量的高值区并不完全一致。地表沉陷影响较大的区域、含水层扰动较强区域和上行开采约束较强区域在空间上存在差异，说明单独依靠某一类风险结果难以全面反映工作面布置面临的扰动问题。通过</w:t>
      </w:r>
      <w:r w:rsidR="004C1CA5" w:rsidRPr="004C1CA5">
        <w:t>ODI</w:t>
      </w:r>
      <w:r w:rsidR="004C1CA5" w:rsidRPr="004C1CA5">
        <w:t>图层，可以将三类扰动影响放到同一评价尺度下进行表达，为后续工作面方案比较提供统一依据。</w:t>
      </w:r>
    </w:p>
    <w:p w14:paraId="730E5580" w14:textId="77777777" w:rsidR="004C1CA5" w:rsidRDefault="004C1CA5" w:rsidP="004C1CA5">
      <w:pPr>
        <w:pStyle w:val="100"/>
        <w:ind w:firstLine="420"/>
      </w:pPr>
      <w:r w:rsidRPr="004C1CA5">
        <w:t>从全区统计结果看，研究区</w:t>
      </w:r>
      <w:r w:rsidRPr="004C1CA5">
        <w:t>ODI</w:t>
      </w:r>
      <w:r w:rsidRPr="004C1CA5">
        <w:t>图层采用</w:t>
      </w:r>
      <w:r w:rsidRPr="004C1CA5">
        <w:t>80×56</w:t>
      </w:r>
      <w:r w:rsidRPr="004C1CA5">
        <w:t>网格，共</w:t>
      </w:r>
      <w:r w:rsidRPr="004C1CA5">
        <w:t>4480</w:t>
      </w:r>
      <w:r w:rsidRPr="004C1CA5">
        <w:t>个栅格；</w:t>
      </w:r>
      <w:r w:rsidRPr="004C1CA5">
        <w:t>ODI</w:t>
      </w:r>
      <w:r w:rsidRPr="004C1CA5">
        <w:t>均值为</w:t>
      </w:r>
      <w:r w:rsidRPr="004C1CA5">
        <w:t>0.4669</w:t>
      </w:r>
      <w:r w:rsidRPr="004C1CA5">
        <w:t>，说明研究区整体采动扰动水平处于中等程度，并非全区均为高扰动状态。</w:t>
      </w:r>
      <w:r w:rsidRPr="004C1CA5">
        <w:t>P90</w:t>
      </w:r>
      <w:r w:rsidRPr="004C1CA5">
        <w:t>为</w:t>
      </w:r>
      <w:r w:rsidRPr="004C1CA5">
        <w:t>0.7474</w:t>
      </w:r>
      <w:r w:rsidRPr="004C1CA5">
        <w:t>，即</w:t>
      </w:r>
      <w:r w:rsidRPr="004C1CA5">
        <w:t>ODI</w:t>
      </w:r>
      <w:r w:rsidRPr="004C1CA5">
        <w:t>的</w:t>
      </w:r>
      <w:r w:rsidRPr="004C1CA5">
        <w:t>90%</w:t>
      </w:r>
      <w:r w:rsidRPr="004C1CA5">
        <w:t>分位数为</w:t>
      </w:r>
      <w:r w:rsidRPr="004C1CA5">
        <w:t>0.7474</w:t>
      </w:r>
      <w:r w:rsidRPr="004C1CA5">
        <w:t>，表示约</w:t>
      </w:r>
      <w:r w:rsidRPr="004C1CA5">
        <w:t>90%</w:t>
      </w:r>
      <w:r w:rsidRPr="004C1CA5">
        <w:t>的栅格</w:t>
      </w:r>
      <w:r w:rsidRPr="004C1CA5">
        <w:t>ODI</w:t>
      </w:r>
      <w:r w:rsidRPr="004C1CA5">
        <w:t>不超过该值，约</w:t>
      </w:r>
      <w:r w:rsidRPr="004C1CA5">
        <w:t>10%</w:t>
      </w:r>
      <w:r w:rsidRPr="004C1CA5">
        <w:t>的区域</w:t>
      </w:r>
      <w:r w:rsidRPr="004C1CA5">
        <w:t>ODI</w:t>
      </w:r>
      <w:r w:rsidRPr="004C1CA5">
        <w:t>高于该值，说明研究区内部存在局部扰动高值区。</w:t>
      </w:r>
      <w:r w:rsidRPr="004C1CA5">
        <w:t>ODI</w:t>
      </w:r>
      <w:r w:rsidRPr="004C1CA5">
        <w:t>＞</w:t>
      </w:r>
      <w:r w:rsidRPr="004C1CA5">
        <w:t>0.70</w:t>
      </w:r>
      <w:r w:rsidRPr="004C1CA5">
        <w:t>的栅格占比为</w:t>
      </w:r>
      <w:r w:rsidRPr="004C1CA5">
        <w:t>15.89%</w:t>
      </w:r>
      <w:r w:rsidRPr="004C1CA5">
        <w:t>，表明采区内约</w:t>
      </w:r>
      <w:r w:rsidRPr="004C1CA5">
        <w:t>1/6</w:t>
      </w:r>
      <w:r w:rsidRPr="004C1CA5">
        <w:t>范围达到中高扰动水平，工作面布置时应作为优先避让或进一步复核的对象。</w:t>
      </w:r>
    </w:p>
    <w:p w14:paraId="7C823ABD" w14:textId="4AAFB52F" w:rsidR="00B71500" w:rsidRDefault="00B71500" w:rsidP="004C1CA5">
      <w:pPr>
        <w:pStyle w:val="100"/>
        <w:ind w:firstLine="420"/>
      </w:pPr>
      <w:r w:rsidRPr="00B71500">
        <w:t>为进一步检验</w:t>
      </w:r>
      <w:r w:rsidRPr="00B71500">
        <w:t>ODI</w:t>
      </w:r>
      <w:r w:rsidRPr="00B71500">
        <w:t>对实际采动扰动强弱的表征能力，选取研究区地表岩移观测资料与</w:t>
      </w:r>
      <w:r w:rsidRPr="00B71500">
        <w:t>ODI</w:t>
      </w:r>
      <w:r w:rsidRPr="00B71500">
        <w:t>计算结果进行对比。观测资料包括工作面倾向方向</w:t>
      </w:r>
      <w:r w:rsidRPr="00B71500">
        <w:t>Q</w:t>
      </w:r>
      <w:r w:rsidRPr="00B71500">
        <w:t>、</w:t>
      </w:r>
      <w:r w:rsidRPr="00B71500">
        <w:t>S</w:t>
      </w:r>
      <w:r w:rsidRPr="00B71500">
        <w:t>两条测线和走向方向</w:t>
      </w:r>
      <w:r w:rsidRPr="00B71500">
        <w:t>Z</w:t>
      </w:r>
      <w:r w:rsidRPr="00B71500">
        <w:t>测线，测点覆盖工作面主要采动影响范围。</w:t>
      </w:r>
      <w:r w:rsidRPr="00B71500">
        <w:t>ODI</w:t>
      </w:r>
      <w:r w:rsidRPr="00B71500">
        <w:t>与实测地表沉陷对比结果如</w:t>
      </w:r>
      <w:r w:rsidR="001E1EA5">
        <w:fldChar w:fldCharType="begin"/>
      </w:r>
      <w:r w:rsidR="001E1EA5">
        <w:instrText xml:space="preserve"> REF _Ref228479401 \h </w:instrText>
      </w:r>
      <w:r w:rsidR="001E1EA5">
        <w:fldChar w:fldCharType="separate"/>
      </w:r>
      <w:r w:rsidR="001E1EA5">
        <w:rPr>
          <w:rFonts w:hint="eastAsia"/>
        </w:rPr>
        <w:t>图</w:t>
      </w:r>
      <w:r w:rsidR="001E1EA5">
        <w:rPr>
          <w:noProof/>
        </w:rPr>
        <w:t>8</w:t>
      </w:r>
      <w:r w:rsidR="001E1EA5">
        <w:fldChar w:fldCharType="end"/>
      </w:r>
      <w:r w:rsidRPr="00B71500">
        <w:t>所示。</w:t>
      </w:r>
    </w:p>
    <w:p w14:paraId="19DE95B7" w14:textId="77777777" w:rsidR="00B71500" w:rsidRDefault="00B71500" w:rsidP="000F5584">
      <w:pPr>
        <w:pStyle w:val="aff2"/>
        <w:rPr>
          <w:highlight w:val="yellow"/>
        </w:rPr>
        <w:sectPr w:rsidR="00B71500" w:rsidSect="00A07DBF">
          <w:type w:val="continuous"/>
          <w:pgSz w:w="11906" w:h="16838"/>
          <w:pgMar w:top="1418" w:right="1134" w:bottom="1134" w:left="1134" w:header="720" w:footer="720" w:gutter="0"/>
          <w:cols w:num="2" w:space="720"/>
          <w:docGrid w:linePitch="598"/>
        </w:sectPr>
      </w:pPr>
    </w:p>
    <w:tbl>
      <w:tblPr>
        <w:tblW w:w="5000" w:type="pct"/>
        <w:jc w:val="center"/>
        <w:tblCellMar>
          <w:left w:w="0" w:type="dxa"/>
          <w:right w:w="0" w:type="dxa"/>
        </w:tblCellMar>
        <w:tblLook w:val="04A0" w:firstRow="1" w:lastRow="0" w:firstColumn="1" w:lastColumn="0" w:noHBand="0" w:noVBand="1"/>
      </w:tblPr>
      <w:tblGrid>
        <w:gridCol w:w="4819"/>
        <w:gridCol w:w="4819"/>
      </w:tblGrid>
      <w:tr w:rsidR="00B71500" w14:paraId="16157306" w14:textId="77777777" w:rsidTr="000F5584">
        <w:trPr>
          <w:jc w:val="center"/>
        </w:trPr>
        <w:tc>
          <w:tcPr>
            <w:tcW w:w="2500" w:type="pct"/>
            <w:vAlign w:val="center"/>
          </w:tcPr>
          <w:p w14:paraId="0E981631" w14:textId="77777777" w:rsidR="00B71500" w:rsidRPr="00800811" w:rsidRDefault="00B71500" w:rsidP="000F5584">
            <w:pPr>
              <w:pStyle w:val="aff2"/>
              <w:rPr>
                <w:highlight w:val="yellow"/>
              </w:rPr>
            </w:pPr>
            <w:r w:rsidRPr="00A001D0">
              <w:rPr>
                <w:noProof/>
              </w:rPr>
              <w:drawing>
                <wp:inline distT="0" distB="0" distL="0" distR="0" wp14:anchorId="0A50B67B" wp14:editId="7EE8280D">
                  <wp:extent cx="2777007" cy="1714500"/>
                  <wp:effectExtent l="0" t="0" r="4445" b="0"/>
                  <wp:docPr id="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42" cstate="print">
                            <a:extLst>
                              <a:ext uri="{28A0092B-C50C-407E-A947-70E740481C1C}">
                                <a14:useLocalDpi xmlns:a14="http://schemas.microsoft.com/office/drawing/2010/main" val="0"/>
                              </a:ext>
                            </a:extLst>
                          </a:blip>
                          <a:srcRect/>
                          <a:stretch>
                            <a:fillRect/>
                          </a:stretch>
                        </pic:blipFill>
                        <pic:spPr bwMode="auto">
                          <a:xfrm>
                            <a:off x="0" y="0"/>
                            <a:ext cx="2778799" cy="1715606"/>
                          </a:xfrm>
                          <a:prstGeom prst="rect">
                            <a:avLst/>
                          </a:prstGeom>
                          <a:noFill/>
                          <a:ln>
                            <a:noFill/>
                          </a:ln>
                        </pic:spPr>
                      </pic:pic>
                    </a:graphicData>
                  </a:graphic>
                </wp:inline>
              </w:drawing>
            </w:r>
          </w:p>
        </w:tc>
        <w:tc>
          <w:tcPr>
            <w:tcW w:w="2500" w:type="pct"/>
            <w:vAlign w:val="center"/>
          </w:tcPr>
          <w:p w14:paraId="7B982020" w14:textId="32C31B67" w:rsidR="00B71500" w:rsidRDefault="00B71500" w:rsidP="00A96B1F">
            <w:pPr>
              <w:pStyle w:val="aff2"/>
            </w:pPr>
            <w:r w:rsidRPr="00A001D0">
              <w:rPr>
                <w:noProof/>
              </w:rPr>
              <w:drawing>
                <wp:inline distT="0" distB="0" distL="0" distR="0" wp14:anchorId="0F226B73" wp14:editId="02F84746">
                  <wp:extent cx="2725373" cy="1722120"/>
                  <wp:effectExtent l="0" t="0" r="0" b="0"/>
                  <wp:docPr id="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43" cstate="print">
                            <a:extLst>
                              <a:ext uri="{28A0092B-C50C-407E-A947-70E740481C1C}">
                                <a14:useLocalDpi xmlns:a14="http://schemas.microsoft.com/office/drawing/2010/main" val="0"/>
                              </a:ext>
                            </a:extLst>
                          </a:blip>
                          <a:srcRect/>
                          <a:stretch>
                            <a:fillRect/>
                          </a:stretch>
                        </pic:blipFill>
                        <pic:spPr bwMode="auto">
                          <a:xfrm>
                            <a:off x="0" y="0"/>
                            <a:ext cx="2727761" cy="1723629"/>
                          </a:xfrm>
                          <a:prstGeom prst="rect">
                            <a:avLst/>
                          </a:prstGeom>
                          <a:noFill/>
                          <a:ln>
                            <a:noFill/>
                          </a:ln>
                        </pic:spPr>
                      </pic:pic>
                    </a:graphicData>
                  </a:graphic>
                </wp:inline>
              </w:drawing>
            </w:r>
          </w:p>
        </w:tc>
      </w:tr>
      <w:tr w:rsidR="00B71500" w14:paraId="7B767418" w14:textId="77777777" w:rsidTr="000F5584">
        <w:trPr>
          <w:jc w:val="center"/>
        </w:trPr>
        <w:tc>
          <w:tcPr>
            <w:tcW w:w="2500" w:type="pct"/>
            <w:vAlign w:val="center"/>
          </w:tcPr>
          <w:p w14:paraId="4FEA6959" w14:textId="77777777" w:rsidR="00B71500" w:rsidRPr="00A425EC" w:rsidRDefault="00B71500" w:rsidP="00A96B1F">
            <w:pPr>
              <w:pStyle w:val="14"/>
            </w:pPr>
            <w:r w:rsidRPr="00A425EC">
              <w:rPr>
                <w:rFonts w:hint="eastAsia"/>
              </w:rPr>
              <w:t>（</w:t>
            </w:r>
            <w:r w:rsidRPr="00A425EC">
              <w:rPr>
                <w:rFonts w:hint="eastAsia"/>
              </w:rPr>
              <w:t>a</w:t>
            </w:r>
            <w:r w:rsidRPr="00A425EC">
              <w:rPr>
                <w:rFonts w:hint="eastAsia"/>
              </w:rPr>
              <w:t>）倾向观测线</w:t>
            </w:r>
            <w:r w:rsidRPr="00A425EC">
              <w:rPr>
                <w:rFonts w:hint="eastAsia"/>
              </w:rPr>
              <w:t>1</w:t>
            </w:r>
          </w:p>
        </w:tc>
        <w:tc>
          <w:tcPr>
            <w:tcW w:w="2500" w:type="pct"/>
            <w:vAlign w:val="center"/>
          </w:tcPr>
          <w:p w14:paraId="6ED84FB3" w14:textId="3DE82406" w:rsidR="00B71500" w:rsidRDefault="00B71500" w:rsidP="00A96B1F">
            <w:pPr>
              <w:pStyle w:val="14"/>
            </w:pPr>
            <w:r w:rsidRPr="00A425EC">
              <w:rPr>
                <w:rFonts w:hint="eastAsia"/>
              </w:rPr>
              <w:t>（</w:t>
            </w:r>
            <w:r w:rsidRPr="00A425EC">
              <w:rPr>
                <w:rFonts w:hint="eastAsia"/>
              </w:rPr>
              <w:t>b</w:t>
            </w:r>
            <w:r w:rsidRPr="00A425EC">
              <w:rPr>
                <w:rFonts w:hint="eastAsia"/>
              </w:rPr>
              <w:t>）倾向观测线</w:t>
            </w:r>
            <w:r w:rsidRPr="00A425EC">
              <w:rPr>
                <w:rFonts w:hint="eastAsia"/>
              </w:rPr>
              <w:t>2</w:t>
            </w:r>
          </w:p>
        </w:tc>
      </w:tr>
    </w:tbl>
    <w:p w14:paraId="1970E3D3" w14:textId="11C6F1CF" w:rsidR="00A96B1F" w:rsidRDefault="00A96B1F" w:rsidP="00A96B1F">
      <w:pPr>
        <w:pStyle w:val="14"/>
      </w:pPr>
      <w:r w:rsidRPr="0013366A">
        <w:rPr>
          <w:noProof/>
        </w:rPr>
        <w:drawing>
          <wp:inline distT="0" distB="0" distL="0" distR="0" wp14:anchorId="183750FE" wp14:editId="673F6C0F">
            <wp:extent cx="4472940" cy="1498254"/>
            <wp:effectExtent l="0" t="0" r="3810" b="6985"/>
            <wp:docPr id="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44" cstate="print">
                      <a:extLst>
                        <a:ext uri="{28A0092B-C50C-407E-A947-70E740481C1C}">
                          <a14:useLocalDpi xmlns:a14="http://schemas.microsoft.com/office/drawing/2010/main" val="0"/>
                        </a:ext>
                      </a:extLst>
                    </a:blip>
                    <a:srcRect/>
                    <a:stretch>
                      <a:fillRect/>
                    </a:stretch>
                  </pic:blipFill>
                  <pic:spPr bwMode="auto">
                    <a:xfrm>
                      <a:off x="0" y="0"/>
                      <a:ext cx="4501259" cy="1507740"/>
                    </a:xfrm>
                    <a:prstGeom prst="rect">
                      <a:avLst/>
                    </a:prstGeom>
                    <a:noFill/>
                    <a:ln>
                      <a:noFill/>
                    </a:ln>
                  </pic:spPr>
                </pic:pic>
              </a:graphicData>
            </a:graphic>
          </wp:inline>
        </w:drawing>
      </w:r>
    </w:p>
    <w:p w14:paraId="19F97D35" w14:textId="41B59CA6" w:rsidR="00A96B1F" w:rsidRDefault="00A96B1F" w:rsidP="00A96B1F">
      <w:pPr>
        <w:pStyle w:val="14"/>
      </w:pPr>
      <w:r w:rsidRPr="00A425EC">
        <w:rPr>
          <w:rFonts w:hint="eastAsia"/>
        </w:rPr>
        <w:t>（</w:t>
      </w:r>
      <w:r>
        <w:rPr>
          <w:rFonts w:hint="eastAsia"/>
        </w:rPr>
        <w:t>c</w:t>
      </w:r>
      <w:r w:rsidRPr="00A425EC">
        <w:rPr>
          <w:rFonts w:hint="eastAsia"/>
        </w:rPr>
        <w:t>）</w:t>
      </w:r>
      <w:r w:rsidRPr="004F1A4C">
        <w:t>工作面走向方向</w:t>
      </w:r>
      <w:r w:rsidRPr="004F1A4C">
        <w:t>ODI</w:t>
      </w:r>
      <w:r w:rsidRPr="004F1A4C">
        <w:t>与地表沉陷对比</w:t>
      </w:r>
    </w:p>
    <w:p w14:paraId="14ABFA2A" w14:textId="674CDA25" w:rsidR="00B71500" w:rsidRDefault="00A96B1F" w:rsidP="00A96B1F">
      <w:pPr>
        <w:pStyle w:val="14"/>
      </w:pPr>
      <w:bookmarkStart w:id="8" w:name="_Ref22847940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8</w:t>
      </w:r>
      <w:r>
        <w:fldChar w:fldCharType="end"/>
      </w:r>
      <w:bookmarkEnd w:id="8"/>
      <w:r>
        <w:rPr>
          <w:rFonts w:hint="eastAsia"/>
        </w:rPr>
        <w:t xml:space="preserve"> </w:t>
      </w:r>
      <w:r w:rsidRPr="00A96B1F">
        <w:t>ODI</w:t>
      </w:r>
      <w:r w:rsidRPr="00A96B1F">
        <w:t>与实测地表沉陷对比验证</w:t>
      </w:r>
    </w:p>
    <w:p w14:paraId="0B2256EF" w14:textId="04B0FB52" w:rsidR="00A96B1F" w:rsidRPr="00A96B1F" w:rsidRDefault="00A96B1F" w:rsidP="00A96B1F">
      <w:pPr>
        <w:pStyle w:val="14"/>
        <w:sectPr w:rsidR="00A96B1F" w:rsidRPr="00A96B1F" w:rsidSect="00B71500">
          <w:type w:val="continuous"/>
          <w:pgSz w:w="11906" w:h="16838"/>
          <w:pgMar w:top="1418" w:right="1134" w:bottom="1134" w:left="1134" w:header="720" w:footer="720" w:gutter="0"/>
          <w:cols w:space="720"/>
          <w:docGrid w:linePitch="598"/>
        </w:sectPr>
      </w:pPr>
      <w:r w:rsidRPr="00A96B1F">
        <w:t>Fig.8 Verification of ODI against measured surface subsidence</w:t>
      </w:r>
    </w:p>
    <w:p w14:paraId="7A030824" w14:textId="743B9C24" w:rsidR="00A96B1F" w:rsidRDefault="00A96B1F" w:rsidP="004C1CA5">
      <w:pPr>
        <w:pStyle w:val="100"/>
        <w:ind w:firstLine="420"/>
      </w:pPr>
      <w:r w:rsidRPr="00A96B1F">
        <w:lastRenderedPageBreak/>
        <w:t>由</w:t>
      </w:r>
      <w:r w:rsidR="001E1EA5">
        <w:fldChar w:fldCharType="begin"/>
      </w:r>
      <w:r w:rsidR="001E1EA5">
        <w:instrText xml:space="preserve"> REF _Ref228479401 \h </w:instrText>
      </w:r>
      <w:r w:rsidR="001E1EA5">
        <w:fldChar w:fldCharType="separate"/>
      </w:r>
      <w:r w:rsidR="001E1EA5">
        <w:rPr>
          <w:rFonts w:hint="eastAsia"/>
        </w:rPr>
        <w:t>图</w:t>
      </w:r>
      <w:r w:rsidR="001E1EA5">
        <w:rPr>
          <w:noProof/>
        </w:rPr>
        <w:t>8</w:t>
      </w:r>
      <w:r w:rsidR="001E1EA5">
        <w:fldChar w:fldCharType="end"/>
      </w:r>
      <w:r w:rsidRPr="00A96B1F">
        <w:t>可见，</w:t>
      </w:r>
      <w:r w:rsidRPr="00A96B1F">
        <w:t>ODI</w:t>
      </w:r>
      <w:r w:rsidRPr="00A96B1F">
        <w:t>沿</w:t>
      </w:r>
      <w:r w:rsidRPr="00A96B1F">
        <w:t>Q</w:t>
      </w:r>
      <w:r w:rsidRPr="00A96B1F">
        <w:t>、</w:t>
      </w:r>
      <w:r w:rsidRPr="00A96B1F">
        <w:t>S</w:t>
      </w:r>
      <w:r w:rsidRPr="00A96B1F">
        <w:t>和</w:t>
      </w:r>
      <w:r w:rsidRPr="00A96B1F">
        <w:t>Z</w:t>
      </w:r>
      <w:r w:rsidRPr="00A96B1F">
        <w:t>测线的变化趋势与实测地表沉陷量具有较好对应关系。倾向测线中，</w:t>
      </w:r>
      <w:r w:rsidRPr="00A96B1F">
        <w:t>ODI</w:t>
      </w:r>
      <w:r w:rsidRPr="00A96B1F">
        <w:t>高值区基本对应实测沉陷量较大的区域；走向测线中，随着工作面推进，</w:t>
      </w:r>
      <w:r w:rsidRPr="00A96B1F">
        <w:t>ODI</w:t>
      </w:r>
      <w:r w:rsidRPr="00A96B1F">
        <w:t>与沉陷量均表现出由边界向采动影响集中区增强的变化特征。该结果说明，</w:t>
      </w:r>
      <w:r w:rsidRPr="00A96B1F">
        <w:t>ODI</w:t>
      </w:r>
      <w:r w:rsidRPr="00A96B1F">
        <w:t>能够较好反映采动引起的覆岩移动和地表变形强弱，可作为采区规划</w:t>
      </w:r>
      <w:r w:rsidRPr="00A96B1F">
        <w:t>阶段识别扰动较强区域的依据。需要指出的是，</w:t>
      </w:r>
      <w:r w:rsidRPr="00A96B1F">
        <w:t>ODI</w:t>
      </w:r>
      <w:r w:rsidRPr="00A96B1F">
        <w:t>并不替代地表沉陷预计结果，而是用于规划阶段的扰动强弱识别和工作面方案比较。</w:t>
      </w:r>
    </w:p>
    <w:p w14:paraId="5F4922F0" w14:textId="38C50B61" w:rsidR="001E1EA5" w:rsidRDefault="001E1EA5" w:rsidP="004C1CA5">
      <w:pPr>
        <w:pStyle w:val="100"/>
        <w:ind w:firstLine="420"/>
      </w:pPr>
      <w:r w:rsidRPr="001E1EA5">
        <w:t>为进一步验证</w:t>
      </w:r>
      <w:r w:rsidRPr="001E1EA5">
        <w:t>ODI</w:t>
      </w:r>
      <w:r w:rsidRPr="001E1EA5">
        <w:t>在含水层扰动场景中的适用性，将含水层扰动</w:t>
      </w:r>
      <w:r w:rsidRPr="001E1EA5">
        <w:t>ODI</w:t>
      </w:r>
      <w:r w:rsidRPr="001E1EA5">
        <w:t>分区结果与实际突水位置进行对比，结果如</w:t>
      </w:r>
      <w:r>
        <w:fldChar w:fldCharType="begin"/>
      </w:r>
      <w:r>
        <w:instrText xml:space="preserve"> REF _Ref228479391 \h </w:instrText>
      </w:r>
      <w:r>
        <w:fldChar w:fldCharType="separate"/>
      </w:r>
      <w:r>
        <w:rPr>
          <w:rFonts w:hint="eastAsia"/>
        </w:rPr>
        <w:t>图</w:t>
      </w:r>
      <w:r>
        <w:rPr>
          <w:noProof/>
        </w:rPr>
        <w:t>9</w:t>
      </w:r>
      <w:r>
        <w:fldChar w:fldCharType="end"/>
      </w:r>
      <w:r w:rsidRPr="001E1EA5">
        <w:t>所示。</w:t>
      </w:r>
    </w:p>
    <w:p w14:paraId="191557FF" w14:textId="77777777" w:rsidR="001E1EA5" w:rsidRDefault="001E1EA5" w:rsidP="001E1EA5">
      <w:pPr>
        <w:pStyle w:val="100"/>
        <w:ind w:firstLineChars="0" w:firstLine="0"/>
        <w:sectPr w:rsidR="001E1EA5" w:rsidSect="00A07DBF">
          <w:type w:val="continuous"/>
          <w:pgSz w:w="11906" w:h="16838"/>
          <w:pgMar w:top="1418" w:right="1134" w:bottom="1134" w:left="1134" w:header="720" w:footer="720" w:gutter="0"/>
          <w:cols w:num="2" w:space="720"/>
          <w:docGrid w:linePitch="598"/>
        </w:sectPr>
      </w:pPr>
    </w:p>
    <w:p w14:paraId="1F9445FE" w14:textId="77777777" w:rsidR="001E1EA5" w:rsidRDefault="001E1EA5" w:rsidP="001E1EA5">
      <w:pPr>
        <w:pStyle w:val="100"/>
        <w:keepNext/>
        <w:ind w:firstLineChars="0" w:firstLine="0"/>
        <w:jc w:val="center"/>
      </w:pPr>
      <w:r w:rsidRPr="003C5213">
        <w:rPr>
          <w:noProof/>
        </w:rPr>
        <w:drawing>
          <wp:inline distT="0" distB="0" distL="0" distR="0" wp14:anchorId="7ECDA8F6" wp14:editId="6DC87916">
            <wp:extent cx="5608320" cy="1354009"/>
            <wp:effectExtent l="0" t="0" r="0" b="0"/>
            <wp:docPr id="6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
                    <pic:cNvPicPr>
                      <a:picLocks noChangeAspect="1" noChangeArrowheads="1"/>
                    </pic:cNvPicPr>
                  </pic:nvPicPr>
                  <pic:blipFill>
                    <a:blip r:embed="rId245" cstate="print">
                      <a:extLst>
                        <a:ext uri="{28A0092B-C50C-407E-A947-70E740481C1C}">
                          <a14:useLocalDpi xmlns:a14="http://schemas.microsoft.com/office/drawing/2010/main" val="0"/>
                        </a:ext>
                      </a:extLst>
                    </a:blip>
                    <a:srcRect/>
                    <a:stretch>
                      <a:fillRect/>
                    </a:stretch>
                  </pic:blipFill>
                  <pic:spPr bwMode="auto">
                    <a:xfrm>
                      <a:off x="0" y="0"/>
                      <a:ext cx="5617272" cy="1356170"/>
                    </a:xfrm>
                    <a:prstGeom prst="rect">
                      <a:avLst/>
                    </a:prstGeom>
                    <a:noFill/>
                    <a:ln>
                      <a:noFill/>
                    </a:ln>
                  </pic:spPr>
                </pic:pic>
              </a:graphicData>
            </a:graphic>
          </wp:inline>
        </w:drawing>
      </w:r>
    </w:p>
    <w:p w14:paraId="5C4C535E" w14:textId="77777777" w:rsidR="001E1EA5" w:rsidRDefault="001E1EA5" w:rsidP="001E1EA5">
      <w:pPr>
        <w:pStyle w:val="14"/>
      </w:pPr>
      <w:bookmarkStart w:id="9" w:name="_Ref22847939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bookmarkEnd w:id="9"/>
      <w:r>
        <w:rPr>
          <w:rFonts w:hint="eastAsia"/>
        </w:rPr>
        <w:t xml:space="preserve"> </w:t>
      </w:r>
      <w:r w:rsidRPr="001E1EA5">
        <w:t>ODI</w:t>
      </w:r>
      <w:r w:rsidRPr="001E1EA5">
        <w:t>含水层扰动分区与实际突水点对比</w:t>
      </w:r>
    </w:p>
    <w:p w14:paraId="62DD8556" w14:textId="7C297EBD" w:rsidR="001E1EA5" w:rsidRDefault="001E1EA5" w:rsidP="001E1EA5">
      <w:pPr>
        <w:pStyle w:val="14"/>
        <w:sectPr w:rsidR="001E1EA5" w:rsidSect="001E1EA5">
          <w:type w:val="continuous"/>
          <w:pgSz w:w="11906" w:h="16838"/>
          <w:pgMar w:top="1418" w:right="1134" w:bottom="1134" w:left="1134" w:header="720" w:footer="720" w:gutter="0"/>
          <w:cols w:space="720"/>
          <w:docGrid w:linePitch="598"/>
        </w:sectPr>
      </w:pPr>
      <w:r w:rsidRPr="001E1EA5">
        <w:t>Fig.9 Comparison between ODI-based aquifer disturbance zoning and actual water inrush point</w:t>
      </w:r>
    </w:p>
    <w:p w14:paraId="5AAF1CB4" w14:textId="314AD48D" w:rsidR="001E1EA5" w:rsidRPr="001E1EA5" w:rsidRDefault="001E1EA5" w:rsidP="001E1EA5">
      <w:pPr>
        <w:pStyle w:val="100"/>
        <w:ind w:firstLine="420"/>
      </w:pPr>
      <w:r w:rsidRPr="001E1EA5">
        <w:t>由</w:t>
      </w:r>
      <w:r>
        <w:fldChar w:fldCharType="begin"/>
      </w:r>
      <w:r>
        <w:instrText xml:space="preserve"> REF _Ref228479391 \h </w:instrText>
      </w:r>
      <w:r>
        <w:fldChar w:fldCharType="separate"/>
      </w:r>
      <w:r>
        <w:rPr>
          <w:rFonts w:hint="eastAsia"/>
        </w:rPr>
        <w:t>图</w:t>
      </w:r>
      <w:r>
        <w:rPr>
          <w:noProof/>
        </w:rPr>
        <w:t>9</w:t>
      </w:r>
      <w:r>
        <w:fldChar w:fldCharType="end"/>
      </w:r>
      <w:r w:rsidRPr="001E1EA5">
        <w:t>可见，实际突水点位于较强</w:t>
      </w:r>
      <w:r w:rsidRPr="001E1EA5">
        <w:t>—</w:t>
      </w:r>
      <w:r w:rsidRPr="001E1EA5">
        <w:t>强扰动影响范围内，说明含水层扰动</w:t>
      </w:r>
      <w:r w:rsidRPr="001E1EA5">
        <w:t>ODI</w:t>
      </w:r>
      <w:r w:rsidRPr="001E1EA5">
        <w:t>高值区能够在一定程度上反映导水裂隙发育和含水层受扰风险较高的区域。该结果表明，</w:t>
      </w:r>
      <w:r w:rsidRPr="001E1EA5">
        <w:t>ODI</w:t>
      </w:r>
      <w:r w:rsidRPr="001E1EA5">
        <w:t>不仅可以用于地表沉陷扰动强弱识别，也能够为含水层扰动场景下的工作面布置避让和专项复核提供参考。</w:t>
      </w:r>
    </w:p>
    <w:p w14:paraId="07F30A89" w14:textId="5FE1F1B8" w:rsidR="004C1CA5" w:rsidRPr="004C1CA5" w:rsidRDefault="004C1CA5" w:rsidP="004C1CA5">
      <w:pPr>
        <w:pStyle w:val="100"/>
        <w:ind w:firstLine="420"/>
      </w:pPr>
      <w:r w:rsidRPr="004C1CA5">
        <w:t>需要说明的是，</w:t>
      </w:r>
      <w:r w:rsidRPr="004C1CA5">
        <w:t>ODI</w:t>
      </w:r>
      <w:r w:rsidRPr="004C1CA5">
        <w:t>＞</w:t>
      </w:r>
      <w:r w:rsidRPr="004C1CA5">
        <w:t>0.70</w:t>
      </w:r>
      <w:r w:rsidRPr="004C1CA5">
        <w:t>并不表示某一单项灾害已经达到失稳状态，而是规划阶段用于识别中高扰动区域的统计阈值。对于这些区域，后续仍需结合地表沉陷预计、导水裂隙带高度判定、含水层保护和上行开采安全性等专项评价进行复核。本文在方案生成阶段引入</w:t>
      </w:r>
      <w:r w:rsidRPr="004C1CA5">
        <w:t>ODI</w:t>
      </w:r>
      <w:r w:rsidRPr="004C1CA5">
        <w:t>图层，目的在于提前识别工作面可能经过的扰动较强区域，减少方案形成后再因专项校核不满足要求而反复调整的情况。</w:t>
      </w:r>
    </w:p>
    <w:p w14:paraId="5E1D1231" w14:textId="676C724F" w:rsidR="004B7D90" w:rsidRPr="004B7D90" w:rsidRDefault="004B7D90" w:rsidP="00DF00E8">
      <w:pPr>
        <w:pStyle w:val="12"/>
      </w:pPr>
      <w:r w:rsidRPr="004B7D90">
        <w:t xml:space="preserve">4.3 </w:t>
      </w:r>
      <w:r w:rsidR="004C1CA5" w:rsidRPr="004C1CA5">
        <w:t>工作面布置方案生成与对比分析</w:t>
      </w:r>
    </w:p>
    <w:p w14:paraId="2D0B15A7" w14:textId="77777777" w:rsidR="004C1CA5" w:rsidRPr="004C1CA5" w:rsidRDefault="004C1CA5" w:rsidP="004C1CA5">
      <w:pPr>
        <w:pStyle w:val="100"/>
        <w:ind w:firstLine="420"/>
      </w:pPr>
      <w:r w:rsidRPr="004C1CA5">
        <w:t>在工作面可布置区域、煤层厚度分布和</w:t>
      </w:r>
      <w:r w:rsidRPr="004C1CA5">
        <w:t>ODI</w:t>
      </w:r>
      <w:r w:rsidRPr="004C1CA5">
        <w:t>图层确定后，进一步开展工作面布置方案生成。候选方案以工作面可布置区域为边界控制，以工作面宽度、推进方向、边界煤柱、区段煤柱和推进长度校核阈值为主要参数。计算时，先在可布置区域内构造平行工作面条带，再通过条带平移、</w:t>
      </w:r>
      <w:r w:rsidRPr="004C1CA5">
        <w:t>组合和裁剪形成多组初始方案；随后检查各方案是否存在越界、重叠、煤柱不足、推进长度不足或局部形态不利于实施等问题。满足基本采矿要求的方案进入后续评价。</w:t>
      </w:r>
    </w:p>
    <w:p w14:paraId="1D4A81E2" w14:textId="77777777" w:rsidR="004C1CA5" w:rsidRPr="004C1CA5" w:rsidRDefault="004C1CA5" w:rsidP="004C1CA5">
      <w:pPr>
        <w:pStyle w:val="100"/>
        <w:ind w:firstLine="420"/>
      </w:pPr>
      <w:r w:rsidRPr="004C1CA5">
        <w:t>在相同边界、煤柱参数、煤层厚度分布和</w:t>
      </w:r>
      <w:r w:rsidRPr="004C1CA5">
        <w:t>ODI</w:t>
      </w:r>
      <w:r w:rsidRPr="004C1CA5">
        <w:t>图层条件下，分别按照工程组织效率、资源覆盖程度和扰动控制效果对候选方案进行筛选。经计算，工程效率偏好、资源回收偏好和扰动控制偏好下的有效候选数分别为</w:t>
      </w:r>
      <w:r w:rsidRPr="004C1CA5">
        <w:t>2417</w:t>
      </w:r>
      <w:r w:rsidRPr="004C1CA5">
        <w:t>、</w:t>
      </w:r>
      <w:r w:rsidRPr="004C1CA5">
        <w:t>1149</w:t>
      </w:r>
      <w:r w:rsidRPr="004C1CA5">
        <w:t>和</w:t>
      </w:r>
      <w:r w:rsidRPr="004C1CA5">
        <w:t>374</w:t>
      </w:r>
      <w:r w:rsidRPr="004C1CA5">
        <w:t>，其中扰动控制偏好下满足低扰动筛选条件的候选数为</w:t>
      </w:r>
      <w:r w:rsidRPr="004C1CA5">
        <w:t>88</w:t>
      </w:r>
      <w:r w:rsidRPr="004C1CA5">
        <w:t>。该结果说明，在既定工程约束下，研究区仍存在较大的方案选择空间，不同规划目标会得到不同的工作面布置结果。</w:t>
      </w:r>
    </w:p>
    <w:p w14:paraId="4E658940" w14:textId="5F084D85" w:rsidR="004C1CA5" w:rsidRPr="004C1CA5" w:rsidRDefault="004C1CA5" w:rsidP="004C1CA5">
      <w:pPr>
        <w:pStyle w:val="100"/>
        <w:ind w:firstLine="420"/>
      </w:pPr>
      <w:r w:rsidRPr="004C1CA5">
        <w:t>为进一步比较不同规划目标下方案的差异，从候选方案集合中选取</w:t>
      </w:r>
      <w:r w:rsidRPr="004C1CA5">
        <w:t>3</w:t>
      </w:r>
      <w:r w:rsidRPr="004C1CA5">
        <w:t>个代表方案：工程效率优先方案</w:t>
      </w:r>
      <w:r w:rsidRPr="004C1CA5">
        <w:t>A</w:t>
      </w:r>
      <w:r w:rsidRPr="004C1CA5">
        <w:t>、资源回收优先方案</w:t>
      </w:r>
      <w:r w:rsidRPr="004C1CA5">
        <w:t>B</w:t>
      </w:r>
      <w:r w:rsidRPr="004C1CA5">
        <w:t>和低扰动候选方案</w:t>
      </w:r>
      <w:r w:rsidRPr="004C1CA5">
        <w:t>C</w:t>
      </w:r>
      <w:r w:rsidRPr="004C1CA5">
        <w:t>。三类方案均来自同一候选方案集合，采用相同的边界条件、煤厚分布、</w:t>
      </w:r>
      <w:r w:rsidRPr="004C1CA5">
        <w:t>ODI</w:t>
      </w:r>
      <w:r w:rsidRPr="004C1CA5">
        <w:t>图层和评价指标，因此其差异主要反映工程效率、资源覆盖和扰动控制之间的取舍关系。</w:t>
      </w:r>
      <w:r w:rsidRPr="004C1CA5">
        <w:t>A</w:t>
      </w:r>
      <w:r w:rsidRPr="004C1CA5">
        <w:t>、</w:t>
      </w:r>
      <w:r w:rsidRPr="004C1CA5">
        <w:t>B</w:t>
      </w:r>
      <w:r w:rsidRPr="004C1CA5">
        <w:t>、</w:t>
      </w:r>
      <w:r w:rsidRPr="004C1CA5">
        <w:t>C</w:t>
      </w:r>
      <w:r w:rsidRPr="004C1CA5">
        <w:t>方案多指标对比如</w:t>
      </w:r>
      <w:r w:rsidR="001E1EA5">
        <w:fldChar w:fldCharType="begin"/>
      </w:r>
      <w:r w:rsidR="001E1EA5">
        <w:instrText xml:space="preserve"> REF _Ref227925930 \h </w:instrText>
      </w:r>
      <w:r w:rsidR="001E1EA5">
        <w:fldChar w:fldCharType="separate"/>
      </w:r>
      <w:r w:rsidR="001E1EA5">
        <w:rPr>
          <w:rFonts w:hint="eastAsia"/>
        </w:rPr>
        <w:t>图</w:t>
      </w:r>
      <w:r w:rsidR="001E1EA5">
        <w:rPr>
          <w:noProof/>
        </w:rPr>
        <w:t>10</w:t>
      </w:r>
      <w:r w:rsidR="001E1EA5">
        <w:fldChar w:fldCharType="end"/>
      </w:r>
      <w:r w:rsidRPr="004C1CA5">
        <w:t>所示。</w:t>
      </w:r>
    </w:p>
    <w:p w14:paraId="70B874E4" w14:textId="77777777" w:rsidR="004B7D90" w:rsidRDefault="004B7D90" w:rsidP="004B7D90">
      <w:pPr>
        <w:pStyle w:val="100"/>
        <w:ind w:firstLineChars="0" w:firstLine="0"/>
        <w:jc w:val="center"/>
        <w:sectPr w:rsidR="004B7D90" w:rsidSect="00A07DBF">
          <w:type w:val="continuous"/>
          <w:pgSz w:w="11906" w:h="16838"/>
          <w:pgMar w:top="1418" w:right="1134" w:bottom="1134" w:left="1134" w:header="720" w:footer="720" w:gutter="0"/>
          <w:cols w:num="2" w:space="720"/>
          <w:docGrid w:linePitch="598"/>
        </w:sectPr>
      </w:pPr>
    </w:p>
    <w:p w14:paraId="552ACAD8" w14:textId="77777777" w:rsidR="004B7D90" w:rsidRDefault="004B7D90" w:rsidP="004B7D90">
      <w:pPr>
        <w:pStyle w:val="100"/>
        <w:ind w:firstLineChars="0" w:firstLine="0"/>
        <w:jc w:val="center"/>
      </w:pPr>
      <w:r>
        <w:rPr>
          <w:noProof/>
        </w:rPr>
        <w:lastRenderedPageBreak/>
        <w:drawing>
          <wp:inline distT="0" distB="0" distL="0" distR="0" wp14:anchorId="6D031F19" wp14:editId="2BCCF3F9">
            <wp:extent cx="6113780" cy="1729105"/>
            <wp:effectExtent l="0" t="0" r="1270" b="4445"/>
            <wp:docPr id="11394219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246" cstate="print">
                      <a:extLst>
                        <a:ext uri="{28A0092B-C50C-407E-A947-70E740481C1C}">
                          <a14:useLocalDpi xmlns:a14="http://schemas.microsoft.com/office/drawing/2010/main" val="0"/>
                        </a:ext>
                      </a:extLst>
                    </a:blip>
                    <a:srcRect/>
                    <a:stretch>
                      <a:fillRect/>
                    </a:stretch>
                  </pic:blipFill>
                  <pic:spPr bwMode="auto">
                    <a:xfrm>
                      <a:off x="0" y="0"/>
                      <a:ext cx="6113780" cy="1729105"/>
                    </a:xfrm>
                    <a:prstGeom prst="rect">
                      <a:avLst/>
                    </a:prstGeom>
                    <a:noFill/>
                    <a:ln>
                      <a:noFill/>
                    </a:ln>
                  </pic:spPr>
                </pic:pic>
              </a:graphicData>
            </a:graphic>
          </wp:inline>
        </w:drawing>
      </w:r>
    </w:p>
    <w:p w14:paraId="65B4B0C9" w14:textId="7AAE3F36" w:rsidR="004B7D90" w:rsidRDefault="004B7D90" w:rsidP="004B7D90">
      <w:pPr>
        <w:pStyle w:val="14"/>
      </w:pPr>
      <w:bookmarkStart w:id="10" w:name="_Ref227925930"/>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10</w:t>
      </w:r>
      <w:r>
        <w:fldChar w:fldCharType="end"/>
      </w:r>
      <w:bookmarkEnd w:id="10"/>
      <w:r>
        <w:rPr>
          <w:rFonts w:hint="eastAsia"/>
        </w:rPr>
        <w:t xml:space="preserve"> </w:t>
      </w:r>
      <w:r w:rsidRPr="00551567">
        <w:t>A</w:t>
      </w:r>
      <w:r w:rsidRPr="00551567">
        <w:t>、</w:t>
      </w:r>
      <w:r w:rsidRPr="00551567">
        <w:t>B</w:t>
      </w:r>
      <w:r w:rsidRPr="00551567">
        <w:t>、</w:t>
      </w:r>
      <w:r w:rsidRPr="00551567">
        <w:t>C</w:t>
      </w:r>
      <w:r w:rsidRPr="00551567">
        <w:t>候选方案多指标对比图</w:t>
      </w:r>
    </w:p>
    <w:p w14:paraId="5FEEF392" w14:textId="4A53BB65" w:rsidR="004B7D90" w:rsidRDefault="004B7D90" w:rsidP="004B7D90">
      <w:pPr>
        <w:pStyle w:val="14"/>
      </w:pPr>
      <w:r w:rsidRPr="00551567">
        <w:t>Fig.</w:t>
      </w:r>
      <w:r w:rsidR="001E1EA5">
        <w:rPr>
          <w:rFonts w:hint="eastAsia"/>
        </w:rPr>
        <w:t>10</w:t>
      </w:r>
      <w:r w:rsidRPr="00551567">
        <w:t xml:space="preserve"> Multi-indicator comparison of candidate schemes A, B and C</w:t>
      </w:r>
    </w:p>
    <w:p w14:paraId="6F693C12"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6CB95A7F" w14:textId="72012B43" w:rsidR="004C1CA5" w:rsidRPr="004C1CA5" w:rsidRDefault="004C1CA5" w:rsidP="004C1CA5">
      <w:pPr>
        <w:pStyle w:val="100"/>
        <w:ind w:firstLine="420"/>
      </w:pPr>
      <w:r w:rsidRPr="004C1CA5">
        <w:t>由</w:t>
      </w:r>
      <w:r w:rsidR="001E1EA5">
        <w:fldChar w:fldCharType="begin"/>
      </w:r>
      <w:r w:rsidR="001E1EA5">
        <w:instrText xml:space="preserve"> REF _Ref227925930 \h </w:instrText>
      </w:r>
      <w:r w:rsidR="001E1EA5">
        <w:fldChar w:fldCharType="separate"/>
      </w:r>
      <w:r w:rsidR="001E1EA5">
        <w:rPr>
          <w:rFonts w:hint="eastAsia"/>
        </w:rPr>
        <w:t>图</w:t>
      </w:r>
      <w:r w:rsidR="001E1EA5">
        <w:rPr>
          <w:noProof/>
        </w:rPr>
        <w:t>10</w:t>
      </w:r>
      <w:r w:rsidR="001E1EA5">
        <w:fldChar w:fldCharType="end"/>
      </w:r>
      <w:r w:rsidRPr="004C1CA5">
        <w:t>可见，三类方案在覆盖率和扰动指标上存在明显差异。资源回收优先方案</w:t>
      </w:r>
      <w:r w:rsidRPr="004C1CA5">
        <w:t>B</w:t>
      </w:r>
      <w:r w:rsidRPr="004C1CA5">
        <w:t>覆盖率最高，说明其对可布置区域和煤厚资源的利用程度较高，但随着覆盖范围扩大，方案与中高扰动区域接触的可能性也随之增加。低扰动候选方案</w:t>
      </w:r>
      <w:r w:rsidRPr="004C1CA5">
        <w:t>C</w:t>
      </w:r>
      <w:r w:rsidRPr="004C1CA5">
        <w:t>覆盖率低于</w:t>
      </w:r>
      <w:r w:rsidRPr="004C1CA5">
        <w:t>A</w:t>
      </w:r>
      <w:r w:rsidRPr="004C1CA5">
        <w:t>、</w:t>
      </w:r>
      <w:r w:rsidRPr="004C1CA5">
        <w:t>B</w:t>
      </w:r>
      <w:r w:rsidRPr="004C1CA5">
        <w:t>方案，但</w:t>
      </w:r>
      <w:r w:rsidRPr="004C1CA5">
        <w:t>ODI</w:t>
      </w:r>
      <w:r w:rsidRPr="004C1CA5">
        <w:t>均值和</w:t>
      </w:r>
      <w:r w:rsidRPr="004C1CA5">
        <w:t>P90</w:t>
      </w:r>
      <w:r w:rsidRPr="004C1CA5">
        <w:t>较低，说明其整体扰动水平和局部高值扰动相对较小。工程效率优先方案</w:t>
      </w:r>
      <w:r w:rsidRPr="004C1CA5">
        <w:t>A</w:t>
      </w:r>
      <w:r w:rsidRPr="004C1CA5">
        <w:t>则处于二者之间，在覆盖率、工作面数量和扰动控制方面表现较为均衡。</w:t>
      </w:r>
    </w:p>
    <w:p w14:paraId="1DD1A06B" w14:textId="00D5EB23" w:rsidR="004C1CA5" w:rsidRPr="004C1CA5" w:rsidRDefault="004C1CA5" w:rsidP="004C1CA5">
      <w:pPr>
        <w:pStyle w:val="100"/>
        <w:ind w:firstLine="420"/>
      </w:pPr>
      <w:r w:rsidRPr="004C1CA5">
        <w:t>A</w:t>
      </w:r>
      <w:r w:rsidRPr="004C1CA5">
        <w:t>、</w:t>
      </w:r>
      <w:r w:rsidRPr="004C1CA5">
        <w:t>B</w:t>
      </w:r>
      <w:r w:rsidRPr="004C1CA5">
        <w:t>、</w:t>
      </w:r>
      <w:r w:rsidRPr="004C1CA5">
        <w:t>C</w:t>
      </w:r>
      <w:r w:rsidRPr="004C1CA5">
        <w:t>方案的主要指标见表</w:t>
      </w:r>
      <w:r w:rsidR="00495807">
        <w:rPr>
          <w:rFonts w:hint="eastAsia"/>
        </w:rPr>
        <w:t>4</w:t>
      </w:r>
      <w:r w:rsidRPr="004C1CA5">
        <w:t>。</w:t>
      </w:r>
    </w:p>
    <w:p w14:paraId="5E100D4A" w14:textId="77777777" w:rsidR="004B7D90" w:rsidRDefault="004B7D90" w:rsidP="004B7D90">
      <w:pPr>
        <w:pStyle w:val="100"/>
        <w:ind w:firstLineChars="0" w:firstLine="0"/>
        <w:rPr>
          <w:b/>
          <w:bCs/>
        </w:rPr>
        <w:sectPr w:rsidR="004B7D90" w:rsidSect="00A07DBF">
          <w:type w:val="continuous"/>
          <w:pgSz w:w="11906" w:h="16838"/>
          <w:pgMar w:top="1418" w:right="1134" w:bottom="1134" w:left="1134" w:header="720" w:footer="720" w:gutter="0"/>
          <w:cols w:num="2" w:space="720"/>
          <w:docGrid w:linePitch="598"/>
        </w:sectPr>
      </w:pPr>
    </w:p>
    <w:p w14:paraId="4F2B9434" w14:textId="366F8236" w:rsidR="00D94197" w:rsidRDefault="00D94197" w:rsidP="00067EEE">
      <w:pPr>
        <w:pStyle w:val="15"/>
      </w:pPr>
      <w:bookmarkStart w:id="11" w:name="_Ref228479628"/>
      <w:r>
        <w:rPr>
          <w:rFonts w:hint="eastAsia"/>
        </w:rPr>
        <w:t>表</w:t>
      </w:r>
      <w:r w:rsidR="00495807">
        <w:fldChar w:fldCharType="begin"/>
      </w:r>
      <w:r w:rsidR="00495807">
        <w:instrText xml:space="preserve"> </w:instrText>
      </w:r>
      <w:r w:rsidR="00495807">
        <w:rPr>
          <w:rFonts w:hint="eastAsia"/>
        </w:rPr>
        <w:instrText xml:space="preserve">SEQ </w:instrText>
      </w:r>
      <w:r w:rsidR="00495807">
        <w:rPr>
          <w:rFonts w:hint="eastAsia"/>
        </w:rPr>
        <w:instrText>表</w:instrText>
      </w:r>
      <w:r w:rsidR="00495807">
        <w:rPr>
          <w:rFonts w:hint="eastAsia"/>
        </w:rPr>
        <w:instrText xml:space="preserve"> \* ARABIC</w:instrText>
      </w:r>
      <w:r w:rsidR="00495807">
        <w:instrText xml:space="preserve"> </w:instrText>
      </w:r>
      <w:r w:rsidR="00495807">
        <w:fldChar w:fldCharType="separate"/>
      </w:r>
      <w:r w:rsidR="00495807">
        <w:rPr>
          <w:noProof/>
        </w:rPr>
        <w:t>4</w:t>
      </w:r>
      <w:r w:rsidR="00495807">
        <w:fldChar w:fldCharType="end"/>
      </w:r>
      <w:bookmarkEnd w:id="11"/>
      <w:r>
        <w:rPr>
          <w:rFonts w:hint="eastAsia"/>
        </w:rPr>
        <w:t xml:space="preserve"> </w:t>
      </w:r>
      <w:r w:rsidR="00067EEE" w:rsidRPr="00067EEE">
        <w:t>A</w:t>
      </w:r>
      <w:r w:rsidR="00067EEE" w:rsidRPr="00067EEE">
        <w:t>、</w:t>
      </w:r>
      <w:r w:rsidR="00067EEE" w:rsidRPr="00067EEE">
        <w:t>B</w:t>
      </w:r>
      <w:r w:rsidR="00067EEE" w:rsidRPr="00067EEE">
        <w:t>、</w:t>
      </w:r>
      <w:r w:rsidR="00067EEE" w:rsidRPr="00067EEE">
        <w:t>C</w:t>
      </w:r>
      <w:r w:rsidR="00067EEE" w:rsidRPr="00067EEE">
        <w:t>代表性工作面布置方案指标对比</w:t>
      </w:r>
    </w:p>
    <w:p w14:paraId="1B2DB6D0" w14:textId="0BBD910F" w:rsidR="00067EEE" w:rsidRDefault="00067EEE" w:rsidP="00067EEE">
      <w:pPr>
        <w:pStyle w:val="15"/>
      </w:pPr>
      <w:r w:rsidRPr="00067EEE">
        <w:t xml:space="preserve">Table </w:t>
      </w:r>
      <w:r w:rsidR="00495807">
        <w:rPr>
          <w:rFonts w:hint="eastAsia"/>
        </w:rPr>
        <w:t>4</w:t>
      </w:r>
      <w:r w:rsidRPr="00067EEE">
        <w:t xml:space="preserve"> Comparison of indicators for representative working-face layout schemes A, B and C</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55"/>
        <w:gridCol w:w="1143"/>
        <w:gridCol w:w="670"/>
        <w:gridCol w:w="652"/>
        <w:gridCol w:w="841"/>
        <w:gridCol w:w="841"/>
        <w:gridCol w:w="881"/>
        <w:gridCol w:w="683"/>
        <w:gridCol w:w="555"/>
        <w:gridCol w:w="993"/>
        <w:gridCol w:w="2024"/>
      </w:tblGrid>
      <w:tr w:rsidR="004B7D90" w:rsidRPr="004B7D90" w14:paraId="08D1391B" w14:textId="77777777" w:rsidTr="004B7D90">
        <w:trPr>
          <w:tblHeader/>
          <w:tblCellSpacing w:w="15" w:type="dxa"/>
          <w:jc w:val="center"/>
        </w:trPr>
        <w:tc>
          <w:tcPr>
            <w:tcW w:w="0" w:type="auto"/>
            <w:tcBorders>
              <w:top w:val="nil"/>
              <w:bottom w:val="single" w:sz="4" w:space="0" w:color="auto"/>
            </w:tcBorders>
            <w:vAlign w:val="center"/>
            <w:hideMark/>
          </w:tcPr>
          <w:p w14:paraId="5295180F" w14:textId="77777777" w:rsidR="004B7D90" w:rsidRPr="00D76668" w:rsidRDefault="004B7D90" w:rsidP="00D76668">
            <w:pPr>
              <w:spacing w:beforeLines="0" w:before="0" w:afterLines="0" w:after="0"/>
              <w:jc w:val="center"/>
              <w:rPr>
                <w:rFonts w:eastAsia="宋体"/>
                <w:sz w:val="18"/>
              </w:rPr>
            </w:pPr>
            <w:r w:rsidRPr="00D76668">
              <w:rPr>
                <w:rFonts w:eastAsia="宋体"/>
                <w:sz w:val="18"/>
              </w:rPr>
              <w:t>方案</w:t>
            </w:r>
          </w:p>
        </w:tc>
        <w:tc>
          <w:tcPr>
            <w:tcW w:w="0" w:type="auto"/>
            <w:tcBorders>
              <w:top w:val="nil"/>
              <w:bottom w:val="single" w:sz="4" w:space="0" w:color="auto"/>
            </w:tcBorders>
            <w:vAlign w:val="center"/>
            <w:hideMark/>
          </w:tcPr>
          <w:p w14:paraId="3CC8D376" w14:textId="77777777" w:rsidR="004B7D90" w:rsidRPr="00D76668" w:rsidRDefault="004B7D90" w:rsidP="00D76668">
            <w:pPr>
              <w:spacing w:beforeLines="0" w:before="0" w:afterLines="0" w:after="0"/>
              <w:jc w:val="center"/>
              <w:rPr>
                <w:rFonts w:eastAsia="宋体"/>
                <w:sz w:val="18"/>
              </w:rPr>
            </w:pPr>
            <w:r w:rsidRPr="00D76668">
              <w:rPr>
                <w:rFonts w:eastAsia="宋体"/>
                <w:sz w:val="18"/>
              </w:rPr>
              <w:t>偏好模式</w:t>
            </w:r>
          </w:p>
        </w:tc>
        <w:tc>
          <w:tcPr>
            <w:tcW w:w="0" w:type="auto"/>
            <w:tcBorders>
              <w:top w:val="nil"/>
              <w:bottom w:val="single" w:sz="4" w:space="0" w:color="auto"/>
            </w:tcBorders>
            <w:vAlign w:val="center"/>
            <w:hideMark/>
          </w:tcPr>
          <w:p w14:paraId="7F6531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工作面数</w:t>
            </w:r>
            <w:r w:rsidRPr="00D76668">
              <w:rPr>
                <w:rFonts w:eastAsia="宋体"/>
                <w:sz w:val="18"/>
              </w:rPr>
              <w:t>/</w:t>
            </w:r>
            <w:r w:rsidRPr="00D76668">
              <w:rPr>
                <w:rFonts w:eastAsia="宋体"/>
                <w:sz w:val="18"/>
              </w:rPr>
              <w:t>个</w:t>
            </w:r>
          </w:p>
        </w:tc>
        <w:tc>
          <w:tcPr>
            <w:tcW w:w="0" w:type="auto"/>
            <w:tcBorders>
              <w:top w:val="nil"/>
              <w:bottom w:val="single" w:sz="4" w:space="0" w:color="auto"/>
            </w:tcBorders>
            <w:vAlign w:val="center"/>
            <w:hideMark/>
          </w:tcPr>
          <w:p w14:paraId="683480CD" w14:textId="77777777" w:rsidR="004B7D90" w:rsidRPr="00D76668" w:rsidRDefault="004B7D90" w:rsidP="00D76668">
            <w:pPr>
              <w:spacing w:beforeLines="0" w:before="0" w:afterLines="0" w:after="0"/>
              <w:jc w:val="center"/>
              <w:rPr>
                <w:rFonts w:eastAsia="宋体"/>
                <w:sz w:val="18"/>
              </w:rPr>
            </w:pPr>
            <w:r w:rsidRPr="00D76668">
              <w:rPr>
                <w:rFonts w:eastAsia="宋体"/>
                <w:sz w:val="18"/>
              </w:rPr>
              <w:t>覆盖率</w:t>
            </w:r>
            <w:r w:rsidRPr="00D76668">
              <w:rPr>
                <w:rFonts w:eastAsia="宋体"/>
                <w:sz w:val="18"/>
              </w:rPr>
              <w:t>/%</w:t>
            </w:r>
          </w:p>
        </w:tc>
        <w:tc>
          <w:tcPr>
            <w:tcW w:w="0" w:type="auto"/>
            <w:tcBorders>
              <w:top w:val="nil"/>
              <w:bottom w:val="single" w:sz="4" w:space="0" w:color="auto"/>
            </w:tcBorders>
            <w:vAlign w:val="center"/>
            <w:hideMark/>
          </w:tcPr>
          <w:p w14:paraId="413E3813"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工程效率评分</w:t>
            </w:r>
          </w:p>
        </w:tc>
        <w:tc>
          <w:tcPr>
            <w:tcW w:w="0" w:type="auto"/>
            <w:tcBorders>
              <w:top w:val="nil"/>
              <w:bottom w:val="single" w:sz="4" w:space="0" w:color="auto"/>
            </w:tcBorders>
            <w:vAlign w:val="center"/>
            <w:hideMark/>
          </w:tcPr>
          <w:p w14:paraId="0AFA178F"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资源回收评分</w:t>
            </w:r>
          </w:p>
        </w:tc>
        <w:tc>
          <w:tcPr>
            <w:tcW w:w="0" w:type="auto"/>
            <w:tcBorders>
              <w:top w:val="nil"/>
              <w:bottom w:val="single" w:sz="4" w:space="0" w:color="auto"/>
            </w:tcBorders>
            <w:vAlign w:val="center"/>
            <w:hideMark/>
          </w:tcPr>
          <w:p w14:paraId="37667695" w14:textId="77777777" w:rsidR="004B7D90" w:rsidRPr="00D76668" w:rsidRDefault="004B7D90" w:rsidP="00D76668">
            <w:pPr>
              <w:spacing w:beforeLines="0" w:before="0" w:afterLines="0" w:after="0"/>
              <w:jc w:val="center"/>
              <w:rPr>
                <w:rFonts w:eastAsia="宋体"/>
                <w:sz w:val="18"/>
              </w:rPr>
            </w:pPr>
            <w:r w:rsidRPr="00D76668">
              <w:rPr>
                <w:rFonts w:eastAsia="宋体"/>
                <w:sz w:val="18"/>
              </w:rPr>
              <w:t>风险综合得分</w:t>
            </w:r>
          </w:p>
        </w:tc>
        <w:tc>
          <w:tcPr>
            <w:tcW w:w="0" w:type="auto"/>
            <w:tcBorders>
              <w:top w:val="nil"/>
              <w:bottom w:val="single" w:sz="4" w:space="0" w:color="auto"/>
            </w:tcBorders>
            <w:vAlign w:val="center"/>
            <w:hideMark/>
          </w:tcPr>
          <w:p w14:paraId="70DFFD5B"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均值</w:t>
            </w:r>
          </w:p>
        </w:tc>
        <w:tc>
          <w:tcPr>
            <w:tcW w:w="0" w:type="auto"/>
            <w:tcBorders>
              <w:top w:val="nil"/>
              <w:bottom w:val="single" w:sz="4" w:space="0" w:color="auto"/>
            </w:tcBorders>
            <w:vAlign w:val="center"/>
            <w:hideMark/>
          </w:tcPr>
          <w:p w14:paraId="5C0773FC" w14:textId="77777777" w:rsidR="004B7D90" w:rsidRPr="00D76668" w:rsidRDefault="004B7D90" w:rsidP="00D76668">
            <w:pPr>
              <w:spacing w:beforeLines="0" w:before="0" w:afterLines="0" w:after="0"/>
              <w:jc w:val="center"/>
              <w:rPr>
                <w:rFonts w:eastAsia="宋体"/>
                <w:sz w:val="18"/>
              </w:rPr>
            </w:pPr>
            <w:r w:rsidRPr="00D76668">
              <w:rPr>
                <w:rFonts w:eastAsia="宋体"/>
                <w:sz w:val="18"/>
              </w:rPr>
              <w:t>P90</w:t>
            </w:r>
          </w:p>
        </w:tc>
        <w:tc>
          <w:tcPr>
            <w:tcW w:w="0" w:type="auto"/>
            <w:tcBorders>
              <w:top w:val="nil"/>
              <w:bottom w:val="single" w:sz="4" w:space="0" w:color="auto"/>
            </w:tcBorders>
            <w:vAlign w:val="center"/>
            <w:hideMark/>
          </w:tcPr>
          <w:p w14:paraId="24F961FD"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w:t>
            </w:r>
            <w:r w:rsidRPr="00D76668">
              <w:rPr>
                <w:rFonts w:eastAsia="宋体"/>
                <w:sz w:val="18"/>
              </w:rPr>
              <w:t>0.70</w:t>
            </w:r>
            <w:r w:rsidRPr="00D76668">
              <w:rPr>
                <w:rFonts w:eastAsia="宋体"/>
                <w:sz w:val="18"/>
              </w:rPr>
              <w:t>比例</w:t>
            </w:r>
            <w:r w:rsidRPr="00D76668">
              <w:rPr>
                <w:rFonts w:eastAsia="宋体"/>
                <w:sz w:val="18"/>
              </w:rPr>
              <w:t>/%</w:t>
            </w:r>
          </w:p>
        </w:tc>
        <w:tc>
          <w:tcPr>
            <w:tcW w:w="0" w:type="auto"/>
            <w:tcBorders>
              <w:top w:val="nil"/>
              <w:bottom w:val="single" w:sz="4" w:space="0" w:color="auto"/>
            </w:tcBorders>
            <w:vAlign w:val="center"/>
            <w:hideMark/>
          </w:tcPr>
          <w:p w14:paraId="0E30FFC7" w14:textId="77777777" w:rsidR="004B7D90" w:rsidRPr="00D76668" w:rsidRDefault="004B7D90" w:rsidP="00D76668">
            <w:pPr>
              <w:spacing w:beforeLines="0" w:before="0" w:afterLines="0" w:after="0"/>
              <w:jc w:val="center"/>
              <w:rPr>
                <w:rFonts w:eastAsia="宋体"/>
                <w:sz w:val="18"/>
              </w:rPr>
            </w:pPr>
            <w:r w:rsidRPr="00D76668">
              <w:rPr>
                <w:rFonts w:eastAsia="宋体"/>
                <w:sz w:val="18"/>
              </w:rPr>
              <w:t>判定依据</w:t>
            </w:r>
          </w:p>
        </w:tc>
      </w:tr>
      <w:tr w:rsidR="004B7D90" w:rsidRPr="004B7D90" w14:paraId="01A2BE43" w14:textId="77777777" w:rsidTr="004B7D90">
        <w:trPr>
          <w:tblCellSpacing w:w="15" w:type="dxa"/>
          <w:jc w:val="center"/>
        </w:trPr>
        <w:tc>
          <w:tcPr>
            <w:tcW w:w="0" w:type="auto"/>
            <w:vAlign w:val="center"/>
            <w:hideMark/>
          </w:tcPr>
          <w:p w14:paraId="5D88830B" w14:textId="77777777" w:rsidR="004B7D90" w:rsidRPr="00D76668" w:rsidRDefault="004B7D90" w:rsidP="00D76668">
            <w:pPr>
              <w:spacing w:beforeLines="0" w:before="0" w:afterLines="0" w:after="0"/>
              <w:jc w:val="center"/>
              <w:rPr>
                <w:rFonts w:eastAsia="宋体"/>
                <w:sz w:val="18"/>
              </w:rPr>
            </w:pPr>
            <w:r w:rsidRPr="00D76668">
              <w:rPr>
                <w:rFonts w:eastAsia="宋体"/>
                <w:sz w:val="18"/>
              </w:rPr>
              <w:t>A</w:t>
            </w:r>
          </w:p>
        </w:tc>
        <w:tc>
          <w:tcPr>
            <w:tcW w:w="0" w:type="auto"/>
            <w:vAlign w:val="center"/>
            <w:hideMark/>
          </w:tcPr>
          <w:p w14:paraId="59182CB7"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工程效率优先</w:t>
            </w:r>
          </w:p>
        </w:tc>
        <w:tc>
          <w:tcPr>
            <w:tcW w:w="0" w:type="auto"/>
            <w:vAlign w:val="center"/>
            <w:hideMark/>
          </w:tcPr>
          <w:p w14:paraId="0F783BA7" w14:textId="77777777" w:rsidR="004B7D90" w:rsidRPr="00D76668" w:rsidRDefault="004B7D90" w:rsidP="00D76668">
            <w:pPr>
              <w:spacing w:beforeLines="0" w:before="0" w:afterLines="0" w:after="0"/>
              <w:jc w:val="center"/>
              <w:rPr>
                <w:rFonts w:eastAsia="宋体"/>
                <w:sz w:val="18"/>
              </w:rPr>
            </w:pPr>
            <w:r w:rsidRPr="00D76668">
              <w:rPr>
                <w:rFonts w:eastAsia="宋体"/>
                <w:sz w:val="18"/>
              </w:rPr>
              <w:t>5</w:t>
            </w:r>
          </w:p>
        </w:tc>
        <w:tc>
          <w:tcPr>
            <w:tcW w:w="0" w:type="auto"/>
            <w:vAlign w:val="center"/>
            <w:hideMark/>
          </w:tcPr>
          <w:p w14:paraId="129540F9" w14:textId="77777777" w:rsidR="004B7D90" w:rsidRPr="00D76668" w:rsidRDefault="004B7D90" w:rsidP="00D76668">
            <w:pPr>
              <w:spacing w:beforeLines="0" w:before="0" w:afterLines="0" w:after="0"/>
              <w:jc w:val="center"/>
              <w:rPr>
                <w:rFonts w:eastAsia="宋体"/>
                <w:sz w:val="18"/>
              </w:rPr>
            </w:pPr>
            <w:r w:rsidRPr="00D76668">
              <w:rPr>
                <w:rFonts w:eastAsia="宋体"/>
                <w:sz w:val="18"/>
              </w:rPr>
              <w:t>89.34</w:t>
            </w:r>
          </w:p>
        </w:tc>
        <w:tc>
          <w:tcPr>
            <w:tcW w:w="0" w:type="auto"/>
            <w:vAlign w:val="center"/>
            <w:hideMark/>
          </w:tcPr>
          <w:p w14:paraId="02EA58FE" w14:textId="77777777" w:rsidR="004B7D90" w:rsidRPr="00D76668" w:rsidRDefault="004B7D90" w:rsidP="00D76668">
            <w:pPr>
              <w:spacing w:beforeLines="0" w:before="0" w:afterLines="0" w:after="0"/>
              <w:jc w:val="center"/>
              <w:rPr>
                <w:rFonts w:eastAsia="宋体"/>
                <w:sz w:val="18"/>
              </w:rPr>
            </w:pPr>
            <w:r w:rsidRPr="00D76668">
              <w:rPr>
                <w:rFonts w:eastAsia="宋体"/>
                <w:sz w:val="18"/>
              </w:rPr>
              <w:t>87.82</w:t>
            </w:r>
          </w:p>
        </w:tc>
        <w:tc>
          <w:tcPr>
            <w:tcW w:w="0" w:type="auto"/>
            <w:vAlign w:val="center"/>
            <w:hideMark/>
          </w:tcPr>
          <w:p w14:paraId="7364B527"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798691CD" w14:textId="2E822DD0" w:rsidR="004B7D90" w:rsidRPr="00D76668" w:rsidRDefault="003B394F" w:rsidP="00D76668">
            <w:pPr>
              <w:spacing w:beforeLines="0" w:before="0" w:afterLines="0" w:after="0"/>
              <w:jc w:val="center"/>
              <w:rPr>
                <w:rFonts w:eastAsia="宋体"/>
                <w:sz w:val="18"/>
              </w:rPr>
            </w:pPr>
            <w:r w:rsidRPr="003B394F">
              <w:rPr>
                <w:rFonts w:eastAsia="宋体"/>
                <w:sz w:val="18"/>
              </w:rPr>
              <w:t>0.4481</w:t>
            </w:r>
          </w:p>
        </w:tc>
        <w:tc>
          <w:tcPr>
            <w:tcW w:w="0" w:type="auto"/>
            <w:vAlign w:val="center"/>
            <w:hideMark/>
          </w:tcPr>
          <w:p w14:paraId="3A946753"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0.4463</w:t>
            </w:r>
          </w:p>
        </w:tc>
        <w:tc>
          <w:tcPr>
            <w:tcW w:w="0" w:type="auto"/>
            <w:vAlign w:val="center"/>
            <w:hideMark/>
          </w:tcPr>
          <w:p w14:paraId="6A4CACBF"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0.6407</w:t>
            </w:r>
          </w:p>
        </w:tc>
        <w:tc>
          <w:tcPr>
            <w:tcW w:w="0" w:type="auto"/>
            <w:vAlign w:val="center"/>
            <w:hideMark/>
          </w:tcPr>
          <w:p w14:paraId="1A8C142C"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w:t>
            </w:r>
          </w:p>
        </w:tc>
        <w:tc>
          <w:tcPr>
            <w:tcW w:w="0" w:type="auto"/>
            <w:vAlign w:val="center"/>
            <w:hideMark/>
          </w:tcPr>
          <w:p w14:paraId="0AEEAE56" w14:textId="77777777" w:rsidR="004B7D90" w:rsidRPr="00D76668" w:rsidRDefault="004B7D90" w:rsidP="00D76668">
            <w:pPr>
              <w:spacing w:beforeLines="0" w:before="0" w:afterLines="0" w:after="0"/>
              <w:jc w:val="center"/>
              <w:rPr>
                <w:rFonts w:eastAsia="宋体"/>
                <w:sz w:val="18"/>
              </w:rPr>
            </w:pPr>
            <w:r w:rsidRPr="00D76668">
              <w:rPr>
                <w:rFonts w:eastAsia="宋体"/>
                <w:sz w:val="18"/>
              </w:rPr>
              <w:t>工程效率分项排序最优</w:t>
            </w:r>
          </w:p>
        </w:tc>
      </w:tr>
      <w:tr w:rsidR="004B7D90" w:rsidRPr="004B7D90" w14:paraId="431AD1E8" w14:textId="77777777" w:rsidTr="004B7D90">
        <w:trPr>
          <w:tblCellSpacing w:w="15" w:type="dxa"/>
          <w:jc w:val="center"/>
        </w:trPr>
        <w:tc>
          <w:tcPr>
            <w:tcW w:w="0" w:type="auto"/>
            <w:vAlign w:val="center"/>
            <w:hideMark/>
          </w:tcPr>
          <w:p w14:paraId="5B69B979" w14:textId="77777777" w:rsidR="004B7D90" w:rsidRPr="00D76668" w:rsidRDefault="004B7D90" w:rsidP="00D76668">
            <w:pPr>
              <w:spacing w:beforeLines="0" w:before="0" w:afterLines="0" w:after="0"/>
              <w:jc w:val="center"/>
              <w:rPr>
                <w:rFonts w:eastAsia="宋体"/>
                <w:sz w:val="18"/>
              </w:rPr>
            </w:pPr>
            <w:r w:rsidRPr="00D76668">
              <w:rPr>
                <w:rFonts w:eastAsia="宋体"/>
                <w:sz w:val="18"/>
              </w:rPr>
              <w:t>B</w:t>
            </w:r>
          </w:p>
        </w:tc>
        <w:tc>
          <w:tcPr>
            <w:tcW w:w="0" w:type="auto"/>
            <w:vAlign w:val="center"/>
            <w:hideMark/>
          </w:tcPr>
          <w:p w14:paraId="01FD4C73"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资源回收优先</w:t>
            </w:r>
          </w:p>
        </w:tc>
        <w:tc>
          <w:tcPr>
            <w:tcW w:w="0" w:type="auto"/>
            <w:vAlign w:val="center"/>
            <w:hideMark/>
          </w:tcPr>
          <w:p w14:paraId="6D6A8F86" w14:textId="77777777" w:rsidR="004B7D90" w:rsidRPr="00D76668" w:rsidRDefault="004B7D90" w:rsidP="00D76668">
            <w:pPr>
              <w:spacing w:beforeLines="0" w:before="0" w:afterLines="0" w:after="0"/>
              <w:jc w:val="center"/>
              <w:rPr>
                <w:rFonts w:eastAsia="宋体"/>
                <w:sz w:val="18"/>
              </w:rPr>
            </w:pPr>
            <w:r w:rsidRPr="00D76668">
              <w:rPr>
                <w:rFonts w:eastAsia="宋体"/>
                <w:sz w:val="18"/>
              </w:rPr>
              <w:t>9</w:t>
            </w:r>
          </w:p>
        </w:tc>
        <w:tc>
          <w:tcPr>
            <w:tcW w:w="0" w:type="auto"/>
            <w:vAlign w:val="center"/>
            <w:hideMark/>
          </w:tcPr>
          <w:p w14:paraId="2C10E6EB" w14:textId="77777777" w:rsidR="004B7D90" w:rsidRPr="00D76668" w:rsidRDefault="004B7D90" w:rsidP="00D76668">
            <w:pPr>
              <w:spacing w:beforeLines="0" w:before="0" w:afterLines="0" w:after="0"/>
              <w:jc w:val="center"/>
              <w:rPr>
                <w:rFonts w:eastAsia="宋体"/>
                <w:sz w:val="18"/>
              </w:rPr>
            </w:pPr>
            <w:r w:rsidRPr="00D76668">
              <w:rPr>
                <w:rFonts w:eastAsia="宋体"/>
                <w:sz w:val="18"/>
              </w:rPr>
              <w:t>98.52</w:t>
            </w:r>
          </w:p>
        </w:tc>
        <w:tc>
          <w:tcPr>
            <w:tcW w:w="0" w:type="auto"/>
            <w:vAlign w:val="center"/>
            <w:hideMark/>
          </w:tcPr>
          <w:p w14:paraId="1F778AAF"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48100FB9" w14:textId="77777777" w:rsidR="004B7D90" w:rsidRPr="00D76668" w:rsidRDefault="004B7D90" w:rsidP="00D76668">
            <w:pPr>
              <w:spacing w:beforeLines="0" w:before="0" w:afterLines="0" w:after="0"/>
              <w:jc w:val="center"/>
              <w:rPr>
                <w:rFonts w:eastAsia="宋体"/>
                <w:sz w:val="18"/>
              </w:rPr>
            </w:pPr>
            <w:r w:rsidRPr="00D76668">
              <w:rPr>
                <w:rFonts w:eastAsia="宋体"/>
                <w:sz w:val="18"/>
              </w:rPr>
              <w:t>89.76</w:t>
            </w:r>
          </w:p>
        </w:tc>
        <w:tc>
          <w:tcPr>
            <w:tcW w:w="0" w:type="auto"/>
            <w:vAlign w:val="center"/>
            <w:hideMark/>
          </w:tcPr>
          <w:p w14:paraId="2B38163B" w14:textId="743C80C8" w:rsidR="004B7D90" w:rsidRPr="00D76668" w:rsidRDefault="003B394F" w:rsidP="00D76668">
            <w:pPr>
              <w:spacing w:beforeLines="0" w:before="0" w:afterLines="0" w:after="0"/>
              <w:jc w:val="center"/>
              <w:rPr>
                <w:rFonts w:eastAsia="宋体"/>
                <w:sz w:val="18"/>
              </w:rPr>
            </w:pPr>
            <w:r w:rsidRPr="003B394F">
              <w:rPr>
                <w:rFonts w:eastAsia="宋体"/>
                <w:sz w:val="18"/>
              </w:rPr>
              <w:t>0.4546</w:t>
            </w:r>
          </w:p>
        </w:tc>
        <w:tc>
          <w:tcPr>
            <w:tcW w:w="0" w:type="auto"/>
            <w:vAlign w:val="center"/>
            <w:hideMark/>
          </w:tcPr>
          <w:p w14:paraId="21B9B019"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0.4552</w:t>
            </w:r>
          </w:p>
        </w:tc>
        <w:tc>
          <w:tcPr>
            <w:tcW w:w="0" w:type="auto"/>
            <w:vAlign w:val="center"/>
            <w:hideMark/>
          </w:tcPr>
          <w:p w14:paraId="6BA580AD"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0.6462</w:t>
            </w:r>
          </w:p>
        </w:tc>
        <w:tc>
          <w:tcPr>
            <w:tcW w:w="0" w:type="auto"/>
            <w:vAlign w:val="center"/>
            <w:hideMark/>
          </w:tcPr>
          <w:p w14:paraId="474665A2" w14:textId="77777777" w:rsidR="004B7D90" w:rsidRPr="00D76668" w:rsidRDefault="004B7D90" w:rsidP="00D76668">
            <w:pPr>
              <w:spacing w:beforeLines="0" w:before="0" w:afterLines="0" w:after="0"/>
              <w:jc w:val="center"/>
              <w:rPr>
                <w:rFonts w:eastAsia="宋体"/>
                <w:sz w:val="18"/>
              </w:rPr>
            </w:pPr>
            <w:r w:rsidRPr="00D76668">
              <w:rPr>
                <w:rFonts w:eastAsia="宋体"/>
                <w:sz w:val="18"/>
              </w:rPr>
              <w:t>0.56</w:t>
            </w:r>
          </w:p>
        </w:tc>
        <w:tc>
          <w:tcPr>
            <w:tcW w:w="0" w:type="auto"/>
            <w:vAlign w:val="center"/>
            <w:hideMark/>
          </w:tcPr>
          <w:p w14:paraId="72B5CA32" w14:textId="77777777" w:rsidR="004B7D90" w:rsidRPr="00D76668" w:rsidRDefault="004B7D90" w:rsidP="00D76668">
            <w:pPr>
              <w:spacing w:beforeLines="0" w:before="0" w:afterLines="0" w:after="0"/>
              <w:jc w:val="center"/>
              <w:rPr>
                <w:rFonts w:eastAsia="宋体"/>
                <w:sz w:val="18"/>
              </w:rPr>
            </w:pPr>
            <w:r w:rsidRPr="00D76668">
              <w:rPr>
                <w:rFonts w:eastAsia="宋体"/>
                <w:sz w:val="18"/>
              </w:rPr>
              <w:t>资源回收分项排序最优</w:t>
            </w:r>
          </w:p>
        </w:tc>
      </w:tr>
      <w:tr w:rsidR="004B7D90" w:rsidRPr="004B7D90" w14:paraId="755C167C" w14:textId="77777777" w:rsidTr="004B7D90">
        <w:trPr>
          <w:tblCellSpacing w:w="15" w:type="dxa"/>
          <w:jc w:val="center"/>
        </w:trPr>
        <w:tc>
          <w:tcPr>
            <w:tcW w:w="0" w:type="auto"/>
            <w:vAlign w:val="center"/>
            <w:hideMark/>
          </w:tcPr>
          <w:p w14:paraId="76F380ED" w14:textId="77777777" w:rsidR="004B7D90" w:rsidRPr="00D76668" w:rsidRDefault="004B7D90" w:rsidP="00D76668">
            <w:pPr>
              <w:spacing w:beforeLines="0" w:before="0" w:afterLines="0" w:after="0"/>
              <w:jc w:val="center"/>
              <w:rPr>
                <w:rFonts w:eastAsia="宋体"/>
                <w:sz w:val="18"/>
              </w:rPr>
            </w:pPr>
            <w:r w:rsidRPr="00D76668">
              <w:rPr>
                <w:rFonts w:eastAsia="宋体"/>
                <w:sz w:val="18"/>
              </w:rPr>
              <w:t>C</w:t>
            </w:r>
          </w:p>
        </w:tc>
        <w:tc>
          <w:tcPr>
            <w:tcW w:w="0" w:type="auto"/>
            <w:vAlign w:val="center"/>
            <w:hideMark/>
          </w:tcPr>
          <w:p w14:paraId="76A60785" w14:textId="77777777" w:rsidR="004B7D90" w:rsidRPr="00D76668" w:rsidRDefault="004B7D90" w:rsidP="00D76668">
            <w:pPr>
              <w:spacing w:beforeLines="0" w:before="0" w:afterLines="0" w:after="0"/>
              <w:jc w:val="center"/>
              <w:rPr>
                <w:rFonts w:eastAsia="宋体"/>
                <w:sz w:val="18"/>
              </w:rPr>
            </w:pPr>
            <w:r w:rsidRPr="00D76668">
              <w:rPr>
                <w:rFonts w:eastAsia="宋体"/>
                <w:sz w:val="18"/>
              </w:rPr>
              <w:t>联合判据下低扰动候选</w:t>
            </w:r>
          </w:p>
        </w:tc>
        <w:tc>
          <w:tcPr>
            <w:tcW w:w="0" w:type="auto"/>
            <w:vAlign w:val="center"/>
            <w:hideMark/>
          </w:tcPr>
          <w:p w14:paraId="5A7B6A3B" w14:textId="77777777" w:rsidR="004B7D90" w:rsidRPr="00D76668" w:rsidRDefault="004B7D90" w:rsidP="00D76668">
            <w:pPr>
              <w:spacing w:beforeLines="0" w:before="0" w:afterLines="0" w:after="0"/>
              <w:jc w:val="center"/>
              <w:rPr>
                <w:rFonts w:eastAsia="宋体"/>
                <w:sz w:val="18"/>
              </w:rPr>
            </w:pPr>
            <w:r w:rsidRPr="00D76668">
              <w:rPr>
                <w:rFonts w:eastAsia="宋体"/>
                <w:sz w:val="18"/>
              </w:rPr>
              <w:t>4</w:t>
            </w:r>
          </w:p>
        </w:tc>
        <w:tc>
          <w:tcPr>
            <w:tcW w:w="0" w:type="auto"/>
            <w:vAlign w:val="center"/>
            <w:hideMark/>
          </w:tcPr>
          <w:p w14:paraId="4BA74F72" w14:textId="77777777" w:rsidR="004B7D90" w:rsidRPr="00D76668" w:rsidRDefault="004B7D90" w:rsidP="00D76668">
            <w:pPr>
              <w:spacing w:beforeLines="0" w:before="0" w:afterLines="0" w:after="0"/>
              <w:jc w:val="center"/>
              <w:rPr>
                <w:rFonts w:eastAsia="宋体"/>
                <w:sz w:val="18"/>
              </w:rPr>
            </w:pPr>
            <w:r w:rsidRPr="00D76668">
              <w:rPr>
                <w:rFonts w:eastAsia="宋体"/>
                <w:sz w:val="18"/>
              </w:rPr>
              <w:t>80.67</w:t>
            </w:r>
          </w:p>
        </w:tc>
        <w:tc>
          <w:tcPr>
            <w:tcW w:w="0" w:type="auto"/>
            <w:vAlign w:val="center"/>
            <w:hideMark/>
          </w:tcPr>
          <w:p w14:paraId="6C9FA579"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439C03B9" w14:textId="77777777" w:rsidR="004B7D90" w:rsidRPr="00D76668" w:rsidRDefault="004B7D90" w:rsidP="00D76668">
            <w:pPr>
              <w:spacing w:beforeLines="0" w:before="0" w:afterLines="0" w:after="0"/>
              <w:jc w:val="center"/>
              <w:rPr>
                <w:rFonts w:eastAsia="宋体"/>
                <w:sz w:val="18"/>
              </w:rPr>
            </w:pPr>
            <w:r w:rsidRPr="00D76668">
              <w:rPr>
                <w:rFonts w:eastAsia="宋体"/>
                <w:sz w:val="18"/>
              </w:rPr>
              <w:t>—</w:t>
            </w:r>
          </w:p>
        </w:tc>
        <w:tc>
          <w:tcPr>
            <w:tcW w:w="0" w:type="auto"/>
            <w:vAlign w:val="center"/>
            <w:hideMark/>
          </w:tcPr>
          <w:p w14:paraId="5347B848"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0.4449</w:t>
            </w:r>
          </w:p>
        </w:tc>
        <w:tc>
          <w:tcPr>
            <w:tcW w:w="0" w:type="auto"/>
            <w:vAlign w:val="center"/>
            <w:hideMark/>
          </w:tcPr>
          <w:p w14:paraId="01758777" w14:textId="77777777" w:rsidR="004B7D90" w:rsidRPr="00D76668" w:rsidRDefault="004B7D90" w:rsidP="00D76668">
            <w:pPr>
              <w:spacing w:beforeLines="0" w:before="0" w:afterLines="0" w:after="0"/>
              <w:jc w:val="center"/>
              <w:rPr>
                <w:rFonts w:eastAsia="宋体"/>
                <w:sz w:val="18"/>
              </w:rPr>
            </w:pPr>
            <w:r w:rsidRPr="00D76668">
              <w:rPr>
                <w:rFonts w:eastAsia="宋体"/>
                <w:sz w:val="18"/>
              </w:rPr>
              <w:t>0.4416</w:t>
            </w:r>
          </w:p>
        </w:tc>
        <w:tc>
          <w:tcPr>
            <w:tcW w:w="0" w:type="auto"/>
            <w:vAlign w:val="center"/>
            <w:hideMark/>
          </w:tcPr>
          <w:p w14:paraId="14DA8386" w14:textId="77777777" w:rsidR="004B7D90" w:rsidRPr="00D76668" w:rsidRDefault="004B7D90" w:rsidP="00D76668">
            <w:pPr>
              <w:spacing w:beforeLines="0" w:before="0" w:afterLines="0" w:after="0"/>
              <w:jc w:val="center"/>
              <w:rPr>
                <w:rFonts w:eastAsia="宋体"/>
                <w:sz w:val="18"/>
              </w:rPr>
            </w:pPr>
            <w:r w:rsidRPr="00D76668">
              <w:rPr>
                <w:rFonts w:eastAsia="宋体"/>
                <w:sz w:val="18"/>
              </w:rPr>
              <w:t>0.6353</w:t>
            </w:r>
          </w:p>
        </w:tc>
        <w:tc>
          <w:tcPr>
            <w:tcW w:w="0" w:type="auto"/>
            <w:vAlign w:val="center"/>
            <w:hideMark/>
          </w:tcPr>
          <w:p w14:paraId="1DF4745D" w14:textId="77777777" w:rsidR="004B7D90" w:rsidRPr="00D76668" w:rsidRDefault="004B7D90" w:rsidP="00D76668">
            <w:pPr>
              <w:spacing w:beforeLines="0" w:before="0" w:afterLines="0" w:after="0"/>
              <w:jc w:val="center"/>
              <w:rPr>
                <w:rFonts w:eastAsia="宋体"/>
                <w:sz w:val="18"/>
              </w:rPr>
            </w:pPr>
            <w:r w:rsidRPr="00D76668">
              <w:rPr>
                <w:rFonts w:eastAsia="宋体"/>
                <w:sz w:val="18"/>
              </w:rPr>
              <w:t>1.22</w:t>
            </w:r>
          </w:p>
        </w:tc>
        <w:tc>
          <w:tcPr>
            <w:tcW w:w="0" w:type="auto"/>
            <w:vAlign w:val="center"/>
            <w:hideMark/>
          </w:tcPr>
          <w:p w14:paraId="4620DA1B" w14:textId="77777777" w:rsidR="004B7D90" w:rsidRPr="00D76668" w:rsidRDefault="004B7D90" w:rsidP="00D76668">
            <w:pPr>
              <w:spacing w:beforeLines="0" w:before="0" w:afterLines="0" w:after="0"/>
              <w:jc w:val="center"/>
              <w:rPr>
                <w:rFonts w:eastAsia="宋体"/>
                <w:sz w:val="18"/>
              </w:rPr>
            </w:pPr>
            <w:r w:rsidRPr="00D76668">
              <w:rPr>
                <w:rFonts w:eastAsia="宋体"/>
                <w:sz w:val="18"/>
              </w:rPr>
              <w:t>ODI</w:t>
            </w:r>
            <w:r w:rsidRPr="00D76668">
              <w:rPr>
                <w:rFonts w:eastAsia="宋体"/>
                <w:sz w:val="18"/>
              </w:rPr>
              <w:t>均值、</w:t>
            </w:r>
            <w:r w:rsidRPr="00D76668">
              <w:rPr>
                <w:rFonts w:eastAsia="宋体"/>
                <w:sz w:val="18"/>
              </w:rPr>
              <w:t>P90</w:t>
            </w:r>
            <w:r w:rsidRPr="00D76668">
              <w:rPr>
                <w:rFonts w:eastAsia="宋体"/>
                <w:sz w:val="18"/>
              </w:rPr>
              <w:t>和风险综合得分联合判定</w:t>
            </w:r>
          </w:p>
        </w:tc>
      </w:tr>
    </w:tbl>
    <w:p w14:paraId="28DAC752" w14:textId="536417D2"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r w:rsidRPr="004B7D90">
        <w:t>注：</w:t>
      </w:r>
      <w:r w:rsidRPr="004B7D90">
        <w:t>“—”</w:t>
      </w:r>
      <w:r w:rsidRPr="004B7D90">
        <w:t>表示该指标未作为对应偏好模式的主排序指标；风险综合得分越低，表示方案扰动风险越低。</w:t>
      </w:r>
    </w:p>
    <w:p w14:paraId="28E11BFF" w14:textId="075E1D70" w:rsidR="004C1CA5" w:rsidRPr="004C1CA5" w:rsidRDefault="004C1CA5" w:rsidP="004C1CA5">
      <w:pPr>
        <w:pStyle w:val="100"/>
        <w:ind w:firstLine="420"/>
      </w:pPr>
      <w:r w:rsidRPr="004C1CA5">
        <w:t>由表</w:t>
      </w:r>
      <w:r w:rsidR="00495807">
        <w:rPr>
          <w:rFonts w:hint="eastAsia"/>
        </w:rPr>
        <w:t>4</w:t>
      </w:r>
      <w:r w:rsidRPr="004C1CA5">
        <w:t>可知，工程效率优先方案</w:t>
      </w:r>
      <w:r w:rsidRPr="004C1CA5">
        <w:t>A</w:t>
      </w:r>
      <w:r w:rsidRPr="004C1CA5">
        <w:t>布置</w:t>
      </w:r>
      <w:r w:rsidRPr="004C1CA5">
        <w:t>5</w:t>
      </w:r>
      <w:r w:rsidRPr="004C1CA5">
        <w:t>个工作面，覆盖率为</w:t>
      </w:r>
      <w:r w:rsidRPr="004C1CA5">
        <w:t>89.34%</w:t>
      </w:r>
      <w:r w:rsidRPr="004C1CA5">
        <w:t>，工程效率评分为</w:t>
      </w:r>
      <w:r w:rsidRPr="004C1CA5">
        <w:t>87.82</w:t>
      </w:r>
      <w:r w:rsidRPr="004C1CA5">
        <w:t>。该方案工作面数量适中，覆盖率较高，说明其在工作面组织、推进长度协调和布局规整性方面表现较好，适用于采掘接续和生产组织要求较突出的规划情形。</w:t>
      </w:r>
    </w:p>
    <w:p w14:paraId="5EFBD1B0" w14:textId="77777777" w:rsidR="004C1CA5" w:rsidRPr="004C1CA5" w:rsidRDefault="004C1CA5" w:rsidP="004C1CA5">
      <w:pPr>
        <w:pStyle w:val="100"/>
        <w:ind w:firstLine="420"/>
      </w:pPr>
      <w:r w:rsidRPr="004C1CA5">
        <w:t>资源回收优先方案</w:t>
      </w:r>
      <w:r w:rsidRPr="004C1CA5">
        <w:t>B</w:t>
      </w:r>
      <w:r w:rsidRPr="004C1CA5">
        <w:t>布置</w:t>
      </w:r>
      <w:r w:rsidRPr="004C1CA5">
        <w:t>9</w:t>
      </w:r>
      <w:r w:rsidRPr="004C1CA5">
        <w:t>个工作面，覆盖率达到</w:t>
      </w:r>
      <w:r w:rsidRPr="004C1CA5">
        <w:t>98.52%</w:t>
      </w:r>
      <w:r w:rsidRPr="004C1CA5">
        <w:t>，资源回收评分为</w:t>
      </w:r>
      <w:r w:rsidRPr="004C1CA5">
        <w:t>89.76</w:t>
      </w:r>
      <w:r w:rsidRPr="004C1CA5">
        <w:t>，是</w:t>
      </w:r>
      <w:r w:rsidRPr="004C1CA5">
        <w:t>3</w:t>
      </w:r>
      <w:r w:rsidRPr="004C1CA5">
        <w:t>个代表方案中覆盖率最高的方案。该方案能够更充分地利用可布置区域，但工作面数量较多，空间覆盖范围较大，可能增加巷道组织、工作面接续和局部扰动控制压力。因此，</w:t>
      </w:r>
      <w:r w:rsidRPr="004C1CA5">
        <w:t>B</w:t>
      </w:r>
      <w:r w:rsidRPr="004C1CA5">
        <w:t>方案更适合资源回收要求突出、且现场生产组织能力能够满足相应布置条件的情形。</w:t>
      </w:r>
    </w:p>
    <w:p w14:paraId="7DA834C9" w14:textId="77777777" w:rsidR="004C1CA5" w:rsidRPr="004C1CA5" w:rsidRDefault="004C1CA5" w:rsidP="004C1CA5">
      <w:pPr>
        <w:pStyle w:val="100"/>
        <w:ind w:firstLine="420"/>
      </w:pPr>
      <w:r w:rsidRPr="004C1CA5">
        <w:t>低扰动候选方案</w:t>
      </w:r>
      <w:r w:rsidRPr="004C1CA5">
        <w:t>C</w:t>
      </w:r>
      <w:r w:rsidRPr="004C1CA5">
        <w:t>布置</w:t>
      </w:r>
      <w:r w:rsidRPr="004C1CA5">
        <w:t>4</w:t>
      </w:r>
      <w:r w:rsidRPr="004C1CA5">
        <w:t>个工作面，覆盖率为</w:t>
      </w:r>
      <w:r w:rsidRPr="004C1CA5">
        <w:t>80.67%</w:t>
      </w:r>
      <w:r w:rsidRPr="004C1CA5">
        <w:t>，低于</w:t>
      </w:r>
      <w:r w:rsidRPr="004C1CA5">
        <w:t>A</w:t>
      </w:r>
      <w:r w:rsidRPr="004C1CA5">
        <w:t>、</w:t>
      </w:r>
      <w:r w:rsidRPr="004C1CA5">
        <w:t>B</w:t>
      </w:r>
      <w:r w:rsidRPr="004C1CA5">
        <w:t>方案，但其</w:t>
      </w:r>
      <w:r w:rsidRPr="004C1CA5">
        <w:t>ODI</w:t>
      </w:r>
      <w:r w:rsidRPr="004C1CA5">
        <w:t>均值为</w:t>
      </w:r>
      <w:r w:rsidRPr="004C1CA5">
        <w:t>0.4416</w:t>
      </w:r>
      <w:r w:rsidRPr="004C1CA5">
        <w:t>，</w:t>
      </w:r>
      <w:r w:rsidRPr="004C1CA5">
        <w:t>P90</w:t>
      </w:r>
      <w:r w:rsidRPr="004C1CA5">
        <w:t>为</w:t>
      </w:r>
      <w:r w:rsidRPr="004C1CA5">
        <w:t>0.6353</w:t>
      </w:r>
      <w:r w:rsidRPr="004C1CA5">
        <w:t>，扰动风险综合得分为</w:t>
      </w:r>
      <w:r w:rsidRPr="004C1CA5">
        <w:t>0.4449</w:t>
      </w:r>
      <w:r w:rsidRPr="004C1CA5">
        <w:t>，均表现出较低扰动特征。该结果说明，</w:t>
      </w:r>
      <w:r w:rsidRPr="004C1CA5">
        <w:t>C</w:t>
      </w:r>
      <w:r w:rsidRPr="004C1CA5">
        <w:t>方案通</w:t>
      </w:r>
      <w:r w:rsidRPr="004C1CA5">
        <w:t>过减少与中高扰动区域的整体接触，降低了方案覆盖范围内的平均扰动水平和局部高值扰动影响，更适合扰动控制要求较高的规划情形。</w:t>
      </w:r>
    </w:p>
    <w:p w14:paraId="38FDF9C8" w14:textId="77777777" w:rsidR="004C1CA5" w:rsidRPr="004C1CA5" w:rsidRDefault="004C1CA5" w:rsidP="004C1CA5">
      <w:pPr>
        <w:pStyle w:val="100"/>
        <w:ind w:firstLine="420"/>
      </w:pPr>
      <w:r w:rsidRPr="004C1CA5">
        <w:t>需要注意的是，</w:t>
      </w:r>
      <w:r w:rsidRPr="004C1CA5">
        <w:t>C</w:t>
      </w:r>
      <w:r w:rsidRPr="004C1CA5">
        <w:t>方案在</w:t>
      </w:r>
      <w:r w:rsidRPr="004C1CA5">
        <w:t>ODI</w:t>
      </w:r>
      <w:r w:rsidRPr="004C1CA5">
        <w:t>＞</w:t>
      </w:r>
      <w:r w:rsidRPr="004C1CA5">
        <w:t>0.70</w:t>
      </w:r>
      <w:r w:rsidRPr="004C1CA5">
        <w:t>阈值下的超阈值比例为</w:t>
      </w:r>
      <w:r w:rsidRPr="004C1CA5">
        <w:t>1.22%</w:t>
      </w:r>
      <w:r w:rsidRPr="004C1CA5">
        <w:t>，高于</w:t>
      </w:r>
      <w:r w:rsidRPr="004C1CA5">
        <w:t>A</w:t>
      </w:r>
      <w:r w:rsidRPr="004C1CA5">
        <w:t>方案的</w:t>
      </w:r>
      <w:r w:rsidRPr="004C1CA5">
        <w:t>0.44%</w:t>
      </w:r>
      <w:r w:rsidRPr="004C1CA5">
        <w:t>和</w:t>
      </w:r>
      <w:r w:rsidRPr="004C1CA5">
        <w:t>B</w:t>
      </w:r>
      <w:r w:rsidRPr="004C1CA5">
        <w:t>方案的</w:t>
      </w:r>
      <w:r w:rsidRPr="004C1CA5">
        <w:t>0.56%</w:t>
      </w:r>
      <w:r w:rsidRPr="004C1CA5">
        <w:t>。这一结果并不说明</w:t>
      </w:r>
      <w:r w:rsidRPr="004C1CA5">
        <w:t>C</w:t>
      </w:r>
      <w:r w:rsidRPr="004C1CA5">
        <w:t>方案整体扰动风险更高，而是反映出超阈值比例对阈值选取和局部高值栅格较敏感。</w:t>
      </w:r>
      <w:r w:rsidRPr="004C1CA5">
        <w:t>C</w:t>
      </w:r>
      <w:r w:rsidRPr="004C1CA5">
        <w:t>方案覆盖范围较小，整体上避开了连续中高扰动区域，因此</w:t>
      </w:r>
      <w:r w:rsidRPr="004C1CA5">
        <w:t>ODI</w:t>
      </w:r>
      <w:r w:rsidRPr="004C1CA5">
        <w:t>均值和</w:t>
      </w:r>
      <w:r w:rsidRPr="004C1CA5">
        <w:t>P90</w:t>
      </w:r>
      <w:r w:rsidRPr="004C1CA5">
        <w:t>最低；但其局部仍覆盖少量</w:t>
      </w:r>
      <w:r w:rsidRPr="004C1CA5">
        <w:t>ODI</w:t>
      </w:r>
      <w:r w:rsidRPr="004C1CA5">
        <w:t>略高于</w:t>
      </w:r>
      <w:r w:rsidRPr="004C1CA5">
        <w:t>0.70</w:t>
      </w:r>
      <w:r w:rsidRPr="004C1CA5">
        <w:t>的栅格，导致</w:t>
      </w:r>
      <w:r w:rsidRPr="004C1CA5">
        <w:t>0.70</w:t>
      </w:r>
      <w:r w:rsidRPr="004C1CA5">
        <w:t>阈值下超阈值比例并非最低。因此，低扰动方案不宜只依据某一固定阈值下的超阈值比例确定，还应结合</w:t>
      </w:r>
      <w:r w:rsidRPr="004C1CA5">
        <w:t>ODI</w:t>
      </w:r>
      <w:r w:rsidRPr="004C1CA5">
        <w:t>均值、</w:t>
      </w:r>
      <w:r w:rsidRPr="004C1CA5">
        <w:t>P90</w:t>
      </w:r>
      <w:r w:rsidRPr="004C1CA5">
        <w:t>和扰动风险综合得分共同判断。</w:t>
      </w:r>
    </w:p>
    <w:p w14:paraId="026443C1" w14:textId="5007B194" w:rsidR="004C1CA5" w:rsidRPr="004C1CA5" w:rsidRDefault="004C1CA5" w:rsidP="004C1CA5">
      <w:pPr>
        <w:pStyle w:val="100"/>
        <w:ind w:firstLine="420"/>
      </w:pPr>
      <w:r w:rsidRPr="004C1CA5">
        <w:t>为进一步分析三类方案扰动差异的空间原因，将</w:t>
      </w:r>
      <w:r w:rsidRPr="004C1CA5">
        <w:t>A</w:t>
      </w:r>
      <w:r w:rsidRPr="004C1CA5">
        <w:t>、</w:t>
      </w:r>
      <w:r w:rsidRPr="004C1CA5">
        <w:t>B</w:t>
      </w:r>
      <w:r w:rsidRPr="004C1CA5">
        <w:t>、</w:t>
      </w:r>
      <w:r w:rsidRPr="004C1CA5">
        <w:t>C</w:t>
      </w:r>
      <w:r w:rsidRPr="004C1CA5">
        <w:t>方案工作面布局与中高扰动区域进行叠置分析，结果如</w:t>
      </w:r>
      <w:r w:rsidR="001E1EA5">
        <w:fldChar w:fldCharType="begin"/>
      </w:r>
      <w:r w:rsidR="001E1EA5">
        <w:instrText xml:space="preserve"> REF _Ref227925957 \h </w:instrText>
      </w:r>
      <w:r w:rsidR="001E1EA5">
        <w:fldChar w:fldCharType="separate"/>
      </w:r>
      <w:r w:rsidR="001E1EA5">
        <w:rPr>
          <w:rFonts w:hint="eastAsia"/>
        </w:rPr>
        <w:t>图</w:t>
      </w:r>
      <w:r w:rsidR="001E1EA5">
        <w:rPr>
          <w:noProof/>
        </w:rPr>
        <w:t>11</w:t>
      </w:r>
      <w:r w:rsidR="001E1EA5">
        <w:fldChar w:fldCharType="end"/>
      </w:r>
      <w:r w:rsidRPr="004C1CA5">
        <w:t>所示。</w:t>
      </w:r>
    </w:p>
    <w:p w14:paraId="21A05F4C" w14:textId="77777777" w:rsidR="004B7D90" w:rsidRDefault="004B7D90" w:rsidP="004B7D90">
      <w:pPr>
        <w:pStyle w:val="aff"/>
        <w:sectPr w:rsidR="004B7D90" w:rsidSect="00A07DBF">
          <w:type w:val="continuous"/>
          <w:pgSz w:w="11906" w:h="16838"/>
          <w:pgMar w:top="1418" w:right="1134" w:bottom="1134" w:left="1134" w:header="720" w:footer="720" w:gutter="0"/>
          <w:cols w:num="2" w:space="720"/>
          <w:docGrid w:linePitch="598"/>
        </w:sectPr>
      </w:pPr>
    </w:p>
    <w:p w14:paraId="5D0C3AB0" w14:textId="77777777" w:rsidR="004B7D90" w:rsidRDefault="004B7D90" w:rsidP="004B7D90">
      <w:pPr>
        <w:pStyle w:val="aff"/>
      </w:pPr>
      <w:r>
        <w:rPr>
          <w:noProof/>
        </w:rPr>
        <w:lastRenderedPageBreak/>
        <w:drawing>
          <wp:inline distT="0" distB="0" distL="0" distR="0" wp14:anchorId="0C749FC0" wp14:editId="33A4B578">
            <wp:extent cx="6268408" cy="1432560"/>
            <wp:effectExtent l="0" t="0" r="0" b="0"/>
            <wp:docPr id="114975588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rotWithShape="1">
                    <a:blip r:embed="rId247" cstate="print">
                      <a:extLst>
                        <a:ext uri="{28A0092B-C50C-407E-A947-70E740481C1C}">
                          <a14:useLocalDpi xmlns:a14="http://schemas.microsoft.com/office/drawing/2010/main" val="0"/>
                        </a:ext>
                      </a:extLst>
                    </a:blip>
                    <a:srcRect b="37097"/>
                    <a:stretch>
                      <a:fillRect/>
                    </a:stretch>
                  </pic:blipFill>
                  <pic:spPr bwMode="auto">
                    <a:xfrm>
                      <a:off x="0" y="0"/>
                      <a:ext cx="6281732" cy="1435605"/>
                    </a:xfrm>
                    <a:prstGeom prst="rect">
                      <a:avLst/>
                    </a:prstGeom>
                    <a:noFill/>
                    <a:ln>
                      <a:noFill/>
                    </a:ln>
                    <a:extLst>
                      <a:ext uri="{53640926-AAD7-44D8-BBD7-CCE9431645EC}">
                        <a14:shadowObscured xmlns:a14="http://schemas.microsoft.com/office/drawing/2010/main"/>
                      </a:ext>
                    </a:extLst>
                  </pic:spPr>
                </pic:pic>
              </a:graphicData>
            </a:graphic>
          </wp:inline>
        </w:drawing>
      </w:r>
    </w:p>
    <w:p w14:paraId="39346ADF" w14:textId="20CD6E0D" w:rsidR="004B7D90" w:rsidRDefault="004B7D90" w:rsidP="008419FD">
      <w:pPr>
        <w:pStyle w:val="14"/>
      </w:pPr>
      <w:bookmarkStart w:id="12" w:name="_Ref22792595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11</w:t>
      </w:r>
      <w:r>
        <w:fldChar w:fldCharType="end"/>
      </w:r>
      <w:bookmarkEnd w:id="12"/>
      <w:r>
        <w:rPr>
          <w:rFonts w:hint="eastAsia"/>
        </w:rPr>
        <w:t xml:space="preserve"> </w:t>
      </w:r>
      <w:r w:rsidR="003B394F" w:rsidRPr="003B394F">
        <w:t>A</w:t>
      </w:r>
      <w:r w:rsidR="003B394F" w:rsidRPr="003B394F">
        <w:t>、</w:t>
      </w:r>
      <w:r w:rsidR="003B394F" w:rsidRPr="003B394F">
        <w:t>B</w:t>
      </w:r>
      <w:r w:rsidR="003B394F" w:rsidRPr="003B394F">
        <w:t>、</w:t>
      </w:r>
      <w:r w:rsidR="003B394F" w:rsidRPr="003B394F">
        <w:t>C</w:t>
      </w:r>
      <w:r w:rsidR="003B394F" w:rsidRPr="003B394F">
        <w:t>方案与中高扰动区域叠置对比</w:t>
      </w:r>
    </w:p>
    <w:p w14:paraId="35D61724" w14:textId="19658DD2" w:rsidR="004B7D90" w:rsidRPr="004B7D90" w:rsidRDefault="004B7D90" w:rsidP="008419FD">
      <w:pPr>
        <w:pStyle w:val="14"/>
        <w:rPr>
          <w:sz w:val="21"/>
        </w:rPr>
      </w:pPr>
      <w:r w:rsidRPr="009717C8">
        <w:t>Fig.</w:t>
      </w:r>
      <w:r w:rsidR="00A96B1F">
        <w:rPr>
          <w:rFonts w:hint="eastAsia"/>
        </w:rPr>
        <w:t>1</w:t>
      </w:r>
      <w:r w:rsidR="001E1EA5">
        <w:rPr>
          <w:rFonts w:hint="eastAsia"/>
        </w:rPr>
        <w:t>1</w:t>
      </w:r>
      <w:r w:rsidRPr="009717C8">
        <w:t xml:space="preserve"> </w:t>
      </w:r>
      <w:r w:rsidR="003B394F" w:rsidRPr="003B394F">
        <w:t>11 Overlay comparison of schemes A, B and C with medium-to-high disturbance zones</w:t>
      </w:r>
    </w:p>
    <w:p w14:paraId="2074B68F" w14:textId="77777777" w:rsidR="004B7D90" w:rsidRDefault="004B7D90" w:rsidP="004B7D90">
      <w:pPr>
        <w:pStyle w:val="100"/>
        <w:ind w:firstLineChars="0" w:firstLine="0"/>
        <w:sectPr w:rsidR="004B7D90" w:rsidSect="004B7D90">
          <w:type w:val="continuous"/>
          <w:pgSz w:w="11906" w:h="16838"/>
          <w:pgMar w:top="1418" w:right="1134" w:bottom="1134" w:left="1134" w:header="720" w:footer="720" w:gutter="0"/>
          <w:cols w:space="720"/>
          <w:docGrid w:linePitch="598"/>
        </w:sectPr>
      </w:pPr>
    </w:p>
    <w:p w14:paraId="73D61BB3" w14:textId="352A4BD5" w:rsidR="004C1CA5" w:rsidRPr="004C1CA5" w:rsidRDefault="004C1CA5" w:rsidP="004C1CA5">
      <w:pPr>
        <w:pStyle w:val="100"/>
        <w:ind w:firstLine="420"/>
      </w:pPr>
      <w:r w:rsidRPr="004C1CA5">
        <w:t>由</w:t>
      </w:r>
      <w:r w:rsidR="001E1EA5">
        <w:fldChar w:fldCharType="begin"/>
      </w:r>
      <w:r w:rsidR="001E1EA5">
        <w:instrText xml:space="preserve"> REF _Ref227925957 \h </w:instrText>
      </w:r>
      <w:r w:rsidR="001E1EA5">
        <w:fldChar w:fldCharType="separate"/>
      </w:r>
      <w:r w:rsidR="001E1EA5">
        <w:rPr>
          <w:rFonts w:hint="eastAsia"/>
        </w:rPr>
        <w:t>图</w:t>
      </w:r>
      <w:r w:rsidR="001E1EA5">
        <w:rPr>
          <w:noProof/>
        </w:rPr>
        <w:t>11</w:t>
      </w:r>
      <w:r w:rsidR="001E1EA5">
        <w:fldChar w:fldCharType="end"/>
      </w:r>
      <w:r w:rsidRPr="004C1CA5">
        <w:t>可见，</w:t>
      </w:r>
      <w:r w:rsidRPr="004C1CA5">
        <w:t>A</w:t>
      </w:r>
      <w:r w:rsidRPr="004C1CA5">
        <w:t>方案布局较为规整，工作面数量适中，整体上兼顾了生产组织和扰动控制；</w:t>
      </w:r>
      <w:r w:rsidRPr="004C1CA5">
        <w:t>B</w:t>
      </w:r>
      <w:r w:rsidRPr="004C1CA5">
        <w:t>方案覆盖范围最大，更多区域被纳入工作面布置，资源利用程度较高，但其布置范围与中高扰动区域接触相对较多；</w:t>
      </w:r>
      <w:r w:rsidRPr="004C1CA5">
        <w:t>C</w:t>
      </w:r>
      <w:r w:rsidRPr="004C1CA5">
        <w:t>方案工作面数量较少，布置范围相对收缩，更倾向于避让中高扰动区域，因此</w:t>
      </w:r>
      <w:r w:rsidRPr="004C1CA5">
        <w:t>ODI</w:t>
      </w:r>
      <w:r w:rsidRPr="004C1CA5">
        <w:t>均值和</w:t>
      </w:r>
      <w:r w:rsidRPr="004C1CA5">
        <w:t>P90</w:t>
      </w:r>
      <w:r w:rsidRPr="004C1CA5">
        <w:t>较低。</w:t>
      </w:r>
    </w:p>
    <w:p w14:paraId="77F19C62" w14:textId="77777777" w:rsidR="004C1CA5" w:rsidRPr="004C1CA5" w:rsidRDefault="004C1CA5" w:rsidP="004C1CA5">
      <w:pPr>
        <w:pStyle w:val="100"/>
        <w:ind w:firstLine="420"/>
      </w:pPr>
      <w:r w:rsidRPr="004C1CA5">
        <w:t>若采用传统</w:t>
      </w:r>
      <w:r w:rsidRPr="004C1CA5">
        <w:t>“</w:t>
      </w:r>
      <w:r w:rsidRPr="004C1CA5">
        <w:t>先布置、后校核</w:t>
      </w:r>
      <w:r w:rsidRPr="004C1CA5">
        <w:t>”</w:t>
      </w:r>
      <w:r w:rsidRPr="004C1CA5">
        <w:t>的规划方式，方案选择往往优先考虑边界形态、覆盖率、工作面规整性和采掘接续便利性，高覆盖方案容易占用可布置区域内的连续空间，但可能忽略局部扰动较强区域。以</w:t>
      </w:r>
      <w:r w:rsidRPr="004C1CA5">
        <w:t>B</w:t>
      </w:r>
      <w:r w:rsidRPr="004C1CA5">
        <w:t>方案为例，其覆盖率达到</w:t>
      </w:r>
      <w:r w:rsidRPr="004C1CA5">
        <w:t>98.52%</w:t>
      </w:r>
      <w:r w:rsidRPr="004C1CA5">
        <w:t>，能够较充分地利用资源，但也更容易与中高</w:t>
      </w:r>
      <w:r w:rsidRPr="004C1CA5">
        <w:t>ODI</w:t>
      </w:r>
      <w:r w:rsidRPr="004C1CA5">
        <w:t>区域发生叠置，后续可能增加沉陷控制、含水层保护或上行开采安全复核压力。相比之下，引入</w:t>
      </w:r>
      <w:r w:rsidRPr="004C1CA5">
        <w:t>ODI</w:t>
      </w:r>
      <w:r w:rsidRPr="004C1CA5">
        <w:t>后，方案评价不再只看覆盖率和几何规整性，而是能够把工作面与扰动较强区域的关系转化为量化指标，从而提前发现需要避让或复核的位置。</w:t>
      </w:r>
    </w:p>
    <w:p w14:paraId="0B094D45" w14:textId="4AE45E59" w:rsidR="004C1CA5" w:rsidRPr="004C1CA5" w:rsidRDefault="004C1CA5" w:rsidP="004C1CA5">
      <w:pPr>
        <w:pStyle w:val="100"/>
        <w:ind w:firstLine="420"/>
      </w:pPr>
      <w:r w:rsidRPr="004C1CA5">
        <w:t>综合</w:t>
      </w:r>
      <w:r w:rsidR="003B394F">
        <w:fldChar w:fldCharType="begin"/>
      </w:r>
      <w:r w:rsidR="003B394F">
        <w:instrText xml:space="preserve"> REF _Ref227925930 \h </w:instrText>
      </w:r>
      <w:r w:rsidR="003B394F">
        <w:fldChar w:fldCharType="separate"/>
      </w:r>
      <w:r w:rsidR="003B394F">
        <w:rPr>
          <w:rFonts w:hint="eastAsia"/>
        </w:rPr>
        <w:t>图</w:t>
      </w:r>
      <w:r w:rsidR="003B394F">
        <w:rPr>
          <w:noProof/>
        </w:rPr>
        <w:t>10</w:t>
      </w:r>
      <w:r w:rsidR="003B394F">
        <w:fldChar w:fldCharType="end"/>
      </w:r>
      <w:r w:rsidRPr="004C1CA5">
        <w:t>、</w:t>
      </w:r>
      <w:r w:rsidR="003B394F">
        <w:fldChar w:fldCharType="begin"/>
      </w:r>
      <w:r w:rsidR="003B394F">
        <w:instrText xml:space="preserve"> REF _Ref228479628 \h </w:instrText>
      </w:r>
      <w:r w:rsidR="003B394F">
        <w:fldChar w:fldCharType="separate"/>
      </w:r>
      <w:r w:rsidR="003B394F">
        <w:rPr>
          <w:rFonts w:hint="eastAsia"/>
        </w:rPr>
        <w:t>表</w:t>
      </w:r>
      <w:r w:rsidR="003B394F">
        <w:rPr>
          <w:noProof/>
        </w:rPr>
        <w:t>4</w:t>
      </w:r>
      <w:r w:rsidR="003B394F">
        <w:fldChar w:fldCharType="end"/>
      </w:r>
      <w:r w:rsidRPr="004C1CA5">
        <w:t>和</w:t>
      </w:r>
      <w:r w:rsidR="003B394F">
        <w:fldChar w:fldCharType="begin"/>
      </w:r>
      <w:r w:rsidR="003B394F">
        <w:instrText xml:space="preserve"> REF _Ref227925957 \h </w:instrText>
      </w:r>
      <w:r w:rsidR="003B394F">
        <w:fldChar w:fldCharType="separate"/>
      </w:r>
      <w:r w:rsidR="003B394F">
        <w:rPr>
          <w:rFonts w:hint="eastAsia"/>
        </w:rPr>
        <w:t>图</w:t>
      </w:r>
      <w:r w:rsidR="003B394F">
        <w:rPr>
          <w:noProof/>
        </w:rPr>
        <w:t>11</w:t>
      </w:r>
      <w:r w:rsidR="003B394F">
        <w:fldChar w:fldCharType="end"/>
      </w:r>
      <w:r w:rsidRPr="004C1CA5">
        <w:t>可以看出，</w:t>
      </w:r>
      <w:r w:rsidRPr="004C1CA5">
        <w:t>A</w:t>
      </w:r>
      <w:r w:rsidRPr="004C1CA5">
        <w:t>、</w:t>
      </w:r>
      <w:r w:rsidRPr="004C1CA5">
        <w:t>B</w:t>
      </w:r>
      <w:r w:rsidRPr="004C1CA5">
        <w:t>、</w:t>
      </w:r>
      <w:r w:rsidRPr="004C1CA5">
        <w:t>C</w:t>
      </w:r>
      <w:r w:rsidRPr="004C1CA5">
        <w:t>方案分别代表了工程效率、资源回收和扰动控制</w:t>
      </w:r>
      <w:r w:rsidRPr="004C1CA5">
        <w:t>3</w:t>
      </w:r>
      <w:r w:rsidRPr="004C1CA5">
        <w:t>种规划偏好。</w:t>
      </w:r>
      <w:r w:rsidRPr="004C1CA5">
        <w:t>B</w:t>
      </w:r>
      <w:r w:rsidRPr="004C1CA5">
        <w:t>方案在覆盖率方面优势明显，但扰动水平相对较高；</w:t>
      </w:r>
      <w:r w:rsidRPr="004C1CA5">
        <w:t>C</w:t>
      </w:r>
      <w:r w:rsidRPr="004C1CA5">
        <w:t>方案牺牲了一定覆盖率，但降低了整体扰动水平和局部高值扰动影响；</w:t>
      </w:r>
      <w:r w:rsidRPr="004C1CA5">
        <w:t>A</w:t>
      </w:r>
      <w:r w:rsidRPr="004C1CA5">
        <w:t>方案则在覆盖率、工作面数量和扰动控制之间保持相对均衡。对于实际采区规划而言，并不存在同时兼顾最高覆盖率和最低扰动风险的单一最优方案，需要结合生产接续、资源回收要求和安全控制目标进行综合取舍。</w:t>
      </w:r>
    </w:p>
    <w:p w14:paraId="5DD07483" w14:textId="77777777" w:rsidR="004B7D90" w:rsidRPr="004B7D90" w:rsidRDefault="004B7D90" w:rsidP="00DF00E8">
      <w:pPr>
        <w:pStyle w:val="12"/>
      </w:pPr>
      <w:r w:rsidRPr="004B7D90">
        <w:t xml:space="preserve">4.4 </w:t>
      </w:r>
      <w:r w:rsidRPr="004B7D90">
        <w:t>阈值与权重敏感性分析</w:t>
      </w:r>
    </w:p>
    <w:p w14:paraId="44125921" w14:textId="77777777" w:rsidR="004C1CA5" w:rsidRPr="004C1CA5" w:rsidRDefault="004C1CA5" w:rsidP="004C1CA5">
      <w:pPr>
        <w:pStyle w:val="100"/>
        <w:ind w:firstLine="420"/>
      </w:pPr>
      <w:r w:rsidRPr="004C1CA5">
        <w:t>为检验</w:t>
      </w:r>
      <w:r w:rsidRPr="004C1CA5">
        <w:t>ODI</w:t>
      </w:r>
      <w:r w:rsidRPr="004C1CA5">
        <w:t>统计阈值和扰动分量权重对方案判断结果的影响，进一步对</w:t>
      </w:r>
      <w:r w:rsidRPr="004C1CA5">
        <w:t>A</w:t>
      </w:r>
      <w:r w:rsidRPr="004C1CA5">
        <w:t>、</w:t>
      </w:r>
      <w:r w:rsidRPr="004C1CA5">
        <w:t>B</w:t>
      </w:r>
      <w:r w:rsidRPr="004C1CA5">
        <w:t>、</w:t>
      </w:r>
      <w:r w:rsidRPr="004C1CA5">
        <w:t>C</w:t>
      </w:r>
      <w:r w:rsidRPr="004C1CA5">
        <w:t>方案开展敏感性分析。需要说明的是，本节选取的</w:t>
      </w:r>
      <w:r w:rsidRPr="004C1CA5">
        <w:t>ODI</w:t>
      </w:r>
      <w:r w:rsidRPr="004C1CA5">
        <w:t>阈值</w:t>
      </w:r>
      <w:r w:rsidRPr="004C1CA5">
        <w:t>0.65</w:t>
      </w:r>
      <w:r w:rsidRPr="004C1CA5">
        <w:t>、</w:t>
      </w:r>
      <w:r w:rsidRPr="004C1CA5">
        <w:t>0.70</w:t>
      </w:r>
      <w:r w:rsidRPr="004C1CA5">
        <w:t>、</w:t>
      </w:r>
      <w:r w:rsidRPr="004C1CA5">
        <w:t>0.75</w:t>
      </w:r>
      <w:r w:rsidRPr="004C1CA5">
        <w:t>和</w:t>
      </w:r>
      <w:r w:rsidRPr="004C1CA5">
        <w:t>0.80</w:t>
      </w:r>
      <w:r w:rsidRPr="004C1CA5">
        <w:t>，并不是单项灾害的安全临界值，而是用于观察不同方案与扰动较强区域叠置程度的统计阈值。通过改变阈值，可以判断某一方案的</w:t>
      </w:r>
      <w:r w:rsidRPr="004C1CA5">
        <w:t>“</w:t>
      </w:r>
      <w:r w:rsidRPr="004C1CA5">
        <w:t>低扰动</w:t>
      </w:r>
      <w:r w:rsidRPr="004C1CA5">
        <w:t>”</w:t>
      </w:r>
      <w:r w:rsidRPr="004C1CA5">
        <w:t>特征是否依赖于特定阈值。</w:t>
      </w:r>
    </w:p>
    <w:p w14:paraId="0EF210A5" w14:textId="51DF7885" w:rsidR="004C1CA5" w:rsidRPr="004C1CA5" w:rsidRDefault="004C1CA5" w:rsidP="004C1CA5">
      <w:pPr>
        <w:pStyle w:val="100"/>
        <w:ind w:firstLine="420"/>
      </w:pPr>
      <w:r w:rsidRPr="004C1CA5">
        <w:t>阈值敏感性分析选取</w:t>
      </w:r>
      <w:r w:rsidRPr="004C1CA5">
        <w:t>ODI=0.65</w:t>
      </w:r>
      <w:r w:rsidRPr="004C1CA5">
        <w:t>、</w:t>
      </w:r>
      <w:r w:rsidRPr="004C1CA5">
        <w:t>0.70</w:t>
      </w:r>
      <w:r w:rsidRPr="004C1CA5">
        <w:t>、</w:t>
      </w:r>
      <w:r w:rsidRPr="004C1CA5">
        <w:t>0.75</w:t>
      </w:r>
      <w:r w:rsidRPr="004C1CA5">
        <w:t>和</w:t>
      </w:r>
      <w:r w:rsidRPr="004C1CA5">
        <w:t>0.80</w:t>
      </w:r>
      <w:r w:rsidRPr="004C1CA5">
        <w:t>作为统计标准，分别计算</w:t>
      </w:r>
      <w:r w:rsidRPr="004C1CA5">
        <w:t>A</w:t>
      </w:r>
      <w:r w:rsidRPr="004C1CA5">
        <w:t>、</w:t>
      </w:r>
      <w:r w:rsidRPr="004C1CA5">
        <w:t>B</w:t>
      </w:r>
      <w:r w:rsidRPr="004C1CA5">
        <w:t>、</w:t>
      </w:r>
      <w:r w:rsidRPr="004C1CA5">
        <w:t>C</w:t>
      </w:r>
      <w:r w:rsidRPr="004C1CA5">
        <w:t>方案中超过对应阈值的区域比例。权重敏感性分析则以</w:t>
      </w:r>
      <w:r w:rsidRPr="004C1CA5">
        <w:t>0.45/0.30/0.25</w:t>
      </w:r>
      <w:r w:rsidRPr="004C1CA5">
        <w:t>作为基准权重，并设置地表沉陷分量增强、含水层扰动分量增强、上行开采分量增强及上行开采专项权重等情景，比较不同权重组合下各方案扰动风险综合得分的变化。结果如</w:t>
      </w:r>
      <w:r w:rsidR="001E1EA5">
        <w:fldChar w:fldCharType="begin"/>
      </w:r>
      <w:r w:rsidR="001E1EA5">
        <w:instrText xml:space="preserve"> REF _Ref227765621 \h </w:instrText>
      </w:r>
      <w:r w:rsidR="001E1EA5">
        <w:fldChar w:fldCharType="separate"/>
      </w:r>
      <w:r w:rsidR="001E1EA5">
        <w:rPr>
          <w:rFonts w:hint="eastAsia"/>
        </w:rPr>
        <w:t>图</w:t>
      </w:r>
      <w:r w:rsidR="001E1EA5">
        <w:rPr>
          <w:noProof/>
        </w:rPr>
        <w:t>12</w:t>
      </w:r>
      <w:r w:rsidR="001E1EA5">
        <w:fldChar w:fldCharType="end"/>
      </w:r>
      <w:r w:rsidRPr="004C1CA5">
        <w:t>和</w:t>
      </w:r>
      <w:r w:rsidR="001E1EA5">
        <w:fldChar w:fldCharType="begin"/>
      </w:r>
      <w:r w:rsidR="001E1EA5">
        <w:instrText xml:space="preserve"> REF _Ref227765749 \h </w:instrText>
      </w:r>
      <w:r w:rsidR="001E1EA5">
        <w:fldChar w:fldCharType="separate"/>
      </w:r>
      <w:r w:rsidR="001E1EA5">
        <w:rPr>
          <w:rFonts w:hint="eastAsia"/>
        </w:rPr>
        <w:t>图</w:t>
      </w:r>
      <w:r w:rsidR="001E1EA5">
        <w:rPr>
          <w:noProof/>
        </w:rPr>
        <w:t>13</w:t>
      </w:r>
      <w:r w:rsidR="001E1EA5">
        <w:fldChar w:fldCharType="end"/>
      </w:r>
      <w:r w:rsidRPr="004C1CA5">
        <w:t>所示。</w:t>
      </w:r>
    </w:p>
    <w:p w14:paraId="256AC69C" w14:textId="73593C47" w:rsidR="004B7D90" w:rsidRDefault="004B7D90" w:rsidP="004B7D90">
      <w:pPr>
        <w:pStyle w:val="100"/>
        <w:ind w:firstLineChars="0" w:firstLine="0"/>
      </w:pPr>
      <w:r>
        <w:rPr>
          <w:noProof/>
        </w:rPr>
        <w:drawing>
          <wp:inline distT="0" distB="0" distL="0" distR="0" wp14:anchorId="0B5B198C" wp14:editId="40EFC356">
            <wp:extent cx="2827020" cy="1623060"/>
            <wp:effectExtent l="0" t="0" r="0" b="0"/>
            <wp:docPr id="133619040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248" cstate="print">
                      <a:extLst>
                        <a:ext uri="{28A0092B-C50C-407E-A947-70E740481C1C}">
                          <a14:useLocalDpi xmlns:a14="http://schemas.microsoft.com/office/drawing/2010/main" val="0"/>
                        </a:ext>
                      </a:extLst>
                    </a:blip>
                    <a:srcRect/>
                    <a:stretch>
                      <a:fillRect/>
                    </a:stretch>
                  </pic:blipFill>
                  <pic:spPr bwMode="auto">
                    <a:xfrm>
                      <a:off x="0" y="0"/>
                      <a:ext cx="2827020" cy="1623060"/>
                    </a:xfrm>
                    <a:prstGeom prst="rect">
                      <a:avLst/>
                    </a:prstGeom>
                    <a:noFill/>
                    <a:ln>
                      <a:noFill/>
                    </a:ln>
                  </pic:spPr>
                </pic:pic>
              </a:graphicData>
            </a:graphic>
          </wp:inline>
        </w:drawing>
      </w:r>
    </w:p>
    <w:p w14:paraId="0C521449" w14:textId="73A08372" w:rsidR="004B7D90" w:rsidRDefault="004B7D90" w:rsidP="004B7D90">
      <w:pPr>
        <w:pStyle w:val="14"/>
      </w:pPr>
      <w:bookmarkStart w:id="13" w:name="_Ref227765621"/>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12</w:t>
      </w:r>
      <w:r>
        <w:fldChar w:fldCharType="end"/>
      </w:r>
      <w:bookmarkEnd w:id="13"/>
      <w:r>
        <w:rPr>
          <w:rFonts w:hint="eastAsia"/>
        </w:rPr>
        <w:t xml:space="preserve"> </w:t>
      </w:r>
      <w:r w:rsidRPr="009717C8">
        <w:t>A</w:t>
      </w:r>
      <w:r w:rsidRPr="009717C8">
        <w:t>、</w:t>
      </w:r>
      <w:r w:rsidRPr="009717C8">
        <w:t>B</w:t>
      </w:r>
      <w:r w:rsidRPr="009717C8">
        <w:t>、</w:t>
      </w:r>
      <w:r w:rsidRPr="009717C8">
        <w:t>C</w:t>
      </w:r>
      <w:r w:rsidRPr="009717C8">
        <w:t>方案阈值敏感性分析图</w:t>
      </w:r>
    </w:p>
    <w:p w14:paraId="43E0DE2E" w14:textId="07E93B09" w:rsidR="004B7D90" w:rsidRDefault="004B7D90" w:rsidP="004B7D90">
      <w:pPr>
        <w:pStyle w:val="14"/>
      </w:pPr>
      <w:r w:rsidRPr="009717C8">
        <w:t>Fig.</w:t>
      </w:r>
      <w:r w:rsidR="008419FD">
        <w:rPr>
          <w:rFonts w:hint="eastAsia"/>
        </w:rPr>
        <w:t>1</w:t>
      </w:r>
      <w:r w:rsidR="001E1EA5">
        <w:rPr>
          <w:rFonts w:hint="eastAsia"/>
        </w:rPr>
        <w:t>2</w:t>
      </w:r>
      <w:r w:rsidRPr="009717C8">
        <w:t xml:space="preserve"> Threshold sensitivity analysis of schemes A, B and C</w:t>
      </w:r>
    </w:p>
    <w:p w14:paraId="24B86441" w14:textId="77777777" w:rsidR="004B7D90" w:rsidRDefault="004B7D90" w:rsidP="004B7D90">
      <w:pPr>
        <w:pStyle w:val="aff"/>
      </w:pPr>
      <w:r>
        <w:rPr>
          <w:rFonts w:hint="eastAsia"/>
          <w:noProof/>
        </w:rPr>
        <w:drawing>
          <wp:inline distT="0" distB="0" distL="0" distR="0" wp14:anchorId="49258BEA" wp14:editId="40756966">
            <wp:extent cx="2827020" cy="1325880"/>
            <wp:effectExtent l="0" t="0" r="0" b="7620"/>
            <wp:docPr id="3448137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249" cstate="print">
                      <a:extLst>
                        <a:ext uri="{28A0092B-C50C-407E-A947-70E740481C1C}">
                          <a14:useLocalDpi xmlns:a14="http://schemas.microsoft.com/office/drawing/2010/main" val="0"/>
                        </a:ext>
                      </a:extLst>
                    </a:blip>
                    <a:srcRect/>
                    <a:stretch>
                      <a:fillRect/>
                    </a:stretch>
                  </pic:blipFill>
                  <pic:spPr bwMode="auto">
                    <a:xfrm>
                      <a:off x="0" y="0"/>
                      <a:ext cx="2827020" cy="1325880"/>
                    </a:xfrm>
                    <a:prstGeom prst="rect">
                      <a:avLst/>
                    </a:prstGeom>
                    <a:noFill/>
                    <a:ln>
                      <a:noFill/>
                    </a:ln>
                  </pic:spPr>
                </pic:pic>
              </a:graphicData>
            </a:graphic>
          </wp:inline>
        </w:drawing>
      </w:r>
    </w:p>
    <w:p w14:paraId="50EAC769" w14:textId="739EFE95" w:rsidR="004B7D90" w:rsidRDefault="004B7D90" w:rsidP="004B7D90">
      <w:pPr>
        <w:pStyle w:val="14"/>
      </w:pPr>
      <w:bookmarkStart w:id="14" w:name="_Ref22776574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E1EA5">
        <w:rPr>
          <w:noProof/>
        </w:rPr>
        <w:t>13</w:t>
      </w:r>
      <w:r>
        <w:fldChar w:fldCharType="end"/>
      </w:r>
      <w:bookmarkEnd w:id="14"/>
      <w:r>
        <w:rPr>
          <w:rFonts w:hint="eastAsia"/>
        </w:rPr>
        <w:t xml:space="preserve"> </w:t>
      </w:r>
      <w:r w:rsidRPr="009717C8">
        <w:t>A</w:t>
      </w:r>
      <w:r w:rsidRPr="009717C8">
        <w:t>、</w:t>
      </w:r>
      <w:r w:rsidRPr="009717C8">
        <w:t>B</w:t>
      </w:r>
      <w:r w:rsidRPr="009717C8">
        <w:t>、</w:t>
      </w:r>
      <w:r w:rsidRPr="009717C8">
        <w:t>C</w:t>
      </w:r>
      <w:r w:rsidRPr="009717C8">
        <w:t>方案权重敏感性分析图</w:t>
      </w:r>
    </w:p>
    <w:p w14:paraId="59F0F104" w14:textId="62C912C6" w:rsidR="004B7D90" w:rsidRDefault="004B7D90" w:rsidP="004B7D90">
      <w:pPr>
        <w:pStyle w:val="14"/>
      </w:pPr>
      <w:r w:rsidRPr="009717C8">
        <w:t>Fig.</w:t>
      </w:r>
      <w:r w:rsidR="008419FD">
        <w:rPr>
          <w:rFonts w:hint="eastAsia"/>
        </w:rPr>
        <w:t>1</w:t>
      </w:r>
      <w:r w:rsidR="001E1EA5">
        <w:rPr>
          <w:rFonts w:hint="eastAsia"/>
        </w:rPr>
        <w:t>3</w:t>
      </w:r>
      <w:r w:rsidRPr="009717C8">
        <w:t xml:space="preserve"> </w:t>
      </w:r>
      <w:r w:rsidRPr="002711E2">
        <w:t>Weight sensitivity analysis of schemes A, B and C</w:t>
      </w:r>
    </w:p>
    <w:p w14:paraId="3A95C9A8" w14:textId="6A1BB5C4" w:rsidR="004C1CA5" w:rsidRPr="004C1CA5" w:rsidRDefault="004C1CA5" w:rsidP="004C1CA5">
      <w:pPr>
        <w:pStyle w:val="100"/>
        <w:ind w:firstLine="420"/>
      </w:pPr>
      <w:r w:rsidRPr="004C1CA5">
        <w:t>由</w:t>
      </w:r>
      <w:r w:rsidR="003B394F">
        <w:fldChar w:fldCharType="begin"/>
      </w:r>
      <w:r w:rsidR="003B394F">
        <w:instrText xml:space="preserve"> REF _Ref227765621 \h </w:instrText>
      </w:r>
      <w:r w:rsidR="003B394F">
        <w:fldChar w:fldCharType="separate"/>
      </w:r>
      <w:r w:rsidR="003B394F">
        <w:rPr>
          <w:rFonts w:hint="eastAsia"/>
        </w:rPr>
        <w:t>图</w:t>
      </w:r>
      <w:r w:rsidR="003B394F">
        <w:rPr>
          <w:noProof/>
        </w:rPr>
        <w:t>12</w:t>
      </w:r>
      <w:r w:rsidR="003B394F">
        <w:fldChar w:fldCharType="end"/>
      </w:r>
      <w:r w:rsidRPr="004C1CA5">
        <w:t>可知，随着</w:t>
      </w:r>
      <w:r w:rsidRPr="004C1CA5">
        <w:t>ODI</w:t>
      </w:r>
      <w:r w:rsidRPr="004C1CA5">
        <w:t>阈值由</w:t>
      </w:r>
      <w:r w:rsidRPr="004C1CA5">
        <w:t>0.65</w:t>
      </w:r>
      <w:r w:rsidRPr="004C1CA5">
        <w:t>提高至</w:t>
      </w:r>
      <w:r w:rsidRPr="004C1CA5">
        <w:t>0.80</w:t>
      </w:r>
      <w:r w:rsidRPr="004C1CA5">
        <w:t>，</w:t>
      </w:r>
      <w:r w:rsidRPr="004C1CA5">
        <w:t>A</w:t>
      </w:r>
      <w:r w:rsidRPr="004C1CA5">
        <w:t>、</w:t>
      </w:r>
      <w:r w:rsidRPr="004C1CA5">
        <w:t>B</w:t>
      </w:r>
      <w:r w:rsidRPr="004C1CA5">
        <w:t>、</w:t>
      </w:r>
      <w:r w:rsidRPr="004C1CA5">
        <w:t>C</w:t>
      </w:r>
      <w:r w:rsidRPr="004C1CA5">
        <w:t>方案的超阈值比例整体降低。这说明超阈值比例对阈值选取较为敏感，不能单独作为判断方案扰动水平的唯一依据。当阈值取</w:t>
      </w:r>
      <w:r w:rsidRPr="004C1CA5">
        <w:t>0.65</w:t>
      </w:r>
      <w:r w:rsidRPr="004C1CA5">
        <w:t>时，</w:t>
      </w:r>
      <w:r w:rsidRPr="004C1CA5">
        <w:t>A</w:t>
      </w:r>
      <w:r w:rsidRPr="004C1CA5">
        <w:t>、</w:t>
      </w:r>
      <w:r w:rsidRPr="004C1CA5">
        <w:t>B</w:t>
      </w:r>
      <w:r w:rsidRPr="004C1CA5">
        <w:t>、</w:t>
      </w:r>
      <w:r w:rsidRPr="004C1CA5">
        <w:t>C</w:t>
      </w:r>
      <w:r w:rsidRPr="004C1CA5">
        <w:t>方案的超阈值比例分别为</w:t>
      </w:r>
      <w:r w:rsidRPr="004C1CA5">
        <w:t>7.42%</w:t>
      </w:r>
      <w:r w:rsidRPr="004C1CA5">
        <w:t>、</w:t>
      </w:r>
      <w:r w:rsidRPr="004C1CA5">
        <w:t>9.09%</w:t>
      </w:r>
      <w:r w:rsidRPr="004C1CA5">
        <w:t>和</w:t>
      </w:r>
      <w:r w:rsidRPr="004C1CA5">
        <w:t>6.31%</w:t>
      </w:r>
      <w:r w:rsidRPr="004C1CA5">
        <w:t>，</w:t>
      </w:r>
      <w:r w:rsidRPr="004C1CA5">
        <w:t>C</w:t>
      </w:r>
      <w:r w:rsidRPr="004C1CA5">
        <w:t>方案最低；当阈值取</w:t>
      </w:r>
      <w:r w:rsidRPr="004C1CA5">
        <w:t>0.70</w:t>
      </w:r>
      <w:r w:rsidRPr="004C1CA5">
        <w:t>时，三者分别为</w:t>
      </w:r>
      <w:r w:rsidRPr="004C1CA5">
        <w:t>0.44%</w:t>
      </w:r>
      <w:r w:rsidRPr="004C1CA5">
        <w:t>、</w:t>
      </w:r>
      <w:r w:rsidRPr="004C1CA5">
        <w:t>0.56%</w:t>
      </w:r>
      <w:r w:rsidRPr="004C1CA5">
        <w:t>和</w:t>
      </w:r>
      <w:r w:rsidRPr="004C1CA5">
        <w:t>1.22%</w:t>
      </w:r>
      <w:r w:rsidRPr="004C1CA5">
        <w:t>，</w:t>
      </w:r>
      <w:r w:rsidRPr="004C1CA5">
        <w:t>C</w:t>
      </w:r>
      <w:r w:rsidRPr="004C1CA5">
        <w:t>方案反而不是最低。该结果表明，某一固定阈值下的超阈值比例只能反映方案对该统计标准的响应，难以全面代表方案整体扰动水平。</w:t>
      </w:r>
    </w:p>
    <w:p w14:paraId="1F65F791" w14:textId="11CB4296" w:rsidR="004C1CA5" w:rsidRPr="004C1CA5" w:rsidRDefault="004C1CA5" w:rsidP="004C1CA5">
      <w:pPr>
        <w:pStyle w:val="100"/>
        <w:ind w:firstLine="420"/>
      </w:pPr>
      <w:r w:rsidRPr="004C1CA5">
        <w:lastRenderedPageBreak/>
        <w:t>由</w:t>
      </w:r>
      <w:r w:rsidR="003B394F">
        <w:fldChar w:fldCharType="begin"/>
      </w:r>
      <w:r w:rsidR="003B394F">
        <w:instrText xml:space="preserve"> REF _Ref227765749 \h </w:instrText>
      </w:r>
      <w:r w:rsidR="003B394F">
        <w:fldChar w:fldCharType="separate"/>
      </w:r>
      <w:r w:rsidR="003B394F">
        <w:rPr>
          <w:rFonts w:hint="eastAsia"/>
        </w:rPr>
        <w:t>图</w:t>
      </w:r>
      <w:r w:rsidR="003B394F">
        <w:rPr>
          <w:noProof/>
        </w:rPr>
        <w:t>13</w:t>
      </w:r>
      <w:r w:rsidR="003B394F">
        <w:fldChar w:fldCharType="end"/>
      </w:r>
      <w:r w:rsidRPr="004C1CA5">
        <w:t>可知，不同权重组合会引起扰动风险综合得分的小幅变化，但</w:t>
      </w:r>
      <w:r w:rsidRPr="004C1CA5">
        <w:t>A</w:t>
      </w:r>
      <w:r w:rsidRPr="004C1CA5">
        <w:t>、</w:t>
      </w:r>
      <w:r w:rsidRPr="004C1CA5">
        <w:t>B</w:t>
      </w:r>
      <w:r w:rsidRPr="004C1CA5">
        <w:t>、</w:t>
      </w:r>
      <w:r w:rsidRPr="004C1CA5">
        <w:t>C</w:t>
      </w:r>
      <w:r w:rsidRPr="004C1CA5">
        <w:t>方案的基本判断结果没有发生明显改变。基准权重下，</w:t>
      </w:r>
      <w:r w:rsidRPr="004C1CA5">
        <w:t>A</w:t>
      </w:r>
      <w:r w:rsidRPr="004C1CA5">
        <w:t>、</w:t>
      </w:r>
      <w:r w:rsidRPr="004C1CA5">
        <w:t>B</w:t>
      </w:r>
      <w:r w:rsidRPr="004C1CA5">
        <w:t>、</w:t>
      </w:r>
      <w:r w:rsidRPr="004C1CA5">
        <w:t>C</w:t>
      </w:r>
      <w:r w:rsidRPr="004C1CA5">
        <w:t>方案扰动风险综合得分分别为</w:t>
      </w:r>
      <w:r w:rsidRPr="004C1CA5">
        <w:t>0.4481</w:t>
      </w:r>
      <w:r w:rsidRPr="004C1CA5">
        <w:t>、</w:t>
      </w:r>
      <w:r w:rsidRPr="004C1CA5">
        <w:t>0.4546</w:t>
      </w:r>
      <w:r w:rsidRPr="004C1CA5">
        <w:t>和</w:t>
      </w:r>
      <w:r w:rsidRPr="004C1CA5">
        <w:t>0.4449</w:t>
      </w:r>
      <w:r w:rsidRPr="004C1CA5">
        <w:t>；在上行开采专项权重</w:t>
      </w:r>
      <w:r w:rsidRPr="004C1CA5">
        <w:t>0.15/0.25/0.60</w:t>
      </w:r>
      <w:r w:rsidRPr="004C1CA5">
        <w:t>条件下，三者分别为</w:t>
      </w:r>
      <w:r w:rsidRPr="004C1CA5">
        <w:t>0.4505</w:t>
      </w:r>
      <w:r w:rsidRPr="004C1CA5">
        <w:t>、</w:t>
      </w:r>
      <w:r w:rsidRPr="004C1CA5">
        <w:t>0.4564</w:t>
      </w:r>
      <w:r w:rsidRPr="004C1CA5">
        <w:t>和</w:t>
      </w:r>
      <w:r w:rsidRPr="004C1CA5">
        <w:t>0.4498</w:t>
      </w:r>
      <w:r w:rsidRPr="004C1CA5">
        <w:t>。虽然</w:t>
      </w:r>
      <w:r w:rsidRPr="004C1CA5">
        <w:t>C</w:t>
      </w:r>
      <w:r w:rsidRPr="004C1CA5">
        <w:t>方案得分有所升高，但仍保持相对较低水平，说明其低扰动特征并不完全依赖某一组固定权重。</w:t>
      </w:r>
    </w:p>
    <w:p w14:paraId="25D73EBC" w14:textId="77777777" w:rsidR="004C1CA5" w:rsidRPr="004C1CA5" w:rsidRDefault="004C1CA5" w:rsidP="004C1CA5">
      <w:pPr>
        <w:pStyle w:val="100"/>
        <w:ind w:firstLine="420"/>
      </w:pPr>
      <w:r w:rsidRPr="004C1CA5">
        <w:t>需要指出的是，权重敏感性分析的目的不是证明</w:t>
      </w:r>
      <w:r w:rsidRPr="004C1CA5">
        <w:t>0.45/0.30/0.25</w:t>
      </w:r>
      <w:r w:rsidRPr="004C1CA5">
        <w:t>权重具有普适性，而是检验在敏东矿区当前条件下，方案判断结果对权重调整是否敏感。不同矿区的主控风险、保护对象、水文地质条件和开采技术条件不同，</w:t>
      </w:r>
      <w:r w:rsidRPr="004C1CA5">
        <w:t>ODI</w:t>
      </w:r>
      <w:r w:rsidRPr="004C1CA5">
        <w:t>权重应结合具体工程背景重新确定。对于含水层保护要求更高的矿区，可适当提高含水层扰动分量权重；对于上行开采安全边界更突出的矿区，则应提高上行开采分量权重，并重新开展方案评价。</w:t>
      </w:r>
    </w:p>
    <w:p w14:paraId="4D8E6998" w14:textId="77777777" w:rsidR="004C1CA5" w:rsidRPr="004C1CA5" w:rsidRDefault="004C1CA5" w:rsidP="004C1CA5">
      <w:pPr>
        <w:pStyle w:val="100"/>
        <w:ind w:firstLine="420"/>
      </w:pPr>
      <w:r w:rsidRPr="004C1CA5">
        <w:t>综合阈值和权重敏感性结果可以看出，低扰动方案不宜只依据</w:t>
      </w:r>
      <w:r w:rsidRPr="004C1CA5">
        <w:t>ODI</w:t>
      </w:r>
      <w:r w:rsidRPr="004C1CA5">
        <w:t>超过某一阈值的面积比例确定。超阈值比例能够反映方案与扰动较强区域的重叠程度，但对阈值选择较敏感；</w:t>
      </w:r>
      <w:r w:rsidRPr="004C1CA5">
        <w:t>ODI</w:t>
      </w:r>
      <w:r w:rsidRPr="004C1CA5">
        <w:t>均值能够反映方案整体扰动水平；</w:t>
      </w:r>
      <w:r w:rsidRPr="004C1CA5">
        <w:t>P90</w:t>
      </w:r>
      <w:r w:rsidRPr="004C1CA5">
        <w:t>能够反映局部高值扰动影响。因此，在采区规划阶段判断低扰动方案时，应结合</w:t>
      </w:r>
      <w:r w:rsidRPr="004C1CA5">
        <w:t>ODI</w:t>
      </w:r>
      <w:r w:rsidRPr="004C1CA5">
        <w:t>均值、</w:t>
      </w:r>
      <w:r w:rsidRPr="004C1CA5">
        <w:t>P90</w:t>
      </w:r>
      <w:r w:rsidRPr="004C1CA5">
        <w:t>和扰动风险综合得分进行综合判断，以降低单一阈值或单一权重组合对方案优选结果的影响。</w:t>
      </w:r>
    </w:p>
    <w:p w14:paraId="1359F004" w14:textId="77777777" w:rsidR="004B7D90" w:rsidRPr="004B7D90" w:rsidRDefault="004B7D90" w:rsidP="004B7D90">
      <w:pPr>
        <w:pStyle w:val="11"/>
      </w:pPr>
      <w:r w:rsidRPr="004B7D90">
        <w:t xml:space="preserve">5 </w:t>
      </w:r>
      <w:r w:rsidRPr="004B7D90">
        <w:t>结论</w:t>
      </w:r>
    </w:p>
    <w:p w14:paraId="7F1CD19A" w14:textId="77777777" w:rsidR="004C1CA5" w:rsidRPr="004C1CA5" w:rsidRDefault="004C1CA5" w:rsidP="004C1CA5">
      <w:pPr>
        <w:pStyle w:val="100"/>
        <w:ind w:firstLine="420"/>
      </w:pPr>
      <w:r w:rsidRPr="004C1CA5">
        <w:t>1</w:t>
      </w:r>
      <w:r w:rsidRPr="004C1CA5">
        <w:t>）针对常规采区规划中</w:t>
      </w:r>
      <w:r w:rsidRPr="004C1CA5">
        <w:t>“</w:t>
      </w:r>
      <w:r w:rsidRPr="004C1CA5">
        <w:t>先布置、后校核</w:t>
      </w:r>
      <w:r w:rsidRPr="004C1CA5">
        <w:t>”</w:t>
      </w:r>
      <w:r w:rsidRPr="004C1CA5">
        <w:t>容易造成方案反复调整的问题，提出了多场景采动扰动约束下的采区规划方法。该方法将地表沉陷、含水层扰动和上行开采影响提前纳入工作面方案形成过程，使工作面布置不再只依据边界形态、煤柱参数和经验判断，而能够同时考虑资源覆盖、生产组织和扰动控制要求。</w:t>
      </w:r>
    </w:p>
    <w:p w14:paraId="0FA20E43" w14:textId="77777777" w:rsidR="004C1CA5" w:rsidRPr="004C1CA5" w:rsidRDefault="004C1CA5" w:rsidP="004C1CA5">
      <w:pPr>
        <w:pStyle w:val="100"/>
        <w:ind w:firstLine="420"/>
      </w:pPr>
      <w:r w:rsidRPr="004C1CA5">
        <w:t>2</w:t>
      </w:r>
      <w:r w:rsidRPr="004C1CA5">
        <w:t>）提出了综合覆岩扰动指数（</w:t>
      </w:r>
      <w:r w:rsidRPr="004C1CA5">
        <w:t>ODI</w:t>
      </w:r>
      <w:r w:rsidRPr="004C1CA5">
        <w:t>），用于表征采区内不同位置的采动扰动强弱。</w:t>
      </w:r>
      <w:r w:rsidRPr="004C1CA5">
        <w:t>ODI</w:t>
      </w:r>
      <w:r w:rsidRPr="004C1CA5">
        <w:t>将地表沉陷、含水层扰动和上行开采影响归一化后加权叠加，形成</w:t>
      </w:r>
      <w:r w:rsidRPr="004C1CA5">
        <w:t>0</w:t>
      </w:r>
      <w:r w:rsidRPr="004C1CA5">
        <w:t>～</w:t>
      </w:r>
      <w:r w:rsidRPr="004C1CA5">
        <w:t>1</w:t>
      </w:r>
      <w:r w:rsidRPr="004C1CA5">
        <w:t>之间的空间评价指标。该指标不是某一单项灾害的失稳判据，而是采区规划阶段识别扰动较强区域、辅助工作面方案比较的综合指标。基于</w:t>
      </w:r>
      <w:r w:rsidRPr="004C1CA5">
        <w:t>ODI</w:t>
      </w:r>
      <w:r w:rsidRPr="004C1CA5">
        <w:t>均值、</w:t>
      </w:r>
      <w:r w:rsidRPr="004C1CA5">
        <w:t>P90</w:t>
      </w:r>
      <w:r w:rsidRPr="004C1CA5">
        <w:t>和超阈值比例，可以将原本分散的风险评价结果转化为方案级扰动指标。</w:t>
      </w:r>
    </w:p>
    <w:p w14:paraId="5709E9FE" w14:textId="77777777" w:rsidR="004C1CA5" w:rsidRPr="004C1CA5" w:rsidRDefault="004C1CA5" w:rsidP="004C1CA5">
      <w:pPr>
        <w:pStyle w:val="100"/>
        <w:ind w:firstLine="420"/>
      </w:pPr>
      <w:r w:rsidRPr="004C1CA5">
        <w:t>3</w:t>
      </w:r>
      <w:r w:rsidRPr="004C1CA5">
        <w:t>）敏东矿区工程应用表明，研究区整体扰动</w:t>
      </w:r>
      <w:r w:rsidRPr="004C1CA5">
        <w:t>水平处于中等程度，但局部存在扰动高值区。研究区</w:t>
      </w:r>
      <w:r w:rsidRPr="004C1CA5">
        <w:t>ODI</w:t>
      </w:r>
      <w:r w:rsidRPr="004C1CA5">
        <w:t>均值为</w:t>
      </w:r>
      <w:r w:rsidRPr="004C1CA5">
        <w:t>0.4669</w:t>
      </w:r>
      <w:r w:rsidRPr="004C1CA5">
        <w:t>，</w:t>
      </w:r>
      <w:r w:rsidRPr="004C1CA5">
        <w:t>P90</w:t>
      </w:r>
      <w:r w:rsidRPr="004C1CA5">
        <w:t>为</w:t>
      </w:r>
      <w:r w:rsidRPr="004C1CA5">
        <w:t>0.7474</w:t>
      </w:r>
      <w:r w:rsidRPr="004C1CA5">
        <w:t>，</w:t>
      </w:r>
      <w:r w:rsidRPr="004C1CA5">
        <w:t>ODI</w:t>
      </w:r>
      <w:r w:rsidRPr="004C1CA5">
        <w:t>＞</w:t>
      </w:r>
      <w:r w:rsidRPr="004C1CA5">
        <w:t>0.70</w:t>
      </w:r>
      <w:r w:rsidRPr="004C1CA5">
        <w:t>区域占</w:t>
      </w:r>
      <w:r w:rsidRPr="004C1CA5">
        <w:t>15.89%</w:t>
      </w:r>
      <w:r w:rsidRPr="004C1CA5">
        <w:t>，说明约</w:t>
      </w:r>
      <w:r w:rsidRPr="004C1CA5">
        <w:t>1/6</w:t>
      </w:r>
      <w:r w:rsidRPr="004C1CA5">
        <w:t>范围达到中高扰动水平。该类区域在工作面布置阶段不宜简单忽略，应作为优先避让或进一步复核对象。</w:t>
      </w:r>
    </w:p>
    <w:p w14:paraId="3262A451" w14:textId="77777777" w:rsidR="004C1CA5" w:rsidRPr="004C1CA5" w:rsidRDefault="004C1CA5" w:rsidP="004C1CA5">
      <w:pPr>
        <w:pStyle w:val="100"/>
        <w:ind w:firstLine="420"/>
      </w:pPr>
      <w:r w:rsidRPr="004C1CA5">
        <w:t>4</w:t>
      </w:r>
      <w:r w:rsidRPr="004C1CA5">
        <w:t>）在相同边界、煤厚分布和</w:t>
      </w:r>
      <w:r w:rsidRPr="004C1CA5">
        <w:t>ODI</w:t>
      </w:r>
      <w:r w:rsidRPr="004C1CA5">
        <w:t>图层条件下，工程效率优先、资源回收优先和低扰动候选三类代表方案表现出明显差异。资源回收优先方案覆盖率最高，为</w:t>
      </w:r>
      <w:r w:rsidRPr="004C1CA5">
        <w:t>98.52%</w:t>
      </w:r>
      <w:r w:rsidRPr="004C1CA5">
        <w:t>，但扰动水平相对较高；低扰动候选方案覆盖率为</w:t>
      </w:r>
      <w:r w:rsidRPr="004C1CA5">
        <w:t>80.67%</w:t>
      </w:r>
      <w:r w:rsidRPr="004C1CA5">
        <w:t>，但</w:t>
      </w:r>
      <w:r w:rsidRPr="004C1CA5">
        <w:t>ODI</w:t>
      </w:r>
      <w:r w:rsidRPr="004C1CA5">
        <w:t>均值和</w:t>
      </w:r>
      <w:r w:rsidRPr="004C1CA5">
        <w:t>P90</w:t>
      </w:r>
      <w:r w:rsidRPr="004C1CA5">
        <w:t>最低，分别为</w:t>
      </w:r>
      <w:r w:rsidRPr="004C1CA5">
        <w:t>0.4416</w:t>
      </w:r>
      <w:r w:rsidRPr="004C1CA5">
        <w:t>和</w:t>
      </w:r>
      <w:r w:rsidRPr="004C1CA5">
        <w:t>0.6353</w:t>
      </w:r>
      <w:r w:rsidRPr="004C1CA5">
        <w:t>；工程效率优先方案覆盖率为</w:t>
      </w:r>
      <w:r w:rsidRPr="004C1CA5">
        <w:t>89.34%</w:t>
      </w:r>
      <w:r w:rsidRPr="004C1CA5">
        <w:t>，综合表现介于二者之间。结果说明，采区规划中不存在简单的</w:t>
      </w:r>
      <w:r w:rsidRPr="004C1CA5">
        <w:t>“</w:t>
      </w:r>
      <w:r w:rsidRPr="004C1CA5">
        <w:t>高覆盖、低扰动</w:t>
      </w:r>
      <w:r w:rsidRPr="004C1CA5">
        <w:t>”</w:t>
      </w:r>
      <w:r w:rsidRPr="004C1CA5">
        <w:t>单一最优方案，需要根据生产接续、资源回收和安全控制目标进行取舍。</w:t>
      </w:r>
    </w:p>
    <w:p w14:paraId="0D46989C" w14:textId="77777777" w:rsidR="004C1CA5" w:rsidRPr="004C1CA5" w:rsidRDefault="004C1CA5" w:rsidP="004C1CA5">
      <w:pPr>
        <w:pStyle w:val="100"/>
        <w:ind w:firstLine="420"/>
      </w:pPr>
      <w:r w:rsidRPr="004C1CA5">
        <w:t>5</w:t>
      </w:r>
      <w:r w:rsidRPr="004C1CA5">
        <w:t>）阈值和权重敏感性分析表明，低扰动方案不宜仅依据</w:t>
      </w:r>
      <w:r w:rsidRPr="004C1CA5">
        <w:t>ODI</w:t>
      </w:r>
      <w:r w:rsidRPr="004C1CA5">
        <w:t>超过某一阈值的面积比例确定。超阈值比例能够反映方案与扰动较强区域的重叠程度，但对阈值选取较敏感；</w:t>
      </w:r>
      <w:r w:rsidRPr="004C1CA5">
        <w:t>ODI</w:t>
      </w:r>
      <w:r w:rsidRPr="004C1CA5">
        <w:t>均值和</w:t>
      </w:r>
      <w:r w:rsidRPr="004C1CA5">
        <w:t>P90</w:t>
      </w:r>
      <w:r w:rsidRPr="004C1CA5">
        <w:t>分别反映方案整体扰动水平和局部高值扰动影响。因此，在采区规划阶段判断低扰动方案时，应结合</w:t>
      </w:r>
      <w:r w:rsidRPr="004C1CA5">
        <w:t>ODI</w:t>
      </w:r>
      <w:r w:rsidRPr="004C1CA5">
        <w:t>均值、</w:t>
      </w:r>
      <w:r w:rsidRPr="004C1CA5">
        <w:t>P90</w:t>
      </w:r>
      <w:r w:rsidRPr="004C1CA5">
        <w:t>和扰动风险综合得分共同分析。本文方法可用于采区规划初期的方案比较和风险前置识别，但最终方案仍需结合地表沉陷预计、导水裂隙带高度判定、含水层保护、上行开采安全性以及矿井生产系统条件进行专项复核。</w:t>
      </w:r>
    </w:p>
    <w:p w14:paraId="7E52FE41" w14:textId="4BDCA49F"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15" w:name="REF_001"/>
      <w:r w:rsidRPr="00351EC4">
        <w:t>[1]</w:t>
      </w:r>
      <w:r w:rsidRPr="00351EC4">
        <w:tab/>
        <w:t>WU Xuefei, LI Hongxia, WANG Baoli, et al. Review on improvements to the safety level of coal mines by applying intelligent coal mining[J]. Sustainability, 2022, 14(24): 16400. DOI: 10.3390/su142416400.</w:t>
      </w:r>
      <w:bookmarkEnd w:id="15"/>
    </w:p>
    <w:p w14:paraId="4A686C72" w14:textId="77777777" w:rsidR="00351EC4" w:rsidRPr="00351EC4" w:rsidRDefault="00351EC4" w:rsidP="00351EC4">
      <w:pPr>
        <w:pStyle w:val="17"/>
      </w:pPr>
      <w:bookmarkStart w:id="16" w:name="REF_002"/>
      <w:r w:rsidRPr="00351EC4">
        <w:t>[2]</w:t>
      </w:r>
      <w:r w:rsidRPr="00351EC4">
        <w:tab/>
        <w:t>WANG Guofa, REN Huaiwei, ZHAO Guorui, et al. Research and practice of intelligent coal mine technology systems in China[J]. International Journal of Coal Science &amp; Technology, 2022, 9(1). DOI: 10.1007/s40789-022-00491-3.</w:t>
      </w:r>
      <w:bookmarkEnd w:id="16"/>
    </w:p>
    <w:p w14:paraId="231538D1" w14:textId="77777777" w:rsidR="00351EC4" w:rsidRPr="00351EC4" w:rsidRDefault="00351EC4" w:rsidP="00351EC4">
      <w:pPr>
        <w:pStyle w:val="17"/>
      </w:pPr>
      <w:bookmarkStart w:id="17" w:name="REF_003"/>
      <w:r w:rsidRPr="00351EC4">
        <w:t>[3]</w:t>
      </w:r>
      <w:r w:rsidRPr="00351EC4">
        <w:tab/>
        <w:t>ZHANG Kexue, KANG Lei, CHEN Xuexi, et al. A review of intelligent unmanned mining current situation and development trend[J]. Energies, 2022, 15(2): 513. DOI: 10.3390/en15020513.</w:t>
      </w:r>
      <w:bookmarkEnd w:id="17"/>
    </w:p>
    <w:p w14:paraId="003176E2" w14:textId="77777777" w:rsidR="00351EC4" w:rsidRPr="00351EC4" w:rsidRDefault="00351EC4" w:rsidP="00351EC4">
      <w:pPr>
        <w:pStyle w:val="17"/>
      </w:pPr>
      <w:bookmarkStart w:id="18" w:name="REF_00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18"/>
    </w:p>
    <w:p w14:paraId="04AA5E1F" w14:textId="77777777" w:rsidR="00351EC4" w:rsidRPr="00351EC4" w:rsidRDefault="00351EC4" w:rsidP="00351EC4">
      <w:pPr>
        <w:pStyle w:val="17"/>
      </w:pPr>
      <w:bookmarkStart w:id="19" w:name="REF_005"/>
      <w:r w:rsidRPr="00351EC4">
        <w:t>[5]</w:t>
      </w:r>
      <w:r w:rsidRPr="00351EC4">
        <w:tab/>
      </w:r>
      <w:r w:rsidRPr="00351EC4">
        <w:t>王国法</w:t>
      </w:r>
      <w:r w:rsidRPr="00351EC4">
        <w:t xml:space="preserve">, </w:t>
      </w:r>
      <w:r w:rsidRPr="00351EC4">
        <w:t>杜毅博</w:t>
      </w:r>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19"/>
    </w:p>
    <w:p w14:paraId="16E99093" w14:textId="77777777" w:rsidR="00351EC4" w:rsidRPr="00351EC4" w:rsidRDefault="00351EC4" w:rsidP="00351EC4">
      <w:pPr>
        <w:pStyle w:val="17"/>
      </w:pPr>
      <w:bookmarkStart w:id="20" w:name="REF_006"/>
      <w:r w:rsidRPr="00351EC4">
        <w:t>[6]</w:t>
      </w:r>
      <w:r w:rsidRPr="00351EC4">
        <w:tab/>
      </w:r>
      <w:r w:rsidRPr="00351EC4">
        <w:t>王国法</w:t>
      </w:r>
      <w:r w:rsidRPr="00351EC4">
        <w:t xml:space="preserve">, </w:t>
      </w:r>
      <w:r w:rsidRPr="00351EC4">
        <w:t>任怀伟</w:t>
      </w:r>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20"/>
    </w:p>
    <w:p w14:paraId="195C19ED" w14:textId="77777777" w:rsidR="00351EC4" w:rsidRPr="00351EC4" w:rsidRDefault="00351EC4" w:rsidP="00351EC4">
      <w:pPr>
        <w:pStyle w:val="17"/>
      </w:pPr>
      <w:bookmarkStart w:id="21" w:name="REF_007"/>
      <w:r w:rsidRPr="00351EC4">
        <w:t>[7]</w:t>
      </w:r>
      <w:r w:rsidRPr="00351EC4">
        <w:tab/>
      </w:r>
      <w:r w:rsidRPr="00351EC4">
        <w:t>李首滨</w:t>
      </w:r>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21"/>
    </w:p>
    <w:p w14:paraId="7D5B676F" w14:textId="77777777" w:rsidR="00351EC4" w:rsidRPr="00351EC4" w:rsidRDefault="00351EC4" w:rsidP="00351EC4">
      <w:pPr>
        <w:pStyle w:val="17"/>
      </w:pPr>
      <w:bookmarkStart w:id="22" w:name="REF_008"/>
      <w:r w:rsidRPr="00351EC4">
        <w:lastRenderedPageBreak/>
        <w:t>[8]</w:t>
      </w:r>
      <w:r w:rsidRPr="00351EC4">
        <w:tab/>
      </w:r>
      <w:r w:rsidRPr="00351EC4">
        <w:t>王存飞</w:t>
      </w:r>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22"/>
    </w:p>
    <w:p w14:paraId="369BF6B6" w14:textId="77777777" w:rsidR="00351EC4" w:rsidRPr="00351EC4" w:rsidRDefault="00351EC4" w:rsidP="00351EC4">
      <w:pPr>
        <w:pStyle w:val="17"/>
      </w:pPr>
      <w:bookmarkStart w:id="23" w:name="REF_009"/>
      <w:r w:rsidRPr="00351EC4">
        <w:t>[9]</w:t>
      </w:r>
      <w:r w:rsidRPr="00351EC4">
        <w:tab/>
      </w:r>
      <w:r w:rsidRPr="00351EC4">
        <w:t>程建远</w:t>
      </w:r>
      <w:r w:rsidRPr="00351EC4">
        <w:t xml:space="preserve">, </w:t>
      </w:r>
      <w:r w:rsidRPr="00351EC4">
        <w:t>朱梦博</w:t>
      </w:r>
      <w:r w:rsidRPr="00351EC4">
        <w:t xml:space="preserve">, </w:t>
      </w:r>
      <w:r w:rsidRPr="00351EC4">
        <w:t>王云宏</w:t>
      </w:r>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23"/>
    </w:p>
    <w:p w14:paraId="18547D36" w14:textId="77777777" w:rsidR="00351EC4" w:rsidRPr="00351EC4" w:rsidRDefault="00351EC4" w:rsidP="00351EC4">
      <w:pPr>
        <w:pStyle w:val="17"/>
      </w:pPr>
      <w:bookmarkStart w:id="24" w:name="REF_010"/>
      <w:r w:rsidRPr="00351EC4">
        <w:t>[10]</w:t>
      </w:r>
      <w:r w:rsidRPr="00351EC4">
        <w:tab/>
      </w:r>
      <w:r w:rsidRPr="00351EC4">
        <w:t>刘万里</w:t>
      </w:r>
      <w:r w:rsidRPr="00351EC4">
        <w:t xml:space="preserve">, </w:t>
      </w:r>
      <w:r w:rsidRPr="00351EC4">
        <w:t>张学亮</w:t>
      </w:r>
      <w:r w:rsidRPr="00351EC4">
        <w:t xml:space="preserve">, </w:t>
      </w:r>
      <w:r w:rsidRPr="00351EC4">
        <w:t>王世博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24"/>
    </w:p>
    <w:p w14:paraId="7C5432F7" w14:textId="77777777" w:rsidR="00351EC4" w:rsidRPr="00351EC4" w:rsidRDefault="00351EC4" w:rsidP="00351EC4">
      <w:pPr>
        <w:pStyle w:val="17"/>
      </w:pPr>
      <w:bookmarkStart w:id="25" w:name="REF_011"/>
      <w:r w:rsidRPr="00351EC4">
        <w:t>[11]</w:t>
      </w:r>
      <w:r w:rsidRPr="00351EC4">
        <w:tab/>
        <w:t>YANG Yi, LI Yingchun, WANG Lujun, et al. On strata damage and stress disturbance induced by coal mining based on physical similarity simulation experiments[J]. Scientific Reports, 2023, 13(1). DOI: 10.1038/s41598-023-42148-4.</w:t>
      </w:r>
      <w:bookmarkEnd w:id="25"/>
    </w:p>
    <w:p w14:paraId="45343055" w14:textId="77777777" w:rsidR="00351EC4" w:rsidRPr="00351EC4" w:rsidRDefault="00351EC4" w:rsidP="00351EC4">
      <w:pPr>
        <w:pStyle w:val="17"/>
      </w:pPr>
      <w:bookmarkStart w:id="26" w:name="REF_0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26"/>
    </w:p>
    <w:p w14:paraId="7E2EF76E" w14:textId="77777777" w:rsidR="00351EC4" w:rsidRPr="00351EC4" w:rsidRDefault="00351EC4" w:rsidP="00351EC4">
      <w:pPr>
        <w:pStyle w:val="17"/>
      </w:pPr>
      <w:bookmarkStart w:id="27" w:name="REF_013"/>
      <w:r w:rsidRPr="00351EC4">
        <w:t>[13]</w:t>
      </w:r>
      <w:r w:rsidRPr="00351EC4">
        <w:tab/>
        <w:t>YANG Xiao, SHI Longqing, QIU Mei, et al. Spatiotemporal evolution patterns of mining-induced overburden damage based on microseismic event response analysis[J]. Journal of Applied Geophysics, 2025, 242: 105876. DOI: 10.1016/j.jappgeo.2025.105876.</w:t>
      </w:r>
      <w:bookmarkEnd w:id="27"/>
    </w:p>
    <w:p w14:paraId="6AD72CE5" w14:textId="77777777" w:rsidR="00351EC4" w:rsidRPr="00351EC4" w:rsidRDefault="00351EC4" w:rsidP="00351EC4">
      <w:pPr>
        <w:pStyle w:val="17"/>
      </w:pPr>
      <w:bookmarkStart w:id="28" w:name="REF_0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28"/>
    </w:p>
    <w:p w14:paraId="5BE249CC" w14:textId="77777777" w:rsidR="00351EC4" w:rsidRPr="00351EC4" w:rsidRDefault="00351EC4" w:rsidP="00351EC4">
      <w:pPr>
        <w:pStyle w:val="17"/>
      </w:pPr>
      <w:bookmarkStart w:id="29" w:name="REF_015"/>
      <w:r w:rsidRPr="00351EC4">
        <w:t>[15]</w:t>
      </w:r>
      <w:r w:rsidRPr="00351EC4">
        <w:tab/>
        <w:t>CAO Jian, HUANG Qingxiang, GUO Lingfei. Subsidence prediction of overburden strata and ground surface in shallow coal seam mining[J]. Scientific Reports, 2021, 11(1). DOI: 10.1038/s41598-021-98520-9.</w:t>
      </w:r>
      <w:bookmarkEnd w:id="29"/>
    </w:p>
    <w:p w14:paraId="1335F3A6" w14:textId="77777777" w:rsidR="00351EC4" w:rsidRPr="00351EC4" w:rsidRDefault="00351EC4" w:rsidP="00351EC4">
      <w:pPr>
        <w:pStyle w:val="17"/>
      </w:pPr>
      <w:bookmarkStart w:id="30" w:name="REF_0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30"/>
    </w:p>
    <w:p w14:paraId="17D0E74C" w14:textId="77777777" w:rsidR="00351EC4" w:rsidRPr="00351EC4" w:rsidRDefault="00351EC4" w:rsidP="00351EC4">
      <w:pPr>
        <w:pStyle w:val="17"/>
      </w:pPr>
      <w:bookmarkStart w:id="31" w:name="REF_017"/>
      <w:r w:rsidRPr="00351EC4">
        <w:t>[17]</w:t>
      </w:r>
      <w:r w:rsidRPr="00351EC4">
        <w:tab/>
        <w:t>SHI Xiuchang, ZHANG Jixing. Characteristics of overburden failure and fracture evolution in shallow buried working face with large mining height[J]. Sustainability, 2021, 13(24): 13775. DOI: 10.3390/su132413775.</w:t>
      </w:r>
      <w:bookmarkEnd w:id="31"/>
    </w:p>
    <w:p w14:paraId="444606BB" w14:textId="77777777" w:rsidR="00351EC4" w:rsidRPr="00351EC4" w:rsidRDefault="00351EC4" w:rsidP="00351EC4">
      <w:pPr>
        <w:pStyle w:val="17"/>
      </w:pPr>
      <w:bookmarkStart w:id="32" w:name="REF_0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32"/>
    </w:p>
    <w:p w14:paraId="4D7D0FA5" w14:textId="77777777" w:rsidR="00351EC4" w:rsidRPr="00351EC4" w:rsidRDefault="00351EC4" w:rsidP="00351EC4">
      <w:pPr>
        <w:pStyle w:val="17"/>
      </w:pPr>
      <w:bookmarkStart w:id="33" w:name="REF_019"/>
      <w:r w:rsidRPr="00351EC4">
        <w:t>[19]</w:t>
      </w:r>
      <w:r w:rsidRPr="00351EC4">
        <w:tab/>
        <w:t>XUE Sen, WANG Qiqing, SONG Zhen. Analysis of water-permeable fractured zone in weakly cemented overburden considering rock strain-softening[J]. Scientific Reports, 2026, 16(1). DOI: 10.1038/s41598-026-45413-4.</w:t>
      </w:r>
      <w:bookmarkEnd w:id="33"/>
    </w:p>
    <w:p w14:paraId="51CE135E" w14:textId="77777777" w:rsidR="00351EC4" w:rsidRPr="00351EC4" w:rsidRDefault="00351EC4" w:rsidP="00351EC4">
      <w:pPr>
        <w:pStyle w:val="17"/>
      </w:pPr>
      <w:bookmarkStart w:id="34" w:name="REF_020"/>
      <w:r w:rsidRPr="00351EC4">
        <w:t>[20]</w:t>
      </w:r>
      <w:r w:rsidRPr="00351EC4">
        <w:tab/>
        <w:t>ZHU Xiaojun, ZHA Feng, GUO Guangli, et al. Mechanical prediction method of strata movement and surface subsidence in backfill-strip mining[J]. Scientific Reports, 2024, 14(1). DOI: 10.1038/s41598-024-82761-5.</w:t>
      </w:r>
      <w:bookmarkEnd w:id="34"/>
    </w:p>
    <w:p w14:paraId="69C9E299" w14:textId="77777777" w:rsidR="00351EC4" w:rsidRPr="00351EC4" w:rsidRDefault="00351EC4" w:rsidP="00351EC4">
      <w:pPr>
        <w:pStyle w:val="17"/>
      </w:pPr>
      <w:bookmarkStart w:id="35" w:name="REF_021"/>
      <w:r w:rsidRPr="00351EC4">
        <w:t>[21]</w:t>
      </w:r>
      <w:r w:rsidRPr="00351EC4">
        <w:tab/>
        <w:t>KRATZSCH Helmut. Strata movement at the mining horizon[M]//Mining Subsidence Engineering. Berlin, , Heidelberg: Springer, 1983: 7-40. DOI: 10.1007/978-3-642-81923-0_2.</w:t>
      </w:r>
      <w:bookmarkEnd w:id="35"/>
    </w:p>
    <w:p w14:paraId="0107058A" w14:textId="77777777" w:rsidR="00351EC4" w:rsidRPr="00351EC4" w:rsidRDefault="00351EC4" w:rsidP="00351EC4">
      <w:pPr>
        <w:pStyle w:val="17"/>
      </w:pPr>
      <w:bookmarkStart w:id="36" w:name="REF_0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干旱矿区采动顶板导水裂隙的演化规律及保水采煤意义</w:t>
      </w:r>
      <w:r w:rsidRPr="00351EC4">
        <w:t xml:space="preserve">[J]. </w:t>
      </w:r>
      <w:r w:rsidRPr="00351EC4">
        <w:t>煤炭学报</w:t>
      </w:r>
      <w:r w:rsidRPr="00351EC4">
        <w:t>, 2019, 44(3): 767-776. DOI: 10.13225/j.cnki.jccs.2018.6041.</w:t>
      </w:r>
      <w:bookmarkEnd w:id="36"/>
    </w:p>
    <w:p w14:paraId="056C3F93" w14:textId="77777777" w:rsidR="00351EC4" w:rsidRPr="00351EC4" w:rsidRDefault="00351EC4" w:rsidP="00351EC4">
      <w:pPr>
        <w:pStyle w:val="17"/>
      </w:pPr>
      <w:bookmarkStart w:id="37" w:name="REF_0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r w:rsidRPr="00351EC4">
        <w:t>采动覆岩导水裂隙主通道分布模型及其水流动特性</w:t>
      </w:r>
      <w:r w:rsidRPr="00351EC4">
        <w:t xml:space="preserve">[J]. </w:t>
      </w:r>
      <w:r w:rsidRPr="00351EC4">
        <w:t>煤炭学报</w:t>
      </w:r>
      <w:r w:rsidRPr="00351EC4">
        <w:t>, 2019, 44(12): 3719-3728. DOI: 10.13225/j.cnki.jccs.SH19.0446.</w:t>
      </w:r>
      <w:bookmarkEnd w:id="37"/>
    </w:p>
    <w:p w14:paraId="24CFA5F9" w14:textId="77777777" w:rsidR="00351EC4" w:rsidRPr="00351EC4" w:rsidRDefault="00351EC4" w:rsidP="00351EC4">
      <w:pPr>
        <w:pStyle w:val="17"/>
      </w:pPr>
      <w:bookmarkStart w:id="38" w:name="REF_024"/>
      <w:r w:rsidRPr="00351EC4">
        <w:t>[24]</w:t>
      </w:r>
      <w:r w:rsidRPr="00351EC4">
        <w:tab/>
      </w:r>
      <w:r w:rsidRPr="00351EC4">
        <w:t>郭文兵</w:t>
      </w:r>
      <w:r w:rsidRPr="00351EC4">
        <w:t xml:space="preserve">, </w:t>
      </w:r>
      <w:r w:rsidRPr="00351EC4">
        <w:t>娄高中</w:t>
      </w:r>
      <w:r w:rsidRPr="00351EC4">
        <w:t xml:space="preserve">. </w:t>
      </w:r>
      <w:r w:rsidRPr="00351EC4">
        <w:t>覆岩破坏充分采动程度定义及判别方法</w:t>
      </w:r>
      <w:r w:rsidRPr="00351EC4">
        <w:t xml:space="preserve">[J]. </w:t>
      </w:r>
      <w:r w:rsidRPr="00351EC4">
        <w:t>煤炭学报</w:t>
      </w:r>
      <w:r w:rsidRPr="00351EC4">
        <w:t>, 2019, 44(3): 755-766. DOI: 10.13225/j.cnki.jccs.2018.6038.</w:t>
      </w:r>
      <w:bookmarkEnd w:id="38"/>
    </w:p>
    <w:p w14:paraId="4D1F0FF0" w14:textId="77777777" w:rsidR="00351EC4" w:rsidRPr="00351EC4" w:rsidRDefault="00351EC4" w:rsidP="00351EC4">
      <w:pPr>
        <w:pStyle w:val="17"/>
      </w:pPr>
      <w:bookmarkStart w:id="39" w:name="REF_0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39"/>
    </w:p>
    <w:p w14:paraId="3BB359DE" w14:textId="77777777" w:rsidR="00351EC4" w:rsidRPr="00351EC4" w:rsidRDefault="00351EC4" w:rsidP="00351EC4">
      <w:pPr>
        <w:pStyle w:val="17"/>
      </w:pPr>
      <w:bookmarkStart w:id="40" w:name="REF_0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40"/>
    </w:p>
    <w:p w14:paraId="6A8B7C8D" w14:textId="77777777" w:rsidR="00351EC4" w:rsidRPr="00351EC4" w:rsidRDefault="00351EC4" w:rsidP="00351EC4">
      <w:pPr>
        <w:pStyle w:val="17"/>
      </w:pPr>
      <w:bookmarkStart w:id="41" w:name="REF_027"/>
      <w:r w:rsidRPr="00351EC4">
        <w:t>[27]</w:t>
      </w:r>
      <w:r w:rsidRPr="00351EC4">
        <w:tab/>
      </w:r>
      <w:r w:rsidRPr="00351EC4">
        <w:t>王玉涛</w:t>
      </w:r>
      <w:r w:rsidRPr="00351EC4">
        <w:t xml:space="preserve">, </w:t>
      </w:r>
      <w:r w:rsidRPr="00351EC4">
        <w:t>刘震</w:t>
      </w:r>
      <w:r w:rsidRPr="00351EC4">
        <w:t xml:space="preserve">. </w:t>
      </w:r>
      <w:r w:rsidRPr="00351EC4">
        <w:t>深部煤层非充分采动下覆岩裂隙场可视化探测研究</w:t>
      </w:r>
      <w:r w:rsidRPr="00351EC4">
        <w:t xml:space="preserve">[J]. </w:t>
      </w:r>
      <w:r w:rsidRPr="00351EC4">
        <w:t>煤炭科学技术</w:t>
      </w:r>
      <w:r w:rsidRPr="00351EC4">
        <w:t>, 2020, 48(3): 197-204. DOI: 10.13199/j.cnki.cst.2020.03.024.</w:t>
      </w:r>
      <w:bookmarkEnd w:id="41"/>
    </w:p>
    <w:p w14:paraId="04362470" w14:textId="77777777" w:rsidR="00351EC4" w:rsidRPr="00351EC4" w:rsidRDefault="00351EC4" w:rsidP="00351EC4">
      <w:pPr>
        <w:pStyle w:val="17"/>
      </w:pPr>
      <w:bookmarkStart w:id="42" w:name="REF_0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42"/>
    </w:p>
    <w:p w14:paraId="2C208FCA" w14:textId="77777777" w:rsidR="00351EC4" w:rsidRPr="00351EC4" w:rsidRDefault="00351EC4" w:rsidP="00351EC4">
      <w:pPr>
        <w:pStyle w:val="17"/>
      </w:pPr>
      <w:bookmarkStart w:id="43" w:name="REF_029"/>
      <w:r w:rsidRPr="00351EC4">
        <w:t>[29]</w:t>
      </w:r>
      <w:r w:rsidRPr="00351EC4">
        <w:tab/>
      </w:r>
      <w:r w:rsidRPr="00351EC4">
        <w:t>张玉军</w:t>
      </w:r>
      <w:r w:rsidRPr="00351EC4">
        <w:t xml:space="preserve">, </w:t>
      </w:r>
      <w:r w:rsidRPr="00351EC4">
        <w:t>宋业杰</w:t>
      </w:r>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43"/>
    </w:p>
    <w:p w14:paraId="78390D93" w14:textId="77777777" w:rsidR="00351EC4" w:rsidRPr="00351EC4" w:rsidRDefault="00351EC4" w:rsidP="00351EC4">
      <w:pPr>
        <w:pStyle w:val="17"/>
      </w:pPr>
      <w:bookmarkStart w:id="44" w:name="REF_030"/>
      <w:r w:rsidRPr="00351EC4">
        <w:t>[30]</w:t>
      </w:r>
      <w:r w:rsidRPr="00351EC4">
        <w:tab/>
      </w:r>
      <w:r w:rsidRPr="00351EC4">
        <w:t>董书宁</w:t>
      </w:r>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44"/>
    </w:p>
    <w:p w14:paraId="3FCAAE66" w14:textId="77777777" w:rsidR="00351EC4" w:rsidRPr="00351EC4" w:rsidRDefault="00351EC4" w:rsidP="00351EC4">
      <w:pPr>
        <w:pStyle w:val="17"/>
      </w:pPr>
      <w:bookmarkStart w:id="45" w:name="REF_031"/>
      <w:r w:rsidRPr="00351EC4">
        <w:t>[31]</w:t>
      </w:r>
      <w:r w:rsidRPr="00351EC4">
        <w:tab/>
      </w:r>
      <w:r w:rsidRPr="00351EC4">
        <w:t>范立民</w:t>
      </w:r>
      <w:r w:rsidRPr="00351EC4">
        <w:t xml:space="preserve">, </w:t>
      </w:r>
      <w:r w:rsidRPr="00351EC4">
        <w:t>马雄德</w:t>
      </w:r>
      <w:r w:rsidRPr="00351EC4">
        <w:t xml:space="preserve">, </w:t>
      </w:r>
      <w:r w:rsidRPr="00351EC4">
        <w:t>蒋泽泉</w:t>
      </w:r>
      <w:r w:rsidRPr="00351EC4">
        <w:t xml:space="preserve">, </w:t>
      </w:r>
      <w:r w:rsidRPr="00351EC4">
        <w:t>等</w:t>
      </w:r>
      <w:r w:rsidRPr="00351EC4">
        <w:t xml:space="preserve">. </w:t>
      </w:r>
      <w:r w:rsidRPr="00351EC4">
        <w:t>保水采煤研究</w:t>
      </w:r>
      <w:r w:rsidRPr="00351EC4">
        <w:t>30</w:t>
      </w:r>
      <w:r w:rsidRPr="00351EC4">
        <w:t>年回顾与展望</w:t>
      </w:r>
      <w:r w:rsidRPr="00351EC4">
        <w:t xml:space="preserve">[J]. </w:t>
      </w:r>
      <w:r w:rsidRPr="00351EC4">
        <w:t>煤炭科学技术</w:t>
      </w:r>
      <w:r w:rsidRPr="00351EC4">
        <w:t>, 2019, 47(7): 1-30. DOI: 10.13199/j.cnki.cst.2019.07.001.</w:t>
      </w:r>
      <w:bookmarkEnd w:id="45"/>
    </w:p>
    <w:p w14:paraId="5D914B68" w14:textId="77777777" w:rsidR="00351EC4" w:rsidRPr="00351EC4" w:rsidRDefault="00351EC4" w:rsidP="00351EC4">
      <w:pPr>
        <w:pStyle w:val="17"/>
      </w:pPr>
      <w:bookmarkStart w:id="46" w:name="REF_032"/>
      <w:r w:rsidRPr="00351EC4">
        <w:t>[32]</w:t>
      </w:r>
      <w:r w:rsidRPr="00351EC4">
        <w:tab/>
      </w:r>
      <w:r w:rsidRPr="00351EC4">
        <w:t>许家林</w:t>
      </w:r>
      <w:r w:rsidRPr="00351EC4">
        <w:t xml:space="preserve">, </w:t>
      </w:r>
      <w:r w:rsidRPr="00351EC4">
        <w:t>朱卫兵</w:t>
      </w:r>
      <w:r w:rsidRPr="00351EC4">
        <w:t xml:space="preserve">, </w:t>
      </w:r>
      <w:r w:rsidRPr="00351EC4">
        <w:t>王晓振</w:t>
      </w:r>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46"/>
    </w:p>
    <w:p w14:paraId="2A06B225" w14:textId="77777777" w:rsidR="00351EC4" w:rsidRPr="00351EC4" w:rsidRDefault="00351EC4" w:rsidP="00351EC4">
      <w:pPr>
        <w:pStyle w:val="17"/>
      </w:pPr>
      <w:bookmarkStart w:id="47" w:name="REF_033"/>
      <w:r w:rsidRPr="00351EC4">
        <w:t>[33]</w:t>
      </w:r>
      <w:r w:rsidRPr="00351EC4">
        <w:tab/>
      </w:r>
      <w:r w:rsidRPr="00351EC4">
        <w:t>郭小铭</w:t>
      </w:r>
      <w:r w:rsidRPr="00351EC4">
        <w:t xml:space="preserve">, </w:t>
      </w:r>
      <w:r w:rsidRPr="00351EC4">
        <w:t>董书宁</w:t>
      </w:r>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47"/>
    </w:p>
    <w:p w14:paraId="5DECF55B" w14:textId="77777777" w:rsidR="00351EC4" w:rsidRPr="00351EC4" w:rsidRDefault="00351EC4" w:rsidP="00351EC4">
      <w:pPr>
        <w:pStyle w:val="17"/>
      </w:pPr>
      <w:bookmarkStart w:id="48" w:name="REF_034"/>
      <w:r w:rsidRPr="00351EC4">
        <w:t>[34]</w:t>
      </w:r>
      <w:r w:rsidRPr="00351EC4">
        <w:tab/>
        <w:t>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bookmarkEnd w:id="48"/>
    </w:p>
    <w:p w14:paraId="668D7B93" w14:textId="77777777" w:rsidR="00351EC4" w:rsidRPr="00351EC4" w:rsidRDefault="00351EC4" w:rsidP="00351EC4">
      <w:pPr>
        <w:pStyle w:val="17"/>
      </w:pPr>
      <w:bookmarkStart w:id="49" w:name="REF_035"/>
      <w:r w:rsidRPr="00351EC4">
        <w:t>[35]</w:t>
      </w:r>
      <w:r w:rsidRPr="00351EC4">
        <w:tab/>
        <w:t>SHAN Yang, KE Li, XIANG Jun, et al. Multi-objective optimisation based on NSGA-II of mine cut-off grade from the perspective of resource security[J]. International Journal of Mining, Reclamation and Environment, 2025: 1-20. DOI: 10.1080/17480930.2025.2532460.</w:t>
      </w:r>
      <w:bookmarkEnd w:id="49"/>
    </w:p>
    <w:p w14:paraId="5CCA963C" w14:textId="77777777" w:rsidR="00351EC4" w:rsidRPr="00351EC4" w:rsidRDefault="00351EC4" w:rsidP="00351EC4">
      <w:pPr>
        <w:pStyle w:val="17"/>
      </w:pPr>
      <w:bookmarkStart w:id="50" w:name="REF_036"/>
      <w:r w:rsidRPr="00351EC4">
        <w:t>[36]</w:t>
      </w:r>
      <w:r w:rsidRPr="00351EC4">
        <w:tab/>
        <w:t>GU Xiaowei, WANG Xunhong, LIU Zaobao, et al. A multi-objective optimization model using improved NSGA-II for optimizing metal mines production process[J]. IEEE Access, 2020, 8: 28847-28858. DOI: 10.1109/access.2020.2972018.</w:t>
      </w:r>
      <w:bookmarkEnd w:id="50"/>
    </w:p>
    <w:p w14:paraId="62F261D9" w14:textId="77777777" w:rsidR="00351EC4" w:rsidRPr="00351EC4" w:rsidRDefault="00351EC4" w:rsidP="00351EC4">
      <w:pPr>
        <w:pStyle w:val="17"/>
      </w:pPr>
      <w:bookmarkStart w:id="51" w:name="REF_037"/>
      <w:r w:rsidRPr="00351EC4">
        <w:t>[37]</w:t>
      </w:r>
      <w:r w:rsidRPr="00351EC4">
        <w:tab/>
        <w:t>NESBITT Peter, BLAKE Lewis R., LAMAS Patricio, et al. Underground mine scheduling under uncertainty[J]. European Journal of Operational Research, 2021, 294(1): 340-352. DOI: 10.1016/j.ejor.2021.01.011.</w:t>
      </w:r>
      <w:bookmarkEnd w:id="51"/>
    </w:p>
    <w:p w14:paraId="07A0AACF" w14:textId="77777777" w:rsidR="00351EC4" w:rsidRPr="00351EC4" w:rsidRDefault="00351EC4" w:rsidP="00351EC4">
      <w:pPr>
        <w:pStyle w:val="17"/>
      </w:pPr>
      <w:bookmarkStart w:id="52" w:name="REF_038"/>
      <w:r w:rsidRPr="00351EC4">
        <w:lastRenderedPageBreak/>
        <w:t>[38]</w:t>
      </w:r>
      <w:r w:rsidRPr="00351EC4">
        <w:tab/>
        <w:t>PATHIRANAGE Ishara Hewa, NEUMANN Aneta. Multi-objective evolutionary optimization for large-scale open pit mine scheduling[C]//2024 IEEE Congress on Evolutionary Computation (CEC). 2024: 1-8. DOI: 10.1109/CEC60901.2024.10612008.</w:t>
      </w:r>
      <w:bookmarkEnd w:id="52"/>
    </w:p>
    <w:p w14:paraId="39C58D08" w14:textId="77777777" w:rsidR="00351EC4" w:rsidRPr="00351EC4" w:rsidRDefault="00351EC4" w:rsidP="00351EC4">
      <w:pPr>
        <w:pStyle w:val="17"/>
      </w:pPr>
      <w:bookmarkStart w:id="53" w:name="REF_039"/>
      <w:r w:rsidRPr="00351EC4">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53"/>
    </w:p>
    <w:p w14:paraId="6AC050D5" w14:textId="77777777" w:rsidR="00351EC4" w:rsidRPr="00351EC4" w:rsidRDefault="00351EC4" w:rsidP="00351EC4">
      <w:pPr>
        <w:pStyle w:val="17"/>
      </w:pPr>
      <w:bookmarkStart w:id="54" w:name="REF_040"/>
      <w:r w:rsidRPr="00351EC4">
        <w:t>[40]</w:t>
      </w:r>
      <w:r w:rsidRPr="00351EC4">
        <w:tab/>
        <w:t>ZHANG Xuhui, LV Xinyuan, WANG Yan, et al. Production process management for intelligent coal mining based on digital twin[M]//Digital Twin Driven Service. 2022: 251-277. DOI: 10.1016/B978-0-323-91300-3.00008-5.</w:t>
      </w:r>
      <w:bookmarkEnd w:id="54"/>
    </w:p>
    <w:p w14:paraId="6EE9EEEA" w14:textId="77777777" w:rsidR="00351EC4" w:rsidRPr="00351EC4" w:rsidRDefault="00351EC4" w:rsidP="00351EC4">
      <w:pPr>
        <w:pStyle w:val="17"/>
      </w:pPr>
      <w:bookmarkStart w:id="55" w:name="REF_041"/>
      <w:r w:rsidRPr="00351EC4">
        <w:t>[41]</w:t>
      </w:r>
      <w:r w:rsidRPr="00351EC4">
        <w:tab/>
        <w:t>QU Juncong, KIZIL Mehmet S., YAHYAEI Mohsen, et al. Digital twins in the minerals industry: a comprehensive review[J]. Mining Technology, 2023, 132(4): 267-289. DOI: 10.1080/25726668.2023.2257479.</w:t>
      </w:r>
      <w:bookmarkEnd w:id="55"/>
    </w:p>
    <w:p w14:paraId="1F7F8AA9" w14:textId="77777777" w:rsidR="00351EC4" w:rsidRPr="00351EC4" w:rsidRDefault="00351EC4" w:rsidP="00351EC4">
      <w:pPr>
        <w:pStyle w:val="17"/>
      </w:pPr>
      <w:bookmarkStart w:id="56" w:name="REF_042"/>
      <w:r w:rsidRPr="00351EC4">
        <w:t>[42]</w:t>
      </w:r>
      <w:r w:rsidRPr="00351EC4">
        <w:tab/>
        <w:t>PAN Dongdong, XU Zhenhao, LU Xinming, et al. 3D scene and geological modeling using integrated multi-source spatial data: methodology, challenges, and suggestions[J]. Tunnelling and Underground Space Technology, 2020, 100: 103393. DOI: 10.1016/j.tust.2020.103393.</w:t>
      </w:r>
      <w:bookmarkEnd w:id="56"/>
    </w:p>
    <w:p w14:paraId="7AF72E69" w14:textId="77777777" w:rsidR="00351EC4" w:rsidRPr="00351EC4" w:rsidRDefault="00351EC4" w:rsidP="00351EC4">
      <w:pPr>
        <w:pStyle w:val="17"/>
      </w:pPr>
      <w:bookmarkStart w:id="57" w:name="REF_043"/>
      <w:r w:rsidRPr="00351EC4">
        <w:t>[43]</w:t>
      </w:r>
      <w:r w:rsidRPr="00351EC4">
        <w:tab/>
        <w:t>AHMED Haitham M., ADEWUYI Sefiu, AHMED Hussin M. A. Continuous cash flow modeling for economic evaluation and risk analysis in mine planning using Monte Carlo simulation[J]. Journal of King Abdulaziz University: Engineering Sciences, 2024, 34(2). DOI: 10.4197/eng.34-2.6.</w:t>
      </w:r>
      <w:bookmarkEnd w:id="57"/>
    </w:p>
    <w:p w14:paraId="77BC7B1C" w14:textId="77777777" w:rsidR="00351EC4" w:rsidRPr="00351EC4" w:rsidRDefault="00351EC4" w:rsidP="00351EC4">
      <w:pPr>
        <w:pStyle w:val="17"/>
      </w:pPr>
      <w:bookmarkStart w:id="58" w:name="REF_044"/>
      <w:r w:rsidRPr="00351EC4">
        <w:t>[44]</w:t>
      </w:r>
      <w:r w:rsidRPr="00351EC4">
        <w:tab/>
        <w:t>LI Jiaoqun, WU Tong, LU Zengxiang, et al. Investigation into mining economic evaluation approaches based on the Rosenblueth point estimate method[J]. Applied Sciences, 2023, 13(15): 9011. DOI: 10.3390/app13159011.</w:t>
      </w:r>
      <w:bookmarkEnd w:id="58"/>
    </w:p>
    <w:p w14:paraId="14CBE2E0" w14:textId="77777777" w:rsidR="00351EC4" w:rsidRPr="00351EC4" w:rsidRDefault="00351EC4" w:rsidP="00351EC4">
      <w:pPr>
        <w:pStyle w:val="17"/>
      </w:pPr>
      <w:bookmarkStart w:id="59" w:name="REF_0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59"/>
    </w:p>
    <w:p w14:paraId="6CCB6F08" w14:textId="77777777" w:rsidR="00351EC4" w:rsidRPr="00351EC4" w:rsidRDefault="00351EC4" w:rsidP="00351EC4">
      <w:pPr>
        <w:pStyle w:val="17"/>
      </w:pPr>
      <w:bookmarkStart w:id="60" w:name="REF_0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煤矿分布式地下水库渗流场分析及优化调度</w:t>
      </w:r>
      <w:r w:rsidRPr="00351EC4">
        <w:t xml:space="preserve">[J]. </w:t>
      </w:r>
      <w:r w:rsidRPr="00351EC4">
        <w:t>煤炭学报</w:t>
      </w:r>
      <w:r w:rsidRPr="00351EC4">
        <w:t>, 2019, 44(12): 3693-3699. DOI: 10.13225/j.cnki.jccs.SH19.1167.</w:t>
      </w:r>
      <w:bookmarkEnd w:id="60"/>
    </w:p>
    <w:p w14:paraId="536F86EF" w14:textId="77777777" w:rsidR="00351EC4" w:rsidRPr="00351EC4" w:rsidRDefault="00351EC4" w:rsidP="00351EC4">
      <w:pPr>
        <w:pStyle w:val="17"/>
      </w:pPr>
      <w:bookmarkStart w:id="61" w:name="REF_0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61"/>
    </w:p>
    <w:p w14:paraId="78985091" w14:textId="77777777" w:rsidR="00351EC4" w:rsidRPr="00351EC4" w:rsidRDefault="00351EC4" w:rsidP="00351EC4">
      <w:pPr>
        <w:pStyle w:val="17"/>
      </w:pPr>
      <w:bookmarkStart w:id="62" w:name="REF_0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62"/>
    </w:p>
    <w:p w14:paraId="0657D167" w14:textId="77777777" w:rsidR="00351EC4" w:rsidRPr="00351EC4" w:rsidRDefault="00351EC4" w:rsidP="00351EC4">
      <w:pPr>
        <w:pStyle w:val="17"/>
      </w:pPr>
      <w:bookmarkStart w:id="63" w:name="REF_0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63"/>
    </w:p>
    <w:p w14:paraId="7209004E" w14:textId="77777777" w:rsidR="00351EC4" w:rsidRPr="00351EC4" w:rsidRDefault="00351EC4" w:rsidP="00351EC4">
      <w:pPr>
        <w:pStyle w:val="17"/>
      </w:pPr>
      <w:bookmarkStart w:id="64" w:name="REF_0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64"/>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E4725" w14:textId="77777777" w:rsidR="00263642" w:rsidRDefault="00263642" w:rsidP="00461D3E">
      <w:r>
        <w:separator/>
      </w:r>
    </w:p>
  </w:endnote>
  <w:endnote w:type="continuationSeparator" w:id="0">
    <w:p w14:paraId="74B58E5B" w14:textId="77777777" w:rsidR="00263642" w:rsidRDefault="00263642"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F6978" w14:textId="77777777" w:rsidR="00263642" w:rsidRDefault="00263642" w:rsidP="00461D3E">
      <w:r>
        <w:separator/>
      </w:r>
    </w:p>
  </w:footnote>
  <w:footnote w:type="continuationSeparator" w:id="0">
    <w:p w14:paraId="789AD1F3" w14:textId="77777777" w:rsidR="00263642" w:rsidRDefault="00263642"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F50"/>
    <w:rsid w:val="00015110"/>
    <w:rsid w:val="00016896"/>
    <w:rsid w:val="00020E1C"/>
    <w:rsid w:val="00021800"/>
    <w:rsid w:val="00021A7E"/>
    <w:rsid w:val="00026578"/>
    <w:rsid w:val="00030AFA"/>
    <w:rsid w:val="00031391"/>
    <w:rsid w:val="000313DF"/>
    <w:rsid w:val="00031561"/>
    <w:rsid w:val="00036BB5"/>
    <w:rsid w:val="00043947"/>
    <w:rsid w:val="0004426B"/>
    <w:rsid w:val="0004445C"/>
    <w:rsid w:val="000470AB"/>
    <w:rsid w:val="000508EC"/>
    <w:rsid w:val="00052208"/>
    <w:rsid w:val="00053560"/>
    <w:rsid w:val="00054C86"/>
    <w:rsid w:val="00062A8B"/>
    <w:rsid w:val="00063D58"/>
    <w:rsid w:val="00064AA9"/>
    <w:rsid w:val="0006636D"/>
    <w:rsid w:val="00066AF5"/>
    <w:rsid w:val="00066D18"/>
    <w:rsid w:val="00067EEE"/>
    <w:rsid w:val="00072D3D"/>
    <w:rsid w:val="00074D15"/>
    <w:rsid w:val="0007589F"/>
    <w:rsid w:val="0007673A"/>
    <w:rsid w:val="000770EB"/>
    <w:rsid w:val="00077F3A"/>
    <w:rsid w:val="00082667"/>
    <w:rsid w:val="00086DBC"/>
    <w:rsid w:val="0009339D"/>
    <w:rsid w:val="00096896"/>
    <w:rsid w:val="000A2378"/>
    <w:rsid w:val="000A5903"/>
    <w:rsid w:val="000B03C1"/>
    <w:rsid w:val="000C0D33"/>
    <w:rsid w:val="000C18FC"/>
    <w:rsid w:val="000C19A7"/>
    <w:rsid w:val="000C5968"/>
    <w:rsid w:val="000D10E7"/>
    <w:rsid w:val="000D4F2A"/>
    <w:rsid w:val="000D5463"/>
    <w:rsid w:val="000E1681"/>
    <w:rsid w:val="000E3131"/>
    <w:rsid w:val="000E3342"/>
    <w:rsid w:val="000E5F3E"/>
    <w:rsid w:val="000F094A"/>
    <w:rsid w:val="000F0DB4"/>
    <w:rsid w:val="000F224D"/>
    <w:rsid w:val="000F5584"/>
    <w:rsid w:val="000F5D29"/>
    <w:rsid w:val="000F70E1"/>
    <w:rsid w:val="00100485"/>
    <w:rsid w:val="0010095D"/>
    <w:rsid w:val="0011036C"/>
    <w:rsid w:val="0011460D"/>
    <w:rsid w:val="00116204"/>
    <w:rsid w:val="00117D8E"/>
    <w:rsid w:val="00121592"/>
    <w:rsid w:val="00125915"/>
    <w:rsid w:val="001314C3"/>
    <w:rsid w:val="00137733"/>
    <w:rsid w:val="00140960"/>
    <w:rsid w:val="00141CD9"/>
    <w:rsid w:val="00146BD2"/>
    <w:rsid w:val="00153084"/>
    <w:rsid w:val="00162113"/>
    <w:rsid w:val="00162E31"/>
    <w:rsid w:val="0017092E"/>
    <w:rsid w:val="00171C57"/>
    <w:rsid w:val="00172D06"/>
    <w:rsid w:val="001779BA"/>
    <w:rsid w:val="00177AD6"/>
    <w:rsid w:val="0018065B"/>
    <w:rsid w:val="0018173F"/>
    <w:rsid w:val="001833AF"/>
    <w:rsid w:val="0019414F"/>
    <w:rsid w:val="00195EA6"/>
    <w:rsid w:val="001A1FCC"/>
    <w:rsid w:val="001A24F2"/>
    <w:rsid w:val="001A27C0"/>
    <w:rsid w:val="001A6198"/>
    <w:rsid w:val="001B3FB2"/>
    <w:rsid w:val="001B4CF4"/>
    <w:rsid w:val="001C4AB2"/>
    <w:rsid w:val="001C4D34"/>
    <w:rsid w:val="001C6909"/>
    <w:rsid w:val="001D0F19"/>
    <w:rsid w:val="001D5817"/>
    <w:rsid w:val="001D7A08"/>
    <w:rsid w:val="001E1EA5"/>
    <w:rsid w:val="001E2176"/>
    <w:rsid w:val="001E3E71"/>
    <w:rsid w:val="001E4640"/>
    <w:rsid w:val="001E555C"/>
    <w:rsid w:val="001E6134"/>
    <w:rsid w:val="001F2C0C"/>
    <w:rsid w:val="001F34C5"/>
    <w:rsid w:val="001F46DF"/>
    <w:rsid w:val="001F73D6"/>
    <w:rsid w:val="00202363"/>
    <w:rsid w:val="002030C1"/>
    <w:rsid w:val="00210CE2"/>
    <w:rsid w:val="002114BD"/>
    <w:rsid w:val="00214BA0"/>
    <w:rsid w:val="00217C00"/>
    <w:rsid w:val="002201A9"/>
    <w:rsid w:val="002255A2"/>
    <w:rsid w:val="002270C4"/>
    <w:rsid w:val="00232EF5"/>
    <w:rsid w:val="00235E71"/>
    <w:rsid w:val="002376A5"/>
    <w:rsid w:val="00243011"/>
    <w:rsid w:val="0024334E"/>
    <w:rsid w:val="0024363D"/>
    <w:rsid w:val="00243AFF"/>
    <w:rsid w:val="00246620"/>
    <w:rsid w:val="00250A9F"/>
    <w:rsid w:val="00251090"/>
    <w:rsid w:val="00251574"/>
    <w:rsid w:val="0025360D"/>
    <w:rsid w:val="00254206"/>
    <w:rsid w:val="00256A2C"/>
    <w:rsid w:val="00256B91"/>
    <w:rsid w:val="00257BB0"/>
    <w:rsid w:val="00261737"/>
    <w:rsid w:val="00263642"/>
    <w:rsid w:val="002644E8"/>
    <w:rsid w:val="0026472A"/>
    <w:rsid w:val="00267B5A"/>
    <w:rsid w:val="0027019D"/>
    <w:rsid w:val="002711E2"/>
    <w:rsid w:val="00273FD7"/>
    <w:rsid w:val="00275AA8"/>
    <w:rsid w:val="00277A82"/>
    <w:rsid w:val="00280366"/>
    <w:rsid w:val="00281072"/>
    <w:rsid w:val="00287846"/>
    <w:rsid w:val="0029344C"/>
    <w:rsid w:val="0029351E"/>
    <w:rsid w:val="0029648E"/>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07AD"/>
    <w:rsid w:val="0033403B"/>
    <w:rsid w:val="0033555C"/>
    <w:rsid w:val="003368AC"/>
    <w:rsid w:val="00341B04"/>
    <w:rsid w:val="00341CAA"/>
    <w:rsid w:val="00343531"/>
    <w:rsid w:val="00346E14"/>
    <w:rsid w:val="003477D1"/>
    <w:rsid w:val="00350E11"/>
    <w:rsid w:val="00350E56"/>
    <w:rsid w:val="00351EC4"/>
    <w:rsid w:val="003527A6"/>
    <w:rsid w:val="00352BEA"/>
    <w:rsid w:val="0035485F"/>
    <w:rsid w:val="003575AE"/>
    <w:rsid w:val="003653D5"/>
    <w:rsid w:val="00365DBA"/>
    <w:rsid w:val="003678F2"/>
    <w:rsid w:val="00367C4C"/>
    <w:rsid w:val="003717F7"/>
    <w:rsid w:val="00372527"/>
    <w:rsid w:val="0037397B"/>
    <w:rsid w:val="00374454"/>
    <w:rsid w:val="003747C3"/>
    <w:rsid w:val="0037587A"/>
    <w:rsid w:val="0037651B"/>
    <w:rsid w:val="003767A7"/>
    <w:rsid w:val="003776C7"/>
    <w:rsid w:val="00381379"/>
    <w:rsid w:val="0038237C"/>
    <w:rsid w:val="0038368E"/>
    <w:rsid w:val="0038703A"/>
    <w:rsid w:val="00391ADC"/>
    <w:rsid w:val="003961B0"/>
    <w:rsid w:val="00396281"/>
    <w:rsid w:val="003969FB"/>
    <w:rsid w:val="00396BDE"/>
    <w:rsid w:val="00396C4C"/>
    <w:rsid w:val="003A1B77"/>
    <w:rsid w:val="003A40D9"/>
    <w:rsid w:val="003A6F7E"/>
    <w:rsid w:val="003B29E8"/>
    <w:rsid w:val="003B2D27"/>
    <w:rsid w:val="003B394F"/>
    <w:rsid w:val="003B6C7F"/>
    <w:rsid w:val="003C1FF9"/>
    <w:rsid w:val="003C48A0"/>
    <w:rsid w:val="003D074C"/>
    <w:rsid w:val="003D0797"/>
    <w:rsid w:val="003D17DA"/>
    <w:rsid w:val="003D416D"/>
    <w:rsid w:val="003D5D3E"/>
    <w:rsid w:val="003E3332"/>
    <w:rsid w:val="003E3751"/>
    <w:rsid w:val="003F17C1"/>
    <w:rsid w:val="003F477A"/>
    <w:rsid w:val="003F595F"/>
    <w:rsid w:val="003F67DC"/>
    <w:rsid w:val="003F72D3"/>
    <w:rsid w:val="00404D0C"/>
    <w:rsid w:val="00405278"/>
    <w:rsid w:val="004056D8"/>
    <w:rsid w:val="00412CBF"/>
    <w:rsid w:val="00421776"/>
    <w:rsid w:val="0042675C"/>
    <w:rsid w:val="00427253"/>
    <w:rsid w:val="004373AF"/>
    <w:rsid w:val="004460C7"/>
    <w:rsid w:val="004507A0"/>
    <w:rsid w:val="00456741"/>
    <w:rsid w:val="00457570"/>
    <w:rsid w:val="004615A4"/>
    <w:rsid w:val="00461D3E"/>
    <w:rsid w:val="00464360"/>
    <w:rsid w:val="00470E53"/>
    <w:rsid w:val="0047338F"/>
    <w:rsid w:val="004746E7"/>
    <w:rsid w:val="004864E4"/>
    <w:rsid w:val="00490F36"/>
    <w:rsid w:val="00490F8C"/>
    <w:rsid w:val="00491F01"/>
    <w:rsid w:val="00491F62"/>
    <w:rsid w:val="004954BD"/>
    <w:rsid w:val="00495807"/>
    <w:rsid w:val="004A118E"/>
    <w:rsid w:val="004A1FAD"/>
    <w:rsid w:val="004A29A7"/>
    <w:rsid w:val="004A699A"/>
    <w:rsid w:val="004B50B8"/>
    <w:rsid w:val="004B54C2"/>
    <w:rsid w:val="004B7D90"/>
    <w:rsid w:val="004C0EEE"/>
    <w:rsid w:val="004C0F25"/>
    <w:rsid w:val="004C1CA5"/>
    <w:rsid w:val="004C4850"/>
    <w:rsid w:val="004D01F4"/>
    <w:rsid w:val="004D065A"/>
    <w:rsid w:val="004E0591"/>
    <w:rsid w:val="004E4545"/>
    <w:rsid w:val="004F1DE8"/>
    <w:rsid w:val="004F35E7"/>
    <w:rsid w:val="004F40A1"/>
    <w:rsid w:val="004F556C"/>
    <w:rsid w:val="00500687"/>
    <w:rsid w:val="00506CD4"/>
    <w:rsid w:val="005105E6"/>
    <w:rsid w:val="00513BE5"/>
    <w:rsid w:val="00514798"/>
    <w:rsid w:val="00516020"/>
    <w:rsid w:val="00516057"/>
    <w:rsid w:val="00517764"/>
    <w:rsid w:val="00521E39"/>
    <w:rsid w:val="00523B17"/>
    <w:rsid w:val="00524009"/>
    <w:rsid w:val="00531AEA"/>
    <w:rsid w:val="00532CD5"/>
    <w:rsid w:val="00534160"/>
    <w:rsid w:val="005356E9"/>
    <w:rsid w:val="0054152E"/>
    <w:rsid w:val="00543716"/>
    <w:rsid w:val="00545D38"/>
    <w:rsid w:val="00550676"/>
    <w:rsid w:val="00551567"/>
    <w:rsid w:val="0055182C"/>
    <w:rsid w:val="00552D46"/>
    <w:rsid w:val="00556823"/>
    <w:rsid w:val="005635AD"/>
    <w:rsid w:val="00564284"/>
    <w:rsid w:val="0056527E"/>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3EB9"/>
    <w:rsid w:val="005A76A2"/>
    <w:rsid w:val="005B06C2"/>
    <w:rsid w:val="005B1146"/>
    <w:rsid w:val="005B31BA"/>
    <w:rsid w:val="005B47E8"/>
    <w:rsid w:val="005C1ACD"/>
    <w:rsid w:val="005C7CC2"/>
    <w:rsid w:val="005D4107"/>
    <w:rsid w:val="005D5A1A"/>
    <w:rsid w:val="005D65CA"/>
    <w:rsid w:val="005E0AE3"/>
    <w:rsid w:val="005E2068"/>
    <w:rsid w:val="005E2995"/>
    <w:rsid w:val="005E631E"/>
    <w:rsid w:val="005F2531"/>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35BA5"/>
    <w:rsid w:val="006368C7"/>
    <w:rsid w:val="0064101C"/>
    <w:rsid w:val="006411B9"/>
    <w:rsid w:val="00644893"/>
    <w:rsid w:val="00644E0C"/>
    <w:rsid w:val="006536A9"/>
    <w:rsid w:val="00653A8F"/>
    <w:rsid w:val="00655631"/>
    <w:rsid w:val="00655AB3"/>
    <w:rsid w:val="0066034F"/>
    <w:rsid w:val="0066339D"/>
    <w:rsid w:val="00663A29"/>
    <w:rsid w:val="00664392"/>
    <w:rsid w:val="00671096"/>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5A25"/>
    <w:rsid w:val="006D7ED2"/>
    <w:rsid w:val="006E3B1E"/>
    <w:rsid w:val="006E5F73"/>
    <w:rsid w:val="006E7D1D"/>
    <w:rsid w:val="006F06D7"/>
    <w:rsid w:val="006F06E5"/>
    <w:rsid w:val="006F22DD"/>
    <w:rsid w:val="006F7354"/>
    <w:rsid w:val="00701B79"/>
    <w:rsid w:val="00712631"/>
    <w:rsid w:val="0072764A"/>
    <w:rsid w:val="00732A1E"/>
    <w:rsid w:val="00734CB1"/>
    <w:rsid w:val="00741437"/>
    <w:rsid w:val="007506CF"/>
    <w:rsid w:val="00760B24"/>
    <w:rsid w:val="00761947"/>
    <w:rsid w:val="007620DC"/>
    <w:rsid w:val="00763240"/>
    <w:rsid w:val="00776421"/>
    <w:rsid w:val="00776577"/>
    <w:rsid w:val="007803F9"/>
    <w:rsid w:val="007814D1"/>
    <w:rsid w:val="00783248"/>
    <w:rsid w:val="00786498"/>
    <w:rsid w:val="00787C36"/>
    <w:rsid w:val="00796138"/>
    <w:rsid w:val="007A2087"/>
    <w:rsid w:val="007A3D13"/>
    <w:rsid w:val="007B3AA3"/>
    <w:rsid w:val="007C2A0A"/>
    <w:rsid w:val="007C50E5"/>
    <w:rsid w:val="007C54FD"/>
    <w:rsid w:val="007D252F"/>
    <w:rsid w:val="007D2A81"/>
    <w:rsid w:val="007D3AB0"/>
    <w:rsid w:val="007D6B1A"/>
    <w:rsid w:val="007F0716"/>
    <w:rsid w:val="007F32CE"/>
    <w:rsid w:val="007F7F8C"/>
    <w:rsid w:val="00800096"/>
    <w:rsid w:val="00801899"/>
    <w:rsid w:val="008074B1"/>
    <w:rsid w:val="00812B87"/>
    <w:rsid w:val="0081338D"/>
    <w:rsid w:val="008219C9"/>
    <w:rsid w:val="00826A87"/>
    <w:rsid w:val="0082780D"/>
    <w:rsid w:val="00827C7F"/>
    <w:rsid w:val="00834F41"/>
    <w:rsid w:val="008351C6"/>
    <w:rsid w:val="008359E6"/>
    <w:rsid w:val="008378ED"/>
    <w:rsid w:val="008419FD"/>
    <w:rsid w:val="0084217F"/>
    <w:rsid w:val="008464F4"/>
    <w:rsid w:val="0084705F"/>
    <w:rsid w:val="0084722C"/>
    <w:rsid w:val="0084749A"/>
    <w:rsid w:val="0085005A"/>
    <w:rsid w:val="008522E8"/>
    <w:rsid w:val="00853E01"/>
    <w:rsid w:val="00855284"/>
    <w:rsid w:val="0085562B"/>
    <w:rsid w:val="00862D63"/>
    <w:rsid w:val="0086423B"/>
    <w:rsid w:val="00872BFA"/>
    <w:rsid w:val="00874C14"/>
    <w:rsid w:val="00874FDE"/>
    <w:rsid w:val="0087572E"/>
    <w:rsid w:val="00875900"/>
    <w:rsid w:val="00876603"/>
    <w:rsid w:val="00880C18"/>
    <w:rsid w:val="008845B5"/>
    <w:rsid w:val="00884AA2"/>
    <w:rsid w:val="0088530C"/>
    <w:rsid w:val="00885EA2"/>
    <w:rsid w:val="00886A97"/>
    <w:rsid w:val="00887C3A"/>
    <w:rsid w:val="00890D7E"/>
    <w:rsid w:val="00893176"/>
    <w:rsid w:val="008A2F6D"/>
    <w:rsid w:val="008B3DC5"/>
    <w:rsid w:val="008B42EC"/>
    <w:rsid w:val="008B6BEA"/>
    <w:rsid w:val="008C10FF"/>
    <w:rsid w:val="008C515D"/>
    <w:rsid w:val="008C6D61"/>
    <w:rsid w:val="008D0623"/>
    <w:rsid w:val="008D4178"/>
    <w:rsid w:val="008D5B0E"/>
    <w:rsid w:val="008E247D"/>
    <w:rsid w:val="008E2ED0"/>
    <w:rsid w:val="008F2042"/>
    <w:rsid w:val="008F39E6"/>
    <w:rsid w:val="008F3B06"/>
    <w:rsid w:val="0091220B"/>
    <w:rsid w:val="009130EB"/>
    <w:rsid w:val="00913156"/>
    <w:rsid w:val="00913973"/>
    <w:rsid w:val="00913AC3"/>
    <w:rsid w:val="0092199D"/>
    <w:rsid w:val="00925C6D"/>
    <w:rsid w:val="00927E53"/>
    <w:rsid w:val="00932BA9"/>
    <w:rsid w:val="009352A2"/>
    <w:rsid w:val="009401EC"/>
    <w:rsid w:val="00940FF0"/>
    <w:rsid w:val="009424F4"/>
    <w:rsid w:val="009442F3"/>
    <w:rsid w:val="00952672"/>
    <w:rsid w:val="00954634"/>
    <w:rsid w:val="00955365"/>
    <w:rsid w:val="00956B4E"/>
    <w:rsid w:val="00957C93"/>
    <w:rsid w:val="00961FB5"/>
    <w:rsid w:val="00962A9C"/>
    <w:rsid w:val="0097006D"/>
    <w:rsid w:val="009717C8"/>
    <w:rsid w:val="00971C15"/>
    <w:rsid w:val="00972B6E"/>
    <w:rsid w:val="00975A1A"/>
    <w:rsid w:val="00976B74"/>
    <w:rsid w:val="009810DF"/>
    <w:rsid w:val="0098111B"/>
    <w:rsid w:val="00985945"/>
    <w:rsid w:val="0099470A"/>
    <w:rsid w:val="009A3286"/>
    <w:rsid w:val="009A3D73"/>
    <w:rsid w:val="009A6AEA"/>
    <w:rsid w:val="009B2978"/>
    <w:rsid w:val="009B6A5F"/>
    <w:rsid w:val="009B7F28"/>
    <w:rsid w:val="009C06F7"/>
    <w:rsid w:val="009C4700"/>
    <w:rsid w:val="009C4A00"/>
    <w:rsid w:val="009D0D79"/>
    <w:rsid w:val="009D1E28"/>
    <w:rsid w:val="009D3060"/>
    <w:rsid w:val="009D42EF"/>
    <w:rsid w:val="009D77C8"/>
    <w:rsid w:val="009E0D42"/>
    <w:rsid w:val="009E792C"/>
    <w:rsid w:val="009F0E19"/>
    <w:rsid w:val="009F1274"/>
    <w:rsid w:val="009F3BA1"/>
    <w:rsid w:val="009F5FB1"/>
    <w:rsid w:val="009F5FDD"/>
    <w:rsid w:val="00A07DBF"/>
    <w:rsid w:val="00A10272"/>
    <w:rsid w:val="00A1398A"/>
    <w:rsid w:val="00A13B3B"/>
    <w:rsid w:val="00A1550E"/>
    <w:rsid w:val="00A202FB"/>
    <w:rsid w:val="00A26188"/>
    <w:rsid w:val="00A313C6"/>
    <w:rsid w:val="00A330EE"/>
    <w:rsid w:val="00A35EEE"/>
    <w:rsid w:val="00A43BE5"/>
    <w:rsid w:val="00A4476A"/>
    <w:rsid w:val="00A565F4"/>
    <w:rsid w:val="00A75119"/>
    <w:rsid w:val="00A77E90"/>
    <w:rsid w:val="00A8054D"/>
    <w:rsid w:val="00A8389E"/>
    <w:rsid w:val="00A86782"/>
    <w:rsid w:val="00A87581"/>
    <w:rsid w:val="00A904B5"/>
    <w:rsid w:val="00A90B4F"/>
    <w:rsid w:val="00A96424"/>
    <w:rsid w:val="00A96B1F"/>
    <w:rsid w:val="00AA2548"/>
    <w:rsid w:val="00AA3DC3"/>
    <w:rsid w:val="00AA3FE2"/>
    <w:rsid w:val="00AA4B25"/>
    <w:rsid w:val="00AB2708"/>
    <w:rsid w:val="00AB2E6E"/>
    <w:rsid w:val="00AB2F3A"/>
    <w:rsid w:val="00AB73D7"/>
    <w:rsid w:val="00AC546D"/>
    <w:rsid w:val="00AD08C0"/>
    <w:rsid w:val="00AD42AB"/>
    <w:rsid w:val="00AD4816"/>
    <w:rsid w:val="00AD5594"/>
    <w:rsid w:val="00AD6A09"/>
    <w:rsid w:val="00AE49CC"/>
    <w:rsid w:val="00AE4D88"/>
    <w:rsid w:val="00AF0B7E"/>
    <w:rsid w:val="00AF23CC"/>
    <w:rsid w:val="00AF2681"/>
    <w:rsid w:val="00AF2A70"/>
    <w:rsid w:val="00AF596B"/>
    <w:rsid w:val="00AF5CA3"/>
    <w:rsid w:val="00B062E8"/>
    <w:rsid w:val="00B12D4D"/>
    <w:rsid w:val="00B139E1"/>
    <w:rsid w:val="00B16220"/>
    <w:rsid w:val="00B236DD"/>
    <w:rsid w:val="00B321BA"/>
    <w:rsid w:val="00B3276C"/>
    <w:rsid w:val="00B34064"/>
    <w:rsid w:val="00B347A2"/>
    <w:rsid w:val="00B36185"/>
    <w:rsid w:val="00B4210D"/>
    <w:rsid w:val="00B42A31"/>
    <w:rsid w:val="00B43F9E"/>
    <w:rsid w:val="00B44449"/>
    <w:rsid w:val="00B44D00"/>
    <w:rsid w:val="00B45345"/>
    <w:rsid w:val="00B4566A"/>
    <w:rsid w:val="00B50996"/>
    <w:rsid w:val="00B53E93"/>
    <w:rsid w:val="00B540DA"/>
    <w:rsid w:val="00B5624B"/>
    <w:rsid w:val="00B6347E"/>
    <w:rsid w:val="00B65A06"/>
    <w:rsid w:val="00B668B9"/>
    <w:rsid w:val="00B675E9"/>
    <w:rsid w:val="00B71500"/>
    <w:rsid w:val="00B83A1A"/>
    <w:rsid w:val="00B84323"/>
    <w:rsid w:val="00B85640"/>
    <w:rsid w:val="00B909A2"/>
    <w:rsid w:val="00B931E7"/>
    <w:rsid w:val="00B93F48"/>
    <w:rsid w:val="00B9419E"/>
    <w:rsid w:val="00B942F3"/>
    <w:rsid w:val="00B96159"/>
    <w:rsid w:val="00BA1BEE"/>
    <w:rsid w:val="00BB3007"/>
    <w:rsid w:val="00BB3491"/>
    <w:rsid w:val="00BB680D"/>
    <w:rsid w:val="00BC2064"/>
    <w:rsid w:val="00BD05D4"/>
    <w:rsid w:val="00BD2B02"/>
    <w:rsid w:val="00BD3674"/>
    <w:rsid w:val="00BD3A38"/>
    <w:rsid w:val="00BE3C2D"/>
    <w:rsid w:val="00BE4503"/>
    <w:rsid w:val="00BE45FB"/>
    <w:rsid w:val="00BE6D17"/>
    <w:rsid w:val="00BF4E5A"/>
    <w:rsid w:val="00C0094F"/>
    <w:rsid w:val="00C043BF"/>
    <w:rsid w:val="00C14274"/>
    <w:rsid w:val="00C14B2B"/>
    <w:rsid w:val="00C159B4"/>
    <w:rsid w:val="00C16FAD"/>
    <w:rsid w:val="00C2056D"/>
    <w:rsid w:val="00C26DB6"/>
    <w:rsid w:val="00C302E5"/>
    <w:rsid w:val="00C304D5"/>
    <w:rsid w:val="00C3768D"/>
    <w:rsid w:val="00C378CF"/>
    <w:rsid w:val="00C437B0"/>
    <w:rsid w:val="00C45554"/>
    <w:rsid w:val="00C47A65"/>
    <w:rsid w:val="00C52A50"/>
    <w:rsid w:val="00C61143"/>
    <w:rsid w:val="00C617D8"/>
    <w:rsid w:val="00C617DE"/>
    <w:rsid w:val="00C63A10"/>
    <w:rsid w:val="00C64E05"/>
    <w:rsid w:val="00C6636B"/>
    <w:rsid w:val="00C67593"/>
    <w:rsid w:val="00C72475"/>
    <w:rsid w:val="00C75004"/>
    <w:rsid w:val="00C776AC"/>
    <w:rsid w:val="00C863E6"/>
    <w:rsid w:val="00C90DB1"/>
    <w:rsid w:val="00C9766A"/>
    <w:rsid w:val="00CA38B5"/>
    <w:rsid w:val="00CA5821"/>
    <w:rsid w:val="00CA717F"/>
    <w:rsid w:val="00CB0ACE"/>
    <w:rsid w:val="00CB4E31"/>
    <w:rsid w:val="00CB553C"/>
    <w:rsid w:val="00CB5879"/>
    <w:rsid w:val="00CD312F"/>
    <w:rsid w:val="00CE0FA9"/>
    <w:rsid w:val="00CE3EA7"/>
    <w:rsid w:val="00CE5EE1"/>
    <w:rsid w:val="00CE6A33"/>
    <w:rsid w:val="00CF5D08"/>
    <w:rsid w:val="00D027BE"/>
    <w:rsid w:val="00D16E8F"/>
    <w:rsid w:val="00D21A3F"/>
    <w:rsid w:val="00D31697"/>
    <w:rsid w:val="00D34B5C"/>
    <w:rsid w:val="00D35E1C"/>
    <w:rsid w:val="00D40942"/>
    <w:rsid w:val="00D47524"/>
    <w:rsid w:val="00D53B28"/>
    <w:rsid w:val="00D55663"/>
    <w:rsid w:val="00D56577"/>
    <w:rsid w:val="00D64A14"/>
    <w:rsid w:val="00D66A12"/>
    <w:rsid w:val="00D708AE"/>
    <w:rsid w:val="00D74019"/>
    <w:rsid w:val="00D74982"/>
    <w:rsid w:val="00D75E60"/>
    <w:rsid w:val="00D76668"/>
    <w:rsid w:val="00D8094F"/>
    <w:rsid w:val="00D81AE9"/>
    <w:rsid w:val="00D81F89"/>
    <w:rsid w:val="00D84105"/>
    <w:rsid w:val="00D90229"/>
    <w:rsid w:val="00D928FE"/>
    <w:rsid w:val="00D94197"/>
    <w:rsid w:val="00D97C48"/>
    <w:rsid w:val="00DA0094"/>
    <w:rsid w:val="00DA3048"/>
    <w:rsid w:val="00DB2EED"/>
    <w:rsid w:val="00DB398F"/>
    <w:rsid w:val="00DC0073"/>
    <w:rsid w:val="00DC0125"/>
    <w:rsid w:val="00DC1140"/>
    <w:rsid w:val="00DC3694"/>
    <w:rsid w:val="00DD19B2"/>
    <w:rsid w:val="00DD780E"/>
    <w:rsid w:val="00DE10FC"/>
    <w:rsid w:val="00DE3CD8"/>
    <w:rsid w:val="00DF00E8"/>
    <w:rsid w:val="00DF3743"/>
    <w:rsid w:val="00DF3A7B"/>
    <w:rsid w:val="00DF53F7"/>
    <w:rsid w:val="00E00EC0"/>
    <w:rsid w:val="00E0212D"/>
    <w:rsid w:val="00E02FA8"/>
    <w:rsid w:val="00E0389D"/>
    <w:rsid w:val="00E041F5"/>
    <w:rsid w:val="00E06AD0"/>
    <w:rsid w:val="00E06FCA"/>
    <w:rsid w:val="00E0718E"/>
    <w:rsid w:val="00E13470"/>
    <w:rsid w:val="00E2187A"/>
    <w:rsid w:val="00E26383"/>
    <w:rsid w:val="00E27169"/>
    <w:rsid w:val="00E32F1E"/>
    <w:rsid w:val="00E37A25"/>
    <w:rsid w:val="00E40C30"/>
    <w:rsid w:val="00E41EC8"/>
    <w:rsid w:val="00E436AC"/>
    <w:rsid w:val="00E51330"/>
    <w:rsid w:val="00E534C7"/>
    <w:rsid w:val="00E57A93"/>
    <w:rsid w:val="00E6271C"/>
    <w:rsid w:val="00E640F7"/>
    <w:rsid w:val="00E70488"/>
    <w:rsid w:val="00E75623"/>
    <w:rsid w:val="00E76128"/>
    <w:rsid w:val="00E83B2C"/>
    <w:rsid w:val="00E84575"/>
    <w:rsid w:val="00E9648C"/>
    <w:rsid w:val="00EA0429"/>
    <w:rsid w:val="00EA3F12"/>
    <w:rsid w:val="00EB113B"/>
    <w:rsid w:val="00EB119E"/>
    <w:rsid w:val="00EB38E8"/>
    <w:rsid w:val="00EB51EA"/>
    <w:rsid w:val="00EC0531"/>
    <w:rsid w:val="00EC417F"/>
    <w:rsid w:val="00EC4EA7"/>
    <w:rsid w:val="00EC7A1C"/>
    <w:rsid w:val="00ED29A2"/>
    <w:rsid w:val="00ED47B1"/>
    <w:rsid w:val="00EE1D7E"/>
    <w:rsid w:val="00EE5A68"/>
    <w:rsid w:val="00EF255B"/>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5FD2"/>
    <w:rsid w:val="00F36D33"/>
    <w:rsid w:val="00F36DC3"/>
    <w:rsid w:val="00F41E99"/>
    <w:rsid w:val="00F44968"/>
    <w:rsid w:val="00F47317"/>
    <w:rsid w:val="00F47E1F"/>
    <w:rsid w:val="00F50D9C"/>
    <w:rsid w:val="00F5537D"/>
    <w:rsid w:val="00F612C7"/>
    <w:rsid w:val="00F64422"/>
    <w:rsid w:val="00F65D71"/>
    <w:rsid w:val="00F7386D"/>
    <w:rsid w:val="00F73BD9"/>
    <w:rsid w:val="00F772A3"/>
    <w:rsid w:val="00F80AE4"/>
    <w:rsid w:val="00F8440E"/>
    <w:rsid w:val="00F87EFB"/>
    <w:rsid w:val="00F90127"/>
    <w:rsid w:val="00F9279B"/>
    <w:rsid w:val="00F93150"/>
    <w:rsid w:val="00F944D9"/>
    <w:rsid w:val="00FB06B9"/>
    <w:rsid w:val="00FB256A"/>
    <w:rsid w:val="00FB3E3F"/>
    <w:rsid w:val="00FB4240"/>
    <w:rsid w:val="00FB611F"/>
    <w:rsid w:val="00FC07F2"/>
    <w:rsid w:val="00FC1BED"/>
    <w:rsid w:val="00FC4FF3"/>
    <w:rsid w:val="00FD4B0C"/>
    <w:rsid w:val="00FD6A57"/>
    <w:rsid w:val="00FD7A6C"/>
    <w:rsid w:val="00FE0C9E"/>
    <w:rsid w:val="00FE6638"/>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E636CE47-F7DE-4072-9D8F-D10DD080B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qFormat/>
    <w:rPr>
      <w:rFonts w:eastAsia="黑体"/>
      <w:b/>
      <w:bCs/>
      <w:kern w:val="44"/>
      <w:sz w:val="44"/>
      <w:szCs w:val="44"/>
      <w:lang w:val="en-US" w:eastAsia="zh-CN" w:bidi="ar-SA"/>
    </w:rPr>
  </w:style>
  <w:style w:type="character" w:customStyle="1" w:styleId="MTDisplayEquationChar">
    <w:name w:val="MTDisplayEquation Char"/>
    <w:link w:val="MTDisplayEquation"/>
    <w:qFormat/>
    <w:rsid w:val="00D47524"/>
    <w:rPr>
      <w:kern w:val="2"/>
      <w:sz w:val="24"/>
      <w:szCs w:val="22"/>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rsid w:val="00D47524"/>
    <w:pPr>
      <w:tabs>
        <w:tab w:val="center" w:pos="2200"/>
        <w:tab w:val="right" w:pos="44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 w:type="character" w:styleId="aff1">
    <w:name w:val="Placeholder Text"/>
    <w:basedOn w:val="a1"/>
    <w:uiPriority w:val="99"/>
    <w:unhideWhenUsed/>
    <w:rsid w:val="00D47524"/>
    <w:rPr>
      <w:color w:val="666666"/>
    </w:rPr>
  </w:style>
  <w:style w:type="paragraph" w:customStyle="1" w:styleId="aff2">
    <w:name w:val="表中文字"/>
    <w:basedOn w:val="afb"/>
    <w:link w:val="aff3"/>
    <w:qFormat/>
    <w:rsid w:val="00B71500"/>
    <w:pPr>
      <w:spacing w:line="240" w:lineRule="auto"/>
    </w:pPr>
  </w:style>
  <w:style w:type="character" w:customStyle="1" w:styleId="aff3">
    <w:name w:val="表中文字 字符"/>
    <w:basedOn w:val="afc"/>
    <w:link w:val="aff2"/>
    <w:rsid w:val="00B71500"/>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wmf"/><Relationship Id="rId21" Type="http://schemas.openxmlformats.org/officeDocument/2006/relationships/oleObject" Target="embeddings/oleObject5.bin"/><Relationship Id="rId42" Type="http://schemas.openxmlformats.org/officeDocument/2006/relationships/image" Target="media/image17.wmf"/><Relationship Id="rId63" Type="http://schemas.openxmlformats.org/officeDocument/2006/relationships/image" Target="media/image28.wmf"/><Relationship Id="rId84" Type="http://schemas.openxmlformats.org/officeDocument/2006/relationships/oleObject" Target="embeddings/oleObject36.bin"/><Relationship Id="rId138" Type="http://schemas.openxmlformats.org/officeDocument/2006/relationships/oleObject" Target="embeddings/oleObject63.bin"/><Relationship Id="rId159" Type="http://schemas.openxmlformats.org/officeDocument/2006/relationships/image" Target="media/image76.wmf"/><Relationship Id="rId170" Type="http://schemas.openxmlformats.org/officeDocument/2006/relationships/oleObject" Target="embeddings/oleObject79.bin"/><Relationship Id="rId191" Type="http://schemas.openxmlformats.org/officeDocument/2006/relationships/image" Target="media/image92.wmf"/><Relationship Id="rId205" Type="http://schemas.openxmlformats.org/officeDocument/2006/relationships/image" Target="media/image99.wmf"/><Relationship Id="rId226" Type="http://schemas.openxmlformats.org/officeDocument/2006/relationships/oleObject" Target="embeddings/oleObject107.bin"/><Relationship Id="rId247" Type="http://schemas.openxmlformats.org/officeDocument/2006/relationships/image" Target="media/image125.png"/><Relationship Id="rId107" Type="http://schemas.openxmlformats.org/officeDocument/2006/relationships/image" Target="media/image50.wmf"/><Relationship Id="rId11" Type="http://schemas.openxmlformats.org/officeDocument/2006/relationships/image" Target="media/image1.png"/><Relationship Id="rId32" Type="http://schemas.openxmlformats.org/officeDocument/2006/relationships/image" Target="media/image12.wmf"/><Relationship Id="rId53" Type="http://schemas.openxmlformats.org/officeDocument/2006/relationships/image" Target="media/image23.wmf"/><Relationship Id="rId74" Type="http://schemas.openxmlformats.org/officeDocument/2006/relationships/oleObject" Target="embeddings/oleObject31.bin"/><Relationship Id="rId128" Type="http://schemas.openxmlformats.org/officeDocument/2006/relationships/oleObject" Target="embeddings/oleObject58.bin"/><Relationship Id="rId149" Type="http://schemas.openxmlformats.org/officeDocument/2006/relationships/image" Target="media/image71.wmf"/><Relationship Id="rId5" Type="http://schemas.openxmlformats.org/officeDocument/2006/relationships/webSettings" Target="webSettings.xml"/><Relationship Id="rId95" Type="http://schemas.openxmlformats.org/officeDocument/2006/relationships/image" Target="media/image44.wmf"/><Relationship Id="rId160" Type="http://schemas.openxmlformats.org/officeDocument/2006/relationships/oleObject" Target="embeddings/oleObject74.bin"/><Relationship Id="rId181" Type="http://schemas.openxmlformats.org/officeDocument/2006/relationships/image" Target="media/image87.wmf"/><Relationship Id="rId216" Type="http://schemas.openxmlformats.org/officeDocument/2006/relationships/oleObject" Target="embeddings/oleObject102.bin"/><Relationship Id="rId237" Type="http://schemas.openxmlformats.org/officeDocument/2006/relationships/image" Target="media/image115.png"/><Relationship Id="rId22" Type="http://schemas.openxmlformats.org/officeDocument/2006/relationships/image" Target="media/image7.wmf"/><Relationship Id="rId43" Type="http://schemas.openxmlformats.org/officeDocument/2006/relationships/oleObject" Target="embeddings/oleObject16.bin"/><Relationship Id="rId64" Type="http://schemas.openxmlformats.org/officeDocument/2006/relationships/oleObject" Target="embeddings/oleObject26.bin"/><Relationship Id="rId118" Type="http://schemas.openxmlformats.org/officeDocument/2006/relationships/oleObject" Target="embeddings/oleObject53.bin"/><Relationship Id="rId139" Type="http://schemas.openxmlformats.org/officeDocument/2006/relationships/image" Target="media/image66.wmf"/><Relationship Id="rId85" Type="http://schemas.openxmlformats.org/officeDocument/2006/relationships/image" Target="media/image39.wmf"/><Relationship Id="rId150" Type="http://schemas.openxmlformats.org/officeDocument/2006/relationships/oleObject" Target="embeddings/oleObject69.bin"/><Relationship Id="rId171" Type="http://schemas.openxmlformats.org/officeDocument/2006/relationships/image" Target="media/image82.wmf"/><Relationship Id="rId192" Type="http://schemas.openxmlformats.org/officeDocument/2006/relationships/oleObject" Target="embeddings/oleObject90.bin"/><Relationship Id="rId206" Type="http://schemas.openxmlformats.org/officeDocument/2006/relationships/oleObject" Target="embeddings/oleObject97.bin"/><Relationship Id="rId227" Type="http://schemas.openxmlformats.org/officeDocument/2006/relationships/image" Target="media/image110.wmf"/><Relationship Id="rId248" Type="http://schemas.openxmlformats.org/officeDocument/2006/relationships/image" Target="media/image126.png"/><Relationship Id="rId12" Type="http://schemas.openxmlformats.org/officeDocument/2006/relationships/image" Target="media/image2.wmf"/><Relationship Id="rId33" Type="http://schemas.openxmlformats.org/officeDocument/2006/relationships/oleObject" Target="embeddings/oleObject11.bin"/><Relationship Id="rId108" Type="http://schemas.openxmlformats.org/officeDocument/2006/relationships/oleObject" Target="embeddings/oleObject48.bin"/><Relationship Id="rId129" Type="http://schemas.openxmlformats.org/officeDocument/2006/relationships/image" Target="media/image61.wmf"/><Relationship Id="rId54" Type="http://schemas.openxmlformats.org/officeDocument/2006/relationships/oleObject" Target="embeddings/oleObject21.bin"/><Relationship Id="rId75" Type="http://schemas.openxmlformats.org/officeDocument/2006/relationships/image" Target="media/image34.wmf"/><Relationship Id="rId96" Type="http://schemas.openxmlformats.org/officeDocument/2006/relationships/oleObject" Target="embeddings/oleObject42.bin"/><Relationship Id="rId140" Type="http://schemas.openxmlformats.org/officeDocument/2006/relationships/oleObject" Target="embeddings/oleObject64.bin"/><Relationship Id="rId161" Type="http://schemas.openxmlformats.org/officeDocument/2006/relationships/image" Target="media/image77.wmf"/><Relationship Id="rId182" Type="http://schemas.openxmlformats.org/officeDocument/2006/relationships/oleObject" Target="embeddings/oleObject85.bin"/><Relationship Id="rId217" Type="http://schemas.openxmlformats.org/officeDocument/2006/relationships/image" Target="media/image105.wmf"/><Relationship Id="rId6" Type="http://schemas.openxmlformats.org/officeDocument/2006/relationships/footnotes" Target="footnotes.xml"/><Relationship Id="rId238" Type="http://schemas.openxmlformats.org/officeDocument/2006/relationships/image" Target="media/image116.png"/><Relationship Id="rId23" Type="http://schemas.openxmlformats.org/officeDocument/2006/relationships/oleObject" Target="embeddings/oleObject6.bin"/><Relationship Id="rId119" Type="http://schemas.openxmlformats.org/officeDocument/2006/relationships/image" Target="media/image56.wmf"/><Relationship Id="rId44" Type="http://schemas.openxmlformats.org/officeDocument/2006/relationships/image" Target="media/image18.wmf"/><Relationship Id="rId65" Type="http://schemas.openxmlformats.org/officeDocument/2006/relationships/image" Target="media/image29.wmf"/><Relationship Id="rId86" Type="http://schemas.openxmlformats.org/officeDocument/2006/relationships/oleObject" Target="embeddings/oleObject37.bin"/><Relationship Id="rId130" Type="http://schemas.openxmlformats.org/officeDocument/2006/relationships/oleObject" Target="embeddings/oleObject59.bin"/><Relationship Id="rId151" Type="http://schemas.openxmlformats.org/officeDocument/2006/relationships/image" Target="media/image72.wmf"/><Relationship Id="rId172" Type="http://schemas.openxmlformats.org/officeDocument/2006/relationships/oleObject" Target="embeddings/oleObject80.bin"/><Relationship Id="rId193" Type="http://schemas.openxmlformats.org/officeDocument/2006/relationships/image" Target="media/image93.wmf"/><Relationship Id="rId207" Type="http://schemas.openxmlformats.org/officeDocument/2006/relationships/image" Target="media/image100.wmf"/><Relationship Id="rId228" Type="http://schemas.openxmlformats.org/officeDocument/2006/relationships/oleObject" Target="embeddings/oleObject108.bin"/><Relationship Id="rId249" Type="http://schemas.openxmlformats.org/officeDocument/2006/relationships/image" Target="media/image127.png"/><Relationship Id="rId13" Type="http://schemas.openxmlformats.org/officeDocument/2006/relationships/oleObject" Target="embeddings/oleObject1.bin"/><Relationship Id="rId109" Type="http://schemas.openxmlformats.org/officeDocument/2006/relationships/image" Target="media/image51.wmf"/><Relationship Id="rId34" Type="http://schemas.openxmlformats.org/officeDocument/2006/relationships/image" Target="media/image13.wmf"/><Relationship Id="rId55" Type="http://schemas.openxmlformats.org/officeDocument/2006/relationships/image" Target="media/image24.wmf"/><Relationship Id="rId76" Type="http://schemas.openxmlformats.org/officeDocument/2006/relationships/oleObject" Target="embeddings/oleObject32.bin"/><Relationship Id="rId97" Type="http://schemas.openxmlformats.org/officeDocument/2006/relationships/image" Target="media/image45.wmf"/><Relationship Id="rId120" Type="http://schemas.openxmlformats.org/officeDocument/2006/relationships/oleObject" Target="embeddings/oleObject54.bin"/><Relationship Id="rId141" Type="http://schemas.openxmlformats.org/officeDocument/2006/relationships/image" Target="media/image67.wmf"/><Relationship Id="rId7" Type="http://schemas.openxmlformats.org/officeDocument/2006/relationships/endnotes" Target="endnotes.xml"/><Relationship Id="rId162" Type="http://schemas.openxmlformats.org/officeDocument/2006/relationships/oleObject" Target="embeddings/oleObject75.bin"/><Relationship Id="rId183" Type="http://schemas.openxmlformats.org/officeDocument/2006/relationships/image" Target="media/image88.wmf"/><Relationship Id="rId218" Type="http://schemas.openxmlformats.org/officeDocument/2006/relationships/oleObject" Target="embeddings/oleObject103.bin"/><Relationship Id="rId239" Type="http://schemas.openxmlformats.org/officeDocument/2006/relationships/image" Target="media/image117.png"/><Relationship Id="rId250" Type="http://schemas.openxmlformats.org/officeDocument/2006/relationships/fontTable" Target="fontTable.xml"/><Relationship Id="rId24" Type="http://schemas.openxmlformats.org/officeDocument/2006/relationships/image" Target="media/image8.wmf"/><Relationship Id="rId45" Type="http://schemas.openxmlformats.org/officeDocument/2006/relationships/oleObject" Target="embeddings/oleObject17.bin"/><Relationship Id="rId66" Type="http://schemas.openxmlformats.org/officeDocument/2006/relationships/oleObject" Target="embeddings/oleObject27.bin"/><Relationship Id="rId87" Type="http://schemas.openxmlformats.org/officeDocument/2006/relationships/image" Target="media/image40.wmf"/><Relationship Id="rId110" Type="http://schemas.openxmlformats.org/officeDocument/2006/relationships/oleObject" Target="embeddings/oleObject49.bin"/><Relationship Id="rId131" Type="http://schemas.openxmlformats.org/officeDocument/2006/relationships/image" Target="media/image62.wmf"/><Relationship Id="rId152" Type="http://schemas.openxmlformats.org/officeDocument/2006/relationships/oleObject" Target="embeddings/oleObject70.bin"/><Relationship Id="rId173" Type="http://schemas.openxmlformats.org/officeDocument/2006/relationships/image" Target="media/image83.wmf"/><Relationship Id="rId194" Type="http://schemas.openxmlformats.org/officeDocument/2006/relationships/oleObject" Target="embeddings/oleObject91.bin"/><Relationship Id="rId208" Type="http://schemas.openxmlformats.org/officeDocument/2006/relationships/oleObject" Target="embeddings/oleObject98.bin"/><Relationship Id="rId229" Type="http://schemas.openxmlformats.org/officeDocument/2006/relationships/image" Target="media/image111.wmf"/><Relationship Id="rId240" Type="http://schemas.openxmlformats.org/officeDocument/2006/relationships/image" Target="media/image118.png"/><Relationship Id="rId14" Type="http://schemas.openxmlformats.org/officeDocument/2006/relationships/image" Target="media/image3.wmf"/><Relationship Id="rId35" Type="http://schemas.openxmlformats.org/officeDocument/2006/relationships/oleObject" Target="embeddings/oleObject12.bin"/><Relationship Id="rId56" Type="http://schemas.openxmlformats.org/officeDocument/2006/relationships/oleObject" Target="embeddings/oleObject22.bin"/><Relationship Id="rId77" Type="http://schemas.openxmlformats.org/officeDocument/2006/relationships/image" Target="media/image35.wmf"/><Relationship Id="rId100" Type="http://schemas.openxmlformats.org/officeDocument/2006/relationships/oleObject" Target="embeddings/oleObject44.bin"/><Relationship Id="rId8" Type="http://schemas.openxmlformats.org/officeDocument/2006/relationships/header" Target="header1.xml"/><Relationship Id="rId98" Type="http://schemas.openxmlformats.org/officeDocument/2006/relationships/oleObject" Target="embeddings/oleObject43.bin"/><Relationship Id="rId121" Type="http://schemas.openxmlformats.org/officeDocument/2006/relationships/image" Target="media/image57.wmf"/><Relationship Id="rId142" Type="http://schemas.openxmlformats.org/officeDocument/2006/relationships/oleObject" Target="embeddings/oleObject65.bin"/><Relationship Id="rId163" Type="http://schemas.openxmlformats.org/officeDocument/2006/relationships/image" Target="media/image78.wmf"/><Relationship Id="rId184" Type="http://schemas.openxmlformats.org/officeDocument/2006/relationships/oleObject" Target="embeddings/oleObject86.bin"/><Relationship Id="rId219" Type="http://schemas.openxmlformats.org/officeDocument/2006/relationships/image" Target="media/image106.wmf"/><Relationship Id="rId230" Type="http://schemas.openxmlformats.org/officeDocument/2006/relationships/oleObject" Target="embeddings/oleObject109.bin"/><Relationship Id="rId251" Type="http://schemas.openxmlformats.org/officeDocument/2006/relationships/theme" Target="theme/theme1.xml"/><Relationship Id="rId25" Type="http://schemas.openxmlformats.org/officeDocument/2006/relationships/oleObject" Target="embeddings/oleObject7.bin"/><Relationship Id="rId46" Type="http://schemas.openxmlformats.org/officeDocument/2006/relationships/image" Target="media/image19.png"/><Relationship Id="rId67" Type="http://schemas.openxmlformats.org/officeDocument/2006/relationships/image" Target="media/image30.wmf"/><Relationship Id="rId88" Type="http://schemas.openxmlformats.org/officeDocument/2006/relationships/oleObject" Target="embeddings/oleObject38.bin"/><Relationship Id="rId111" Type="http://schemas.openxmlformats.org/officeDocument/2006/relationships/image" Target="media/image52.wmf"/><Relationship Id="rId132" Type="http://schemas.openxmlformats.org/officeDocument/2006/relationships/oleObject" Target="embeddings/oleObject60.bin"/><Relationship Id="rId153" Type="http://schemas.openxmlformats.org/officeDocument/2006/relationships/image" Target="media/image73.wmf"/><Relationship Id="rId174" Type="http://schemas.openxmlformats.org/officeDocument/2006/relationships/oleObject" Target="embeddings/oleObject81.bin"/><Relationship Id="rId195" Type="http://schemas.openxmlformats.org/officeDocument/2006/relationships/image" Target="media/image94.wmf"/><Relationship Id="rId209" Type="http://schemas.openxmlformats.org/officeDocument/2006/relationships/image" Target="media/image101.wmf"/><Relationship Id="rId220" Type="http://schemas.openxmlformats.org/officeDocument/2006/relationships/oleObject" Target="embeddings/oleObject104.bin"/><Relationship Id="rId241" Type="http://schemas.openxmlformats.org/officeDocument/2006/relationships/image" Target="media/image119.png"/><Relationship Id="rId15" Type="http://schemas.openxmlformats.org/officeDocument/2006/relationships/oleObject" Target="embeddings/oleObject2.bin"/><Relationship Id="rId36" Type="http://schemas.openxmlformats.org/officeDocument/2006/relationships/image" Target="media/image14.wmf"/><Relationship Id="rId57" Type="http://schemas.openxmlformats.org/officeDocument/2006/relationships/image" Target="media/image25.wmf"/><Relationship Id="rId78" Type="http://schemas.openxmlformats.org/officeDocument/2006/relationships/oleObject" Target="embeddings/oleObject33.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oleObject" Target="embeddings/oleObject55.bin"/><Relationship Id="rId143" Type="http://schemas.openxmlformats.org/officeDocument/2006/relationships/image" Target="media/image68.wmf"/><Relationship Id="rId164" Type="http://schemas.openxmlformats.org/officeDocument/2006/relationships/oleObject" Target="embeddings/oleObject76.bin"/><Relationship Id="rId185" Type="http://schemas.openxmlformats.org/officeDocument/2006/relationships/image" Target="media/image89.wmf"/><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oleObject" Target="embeddings/oleObject84.bin"/><Relationship Id="rId210" Type="http://schemas.openxmlformats.org/officeDocument/2006/relationships/oleObject" Target="embeddings/oleObject99.bin"/><Relationship Id="rId215" Type="http://schemas.openxmlformats.org/officeDocument/2006/relationships/image" Target="media/image104.wmf"/><Relationship Id="rId236" Type="http://schemas.openxmlformats.org/officeDocument/2006/relationships/oleObject" Target="embeddings/oleObject112.bin"/><Relationship Id="rId26" Type="http://schemas.openxmlformats.org/officeDocument/2006/relationships/image" Target="media/image9.wmf"/><Relationship Id="rId231" Type="http://schemas.openxmlformats.org/officeDocument/2006/relationships/image" Target="media/image112.wmf"/><Relationship Id="rId47" Type="http://schemas.openxmlformats.org/officeDocument/2006/relationships/image" Target="media/image20.wmf"/><Relationship Id="rId68" Type="http://schemas.openxmlformats.org/officeDocument/2006/relationships/oleObject" Target="embeddings/oleObject28.bin"/><Relationship Id="rId89" Type="http://schemas.openxmlformats.org/officeDocument/2006/relationships/image" Target="media/image41.wmf"/><Relationship Id="rId112" Type="http://schemas.openxmlformats.org/officeDocument/2006/relationships/oleObject" Target="embeddings/oleObject50.bin"/><Relationship Id="rId133" Type="http://schemas.openxmlformats.org/officeDocument/2006/relationships/image" Target="media/image63.wmf"/><Relationship Id="rId154" Type="http://schemas.openxmlformats.org/officeDocument/2006/relationships/oleObject" Target="embeddings/oleObject71.bin"/><Relationship Id="rId175" Type="http://schemas.openxmlformats.org/officeDocument/2006/relationships/image" Target="media/image84.wmf"/><Relationship Id="rId196" Type="http://schemas.openxmlformats.org/officeDocument/2006/relationships/oleObject" Target="embeddings/oleObject92.bin"/><Relationship Id="rId200" Type="http://schemas.openxmlformats.org/officeDocument/2006/relationships/oleObject" Target="embeddings/oleObject94.bin"/><Relationship Id="rId16" Type="http://schemas.openxmlformats.org/officeDocument/2006/relationships/image" Target="media/image4.wmf"/><Relationship Id="rId221" Type="http://schemas.openxmlformats.org/officeDocument/2006/relationships/image" Target="media/image107.wmf"/><Relationship Id="rId242" Type="http://schemas.openxmlformats.org/officeDocument/2006/relationships/image" Target="media/image120.png"/><Relationship Id="rId37" Type="http://schemas.openxmlformats.org/officeDocument/2006/relationships/oleObject" Target="embeddings/oleObject13.bin"/><Relationship Id="rId58" Type="http://schemas.openxmlformats.org/officeDocument/2006/relationships/oleObject" Target="embeddings/oleObject23.bin"/><Relationship Id="rId79" Type="http://schemas.openxmlformats.org/officeDocument/2006/relationships/image" Target="media/image36.wmf"/><Relationship Id="rId102" Type="http://schemas.openxmlformats.org/officeDocument/2006/relationships/oleObject" Target="embeddings/oleObject45.bin"/><Relationship Id="rId123" Type="http://schemas.openxmlformats.org/officeDocument/2006/relationships/image" Target="media/image58.wmf"/><Relationship Id="rId144" Type="http://schemas.openxmlformats.org/officeDocument/2006/relationships/oleObject" Target="embeddings/oleObject66.bin"/><Relationship Id="rId90" Type="http://schemas.openxmlformats.org/officeDocument/2006/relationships/oleObject" Target="embeddings/oleObject39.bin"/><Relationship Id="rId165" Type="http://schemas.openxmlformats.org/officeDocument/2006/relationships/image" Target="media/image79.wmf"/><Relationship Id="rId186" Type="http://schemas.openxmlformats.org/officeDocument/2006/relationships/oleObject" Target="embeddings/oleObject87.bin"/><Relationship Id="rId211" Type="http://schemas.openxmlformats.org/officeDocument/2006/relationships/image" Target="media/image102.wmf"/><Relationship Id="rId232" Type="http://schemas.openxmlformats.org/officeDocument/2006/relationships/oleObject" Target="embeddings/oleObject110.bin"/><Relationship Id="rId27" Type="http://schemas.openxmlformats.org/officeDocument/2006/relationships/oleObject" Target="embeddings/oleObject8.bin"/><Relationship Id="rId48" Type="http://schemas.openxmlformats.org/officeDocument/2006/relationships/oleObject" Target="embeddings/oleObject18.bin"/><Relationship Id="rId69" Type="http://schemas.openxmlformats.org/officeDocument/2006/relationships/image" Target="media/image31.wmf"/><Relationship Id="rId113" Type="http://schemas.openxmlformats.org/officeDocument/2006/relationships/image" Target="media/image53.wmf"/><Relationship Id="rId134" Type="http://schemas.openxmlformats.org/officeDocument/2006/relationships/oleObject" Target="embeddings/oleObject61.bin"/><Relationship Id="rId80" Type="http://schemas.openxmlformats.org/officeDocument/2006/relationships/oleObject" Target="embeddings/oleObject34.bin"/><Relationship Id="rId155" Type="http://schemas.openxmlformats.org/officeDocument/2006/relationships/image" Target="media/image74.wmf"/><Relationship Id="rId176" Type="http://schemas.openxmlformats.org/officeDocument/2006/relationships/oleObject" Target="embeddings/oleObject82.bin"/><Relationship Id="rId197" Type="http://schemas.openxmlformats.org/officeDocument/2006/relationships/image" Target="media/image95.wmf"/><Relationship Id="rId201" Type="http://schemas.openxmlformats.org/officeDocument/2006/relationships/image" Target="media/image97.wmf"/><Relationship Id="rId222" Type="http://schemas.openxmlformats.org/officeDocument/2006/relationships/oleObject" Target="embeddings/oleObject105.bin"/><Relationship Id="rId243" Type="http://schemas.openxmlformats.org/officeDocument/2006/relationships/image" Target="media/image121.png"/><Relationship Id="rId17" Type="http://schemas.openxmlformats.org/officeDocument/2006/relationships/oleObject" Target="embeddings/oleObject3.bin"/><Relationship Id="rId38" Type="http://schemas.openxmlformats.org/officeDocument/2006/relationships/image" Target="media/image15.wmf"/><Relationship Id="rId59" Type="http://schemas.openxmlformats.org/officeDocument/2006/relationships/image" Target="media/image26.wmf"/><Relationship Id="rId103" Type="http://schemas.openxmlformats.org/officeDocument/2006/relationships/image" Target="media/image48.wmf"/><Relationship Id="rId124" Type="http://schemas.openxmlformats.org/officeDocument/2006/relationships/oleObject" Target="embeddings/oleObject56.bin"/><Relationship Id="rId70" Type="http://schemas.openxmlformats.org/officeDocument/2006/relationships/oleObject" Target="embeddings/oleObject29.bin"/><Relationship Id="rId91" Type="http://schemas.openxmlformats.org/officeDocument/2006/relationships/image" Target="media/image42.wmf"/><Relationship Id="rId145" Type="http://schemas.openxmlformats.org/officeDocument/2006/relationships/image" Target="media/image69.wmf"/><Relationship Id="rId166" Type="http://schemas.openxmlformats.org/officeDocument/2006/relationships/oleObject" Target="embeddings/oleObject77.bin"/><Relationship Id="rId187" Type="http://schemas.openxmlformats.org/officeDocument/2006/relationships/image" Target="media/image90.wmf"/><Relationship Id="rId1" Type="http://schemas.openxmlformats.org/officeDocument/2006/relationships/customXml" Target="../customXml/item1.xml"/><Relationship Id="rId212" Type="http://schemas.openxmlformats.org/officeDocument/2006/relationships/oleObject" Target="embeddings/oleObject100.bin"/><Relationship Id="rId233" Type="http://schemas.openxmlformats.org/officeDocument/2006/relationships/image" Target="media/image113.wmf"/><Relationship Id="rId28" Type="http://schemas.openxmlformats.org/officeDocument/2006/relationships/image" Target="media/image10.wmf"/><Relationship Id="rId49" Type="http://schemas.openxmlformats.org/officeDocument/2006/relationships/image" Target="media/image21.wmf"/><Relationship Id="rId114" Type="http://schemas.openxmlformats.org/officeDocument/2006/relationships/oleObject" Target="embeddings/oleObject51.bin"/><Relationship Id="rId60" Type="http://schemas.openxmlformats.org/officeDocument/2006/relationships/oleObject" Target="embeddings/oleObject24.bin"/><Relationship Id="rId81" Type="http://schemas.openxmlformats.org/officeDocument/2006/relationships/image" Target="media/image37.wmf"/><Relationship Id="rId135" Type="http://schemas.openxmlformats.org/officeDocument/2006/relationships/image" Target="media/image64.wmf"/><Relationship Id="rId156" Type="http://schemas.openxmlformats.org/officeDocument/2006/relationships/oleObject" Target="embeddings/oleObject72.bin"/><Relationship Id="rId177" Type="http://schemas.openxmlformats.org/officeDocument/2006/relationships/image" Target="media/image85.wmf"/><Relationship Id="rId198" Type="http://schemas.openxmlformats.org/officeDocument/2006/relationships/oleObject" Target="embeddings/oleObject93.bin"/><Relationship Id="rId202" Type="http://schemas.openxmlformats.org/officeDocument/2006/relationships/oleObject" Target="embeddings/oleObject95.bin"/><Relationship Id="rId223" Type="http://schemas.openxmlformats.org/officeDocument/2006/relationships/image" Target="media/image108.wmf"/><Relationship Id="rId244" Type="http://schemas.openxmlformats.org/officeDocument/2006/relationships/image" Target="media/image122.png"/><Relationship Id="rId18" Type="http://schemas.openxmlformats.org/officeDocument/2006/relationships/image" Target="media/image5.wmf"/><Relationship Id="rId39" Type="http://schemas.openxmlformats.org/officeDocument/2006/relationships/oleObject" Target="embeddings/oleObject14.bin"/><Relationship Id="rId50" Type="http://schemas.openxmlformats.org/officeDocument/2006/relationships/oleObject" Target="embeddings/oleObject19.bin"/><Relationship Id="rId104" Type="http://schemas.openxmlformats.org/officeDocument/2006/relationships/oleObject" Target="embeddings/oleObject46.bin"/><Relationship Id="rId125" Type="http://schemas.openxmlformats.org/officeDocument/2006/relationships/image" Target="media/image59.wmf"/><Relationship Id="rId146" Type="http://schemas.openxmlformats.org/officeDocument/2006/relationships/oleObject" Target="embeddings/oleObject67.bin"/><Relationship Id="rId167" Type="http://schemas.openxmlformats.org/officeDocument/2006/relationships/image" Target="media/image80.wmf"/><Relationship Id="rId188" Type="http://schemas.openxmlformats.org/officeDocument/2006/relationships/oleObject" Target="embeddings/oleObject88.bin"/><Relationship Id="rId71" Type="http://schemas.openxmlformats.org/officeDocument/2006/relationships/image" Target="media/image32.wmf"/><Relationship Id="rId92" Type="http://schemas.openxmlformats.org/officeDocument/2006/relationships/oleObject" Target="embeddings/oleObject40.bin"/><Relationship Id="rId213" Type="http://schemas.openxmlformats.org/officeDocument/2006/relationships/image" Target="media/image103.wmf"/><Relationship Id="rId234" Type="http://schemas.openxmlformats.org/officeDocument/2006/relationships/oleObject" Target="embeddings/oleObject111.bin"/><Relationship Id="rId2" Type="http://schemas.openxmlformats.org/officeDocument/2006/relationships/numbering" Target="numbering.xml"/><Relationship Id="rId29" Type="http://schemas.openxmlformats.org/officeDocument/2006/relationships/oleObject" Target="embeddings/oleObject9.bin"/><Relationship Id="rId40" Type="http://schemas.openxmlformats.org/officeDocument/2006/relationships/image" Target="media/image16.wmf"/><Relationship Id="rId115" Type="http://schemas.openxmlformats.org/officeDocument/2006/relationships/image" Target="media/image54.wmf"/><Relationship Id="rId136" Type="http://schemas.openxmlformats.org/officeDocument/2006/relationships/oleObject" Target="embeddings/oleObject62.bin"/><Relationship Id="rId157" Type="http://schemas.openxmlformats.org/officeDocument/2006/relationships/image" Target="media/image75.wmf"/><Relationship Id="rId178" Type="http://schemas.openxmlformats.org/officeDocument/2006/relationships/oleObject" Target="embeddings/oleObject83.bin"/><Relationship Id="rId61" Type="http://schemas.openxmlformats.org/officeDocument/2006/relationships/image" Target="media/image27.wmf"/><Relationship Id="rId82" Type="http://schemas.openxmlformats.org/officeDocument/2006/relationships/oleObject" Target="embeddings/oleObject35.bin"/><Relationship Id="rId199" Type="http://schemas.openxmlformats.org/officeDocument/2006/relationships/image" Target="media/image96.wmf"/><Relationship Id="rId203" Type="http://schemas.openxmlformats.org/officeDocument/2006/relationships/image" Target="media/image98.wmf"/><Relationship Id="rId19" Type="http://schemas.openxmlformats.org/officeDocument/2006/relationships/oleObject" Target="embeddings/oleObject4.bin"/><Relationship Id="rId224" Type="http://schemas.openxmlformats.org/officeDocument/2006/relationships/oleObject" Target="embeddings/oleObject106.bin"/><Relationship Id="rId245" Type="http://schemas.openxmlformats.org/officeDocument/2006/relationships/image" Target="media/image123.png"/><Relationship Id="rId30" Type="http://schemas.openxmlformats.org/officeDocument/2006/relationships/image" Target="media/image11.wmf"/><Relationship Id="rId105" Type="http://schemas.openxmlformats.org/officeDocument/2006/relationships/image" Target="media/image49.wmf"/><Relationship Id="rId126" Type="http://schemas.openxmlformats.org/officeDocument/2006/relationships/oleObject" Target="embeddings/oleObject57.bin"/><Relationship Id="rId147" Type="http://schemas.openxmlformats.org/officeDocument/2006/relationships/image" Target="media/image70.wmf"/><Relationship Id="rId168" Type="http://schemas.openxmlformats.org/officeDocument/2006/relationships/oleObject" Target="embeddings/oleObject78.bin"/><Relationship Id="rId51" Type="http://schemas.openxmlformats.org/officeDocument/2006/relationships/image" Target="media/image22.wmf"/><Relationship Id="rId72" Type="http://schemas.openxmlformats.org/officeDocument/2006/relationships/oleObject" Target="embeddings/oleObject30.bin"/><Relationship Id="rId93" Type="http://schemas.openxmlformats.org/officeDocument/2006/relationships/image" Target="media/image43.wmf"/><Relationship Id="rId189" Type="http://schemas.openxmlformats.org/officeDocument/2006/relationships/image" Target="media/image91.wmf"/><Relationship Id="rId3" Type="http://schemas.openxmlformats.org/officeDocument/2006/relationships/styles" Target="styles.xml"/><Relationship Id="rId214" Type="http://schemas.openxmlformats.org/officeDocument/2006/relationships/oleObject" Target="embeddings/oleObject101.bin"/><Relationship Id="rId235" Type="http://schemas.openxmlformats.org/officeDocument/2006/relationships/image" Target="media/image114.wmf"/><Relationship Id="rId116" Type="http://schemas.openxmlformats.org/officeDocument/2006/relationships/oleObject" Target="embeddings/oleObject52.bin"/><Relationship Id="rId137" Type="http://schemas.openxmlformats.org/officeDocument/2006/relationships/image" Target="media/image65.wmf"/><Relationship Id="rId158" Type="http://schemas.openxmlformats.org/officeDocument/2006/relationships/oleObject" Target="embeddings/oleObject73.bin"/><Relationship Id="rId20" Type="http://schemas.openxmlformats.org/officeDocument/2006/relationships/image" Target="media/image6.wmf"/><Relationship Id="rId41" Type="http://schemas.openxmlformats.org/officeDocument/2006/relationships/oleObject" Target="embeddings/oleObject15.bin"/><Relationship Id="rId62" Type="http://schemas.openxmlformats.org/officeDocument/2006/relationships/oleObject" Target="embeddings/oleObject25.bin"/><Relationship Id="rId83" Type="http://schemas.openxmlformats.org/officeDocument/2006/relationships/image" Target="media/image38.wmf"/><Relationship Id="rId179" Type="http://schemas.openxmlformats.org/officeDocument/2006/relationships/image" Target="media/image86.wmf"/><Relationship Id="rId190" Type="http://schemas.openxmlformats.org/officeDocument/2006/relationships/oleObject" Target="embeddings/oleObject89.bin"/><Relationship Id="rId204" Type="http://schemas.openxmlformats.org/officeDocument/2006/relationships/oleObject" Target="embeddings/oleObject96.bin"/><Relationship Id="rId225" Type="http://schemas.openxmlformats.org/officeDocument/2006/relationships/image" Target="media/image109.wmf"/><Relationship Id="rId246" Type="http://schemas.openxmlformats.org/officeDocument/2006/relationships/image" Target="media/image124.png"/><Relationship Id="rId106" Type="http://schemas.openxmlformats.org/officeDocument/2006/relationships/oleObject" Target="embeddings/oleObject47.bin"/><Relationship Id="rId127" Type="http://schemas.openxmlformats.org/officeDocument/2006/relationships/image" Target="media/image60.wmf"/><Relationship Id="rId10" Type="http://schemas.openxmlformats.org/officeDocument/2006/relationships/footer" Target="footer2.xml"/><Relationship Id="rId31" Type="http://schemas.openxmlformats.org/officeDocument/2006/relationships/oleObject" Target="embeddings/oleObject10.bin"/><Relationship Id="rId52" Type="http://schemas.openxmlformats.org/officeDocument/2006/relationships/oleObject" Target="embeddings/oleObject20.bin"/><Relationship Id="rId73" Type="http://schemas.openxmlformats.org/officeDocument/2006/relationships/image" Target="media/image33.wmf"/><Relationship Id="rId94" Type="http://schemas.openxmlformats.org/officeDocument/2006/relationships/oleObject" Target="embeddings/oleObject41.bin"/><Relationship Id="rId148" Type="http://schemas.openxmlformats.org/officeDocument/2006/relationships/oleObject" Target="embeddings/oleObject68.bin"/><Relationship Id="rId169" Type="http://schemas.openxmlformats.org/officeDocument/2006/relationships/image" Target="media/image8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1</Pages>
  <Words>17488</Words>
  <Characters>25183</Characters>
  <Application>Microsoft Office Word</Application>
  <DocSecurity>0</DocSecurity>
  <PresentationFormat/>
  <Lines>1199</Lines>
  <Paragraphs>561</Paragraphs>
  <Slides>0</Slides>
  <Notes>0</Notes>
  <HiddenSlides>0</HiddenSlides>
  <MMClips>0</MMClips>
  <ScaleCrop>false</ScaleCrop>
  <Manager/>
  <Company>芳向电脑工作室</Company>
  <LinksUpToDate>false</LinksUpToDate>
  <CharactersWithSpaces>42110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浩天 刘</cp:lastModifiedBy>
  <cp:revision>2</cp:revision>
  <cp:lastPrinted>2026-04-22T08:43:00Z</cp:lastPrinted>
  <dcterms:created xsi:type="dcterms:W3CDTF">2026-04-24T02:01:00Z</dcterms:created>
  <dcterms:modified xsi:type="dcterms:W3CDTF">2026-05-10T08:57:00Z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UseMTPrefs">
    <vt:lpwstr>1</vt:lpwstr>
  </property>
  <property fmtid="{D5CDD505-2E9C-101B-9397-08002B2CF9AE}" pid="4" name="MTEquationSection">
    <vt:lpwstr>1</vt:lpwstr>
  </property>
  <property fmtid="{D5CDD505-2E9C-101B-9397-08002B2CF9AE}" pid="5" name="MTEquationNumber2">
    <vt:lpwstr>(#E1)</vt:lpwstr>
  </property>
  <property fmtid="{D5CDD505-2E9C-101B-9397-08002B2CF9AE}" pid="6" name="MTWinEqns">
    <vt:bool>true</vt:bool>
  </property>
</Properties>
</file>