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《覆岩扰动约束下采区协同规划方法》大修说明与逐条回应</w:t>
      </w:r>
    </w:p>
    <w:p>
      <w:pPr>
        <w:jc w:val="center"/>
      </w:pPr>
      <w:r>
        <w:rPr>
          <w:rFonts w:ascii="宋体" w:hAnsi="宋体" w:eastAsia="宋体"/>
          <w:sz w:val="21"/>
        </w:rPr>
        <w:t>供《煤炭科学技术》投稿/返修说明使用的工作底稿</w:t>
      </w:r>
    </w:p>
    <w:p>
      <w:pPr>
        <w:pStyle w:val="Heading1"/>
      </w:pPr>
      <w:r>
        <w:rPr>
          <w:rFonts w:ascii="黑体" w:hAnsi="黑体" w:eastAsia="黑体"/>
          <w:b/>
          <w:sz w:val="28"/>
        </w:rPr>
        <w:t>一、总体修改说明</w:t>
      </w:r>
    </w:p>
    <w:p>
      <w:pPr>
        <w:spacing w:line="300" w:lineRule="auto"/>
        <w:ind w:firstLine="480"/>
      </w:pPr>
      <w:r>
        <w:rPr>
          <w:rFonts w:ascii="宋体" w:hAnsi="宋体" w:eastAsia="宋体"/>
          <w:sz w:val="21"/>
        </w:rPr>
        <w:t>针对模拟审稿意见中提出的“论文更像系统说明、创新点不够硬、ODI定义不完整、多目标模型不严格、案例验证不足、经济评价支撑偏弱”等问题，本轮修改将稿件定位由程序导出说明调整为“ODI前置约束下的采区候选方案生成与多目标比选方法”。修改重点不是语言润色，而是补充方法定义、变量与约束、候选池生成逻辑、风险统计口径、内部对照和敏感性分析。</w:t>
      </w:r>
    </w:p>
    <w:p>
      <w:pPr>
        <w:spacing w:line="300" w:lineRule="auto"/>
        <w:ind w:firstLine="480"/>
      </w:pPr>
      <w:r>
        <w:rPr>
          <w:rFonts w:ascii="宋体" w:hAnsi="宋体" w:eastAsia="宋体"/>
          <w:sz w:val="21"/>
        </w:rPr>
        <w:t>修改后稿件保留样例验证的边界，不将单一样例推断为真实矿井条件下的普适最优结论；对经济评价部分也从完整经济结论收缩为下游接口与月度净现金流口径说明，避免给出缺乏独立参数支撑的现金流或NPV结论。</w:t>
      </w:r>
    </w:p>
    <w:tbl>
      <w:tblPr>
        <w:tblStyle w:val="TableGrid"/>
        <w:tblW w:type="auto" w:w="0"/>
        <w:tblLook w:firstColumn="1" w:firstRow="1" w:lastColumn="0" w:lastRow="0" w:noHBand="0" w:noVBand="1" w:val="04A0"/>
      </w:tblPr>
      <w:tblGrid>
        <w:gridCol w:w="4560"/>
        <w:gridCol w:w="4560"/>
        <w:gridCol w:w="4560"/>
      </w:tblGrid>
      <w:tr>
        <w:tc>
          <w:tcPr>
            <w:tcW w:type="dxa" w:w="4560"/>
            <w:shd w:fill="D9EAF7"/>
          </w:tcPr>
          <w:p>
            <w:r>
              <w:rPr>
                <w:rFonts w:ascii="黑体" w:hAnsi="黑体" w:eastAsia="黑体"/>
                <w:b/>
                <w:sz w:val="21"/>
              </w:rPr>
              <w:t>修改模块</w:t>
            </w:r>
          </w:p>
        </w:tc>
        <w:tc>
          <w:tcPr>
            <w:tcW w:type="dxa" w:w="4560"/>
            <w:shd w:fill="D9EAF7"/>
          </w:tcPr>
          <w:p>
            <w:r>
              <w:rPr>
                <w:rFonts w:ascii="黑体" w:hAnsi="黑体" w:eastAsia="黑体"/>
                <w:b/>
                <w:sz w:val="21"/>
              </w:rPr>
              <w:t>主要处理</w:t>
            </w:r>
          </w:p>
        </w:tc>
        <w:tc>
          <w:tcPr>
            <w:tcW w:type="dxa" w:w="4560"/>
            <w:shd w:fill="D9EAF7"/>
          </w:tcPr>
          <w:p>
            <w:r>
              <w:rPr>
                <w:rFonts w:ascii="黑体" w:hAnsi="黑体" w:eastAsia="黑体"/>
                <w:b/>
                <w:sz w:val="21"/>
              </w:rPr>
              <w:t>对应位置</w:t>
            </w:r>
          </w:p>
        </w:tc>
      </w:tr>
      <w:tr>
        <w:tc>
          <w:tcPr>
            <w:tcW w:type="dxa" w:w="4560"/>
          </w:tcPr>
          <w:p>
            <w:pPr>
              <w:spacing w:line="276" w:lineRule="auto"/>
            </w:pPr>
            <w:r>
              <w:rPr>
                <w:rFonts w:ascii="宋体" w:hAnsi="宋体" w:eastAsia="宋体"/>
                <w:sz w:val="19"/>
              </w:rPr>
              <w:t>论文定位</w:t>
            </w:r>
          </w:p>
        </w:tc>
        <w:tc>
          <w:tcPr>
            <w:tcW w:type="dxa" w:w="4560"/>
          </w:tcPr>
          <w:p>
            <w:pPr>
              <w:spacing w:line="276" w:lineRule="auto"/>
            </w:pPr>
            <w:r>
              <w:rPr>
                <w:rFonts w:ascii="宋体" w:hAnsi="宋体" w:eastAsia="宋体"/>
                <w:sz w:val="19"/>
              </w:rPr>
              <w:t>将“系统流程说明”改为“风险前置约束+候选方案池+多目标排序”的方法论文定位。</w:t>
            </w:r>
          </w:p>
        </w:tc>
        <w:tc>
          <w:tcPr>
            <w:tcW w:type="dxa" w:w="4560"/>
          </w:tcPr>
          <w:p>
            <w:pPr>
              <w:spacing w:line="276" w:lineRule="auto"/>
            </w:pPr>
            <w:r>
              <w:rPr>
                <w:rFonts w:ascii="宋体" w:hAnsi="宋体" w:eastAsia="宋体"/>
                <w:sz w:val="19"/>
              </w:rPr>
              <w:t>引言末尾、1章开头、4章讨论、5章结论</w:t>
            </w:r>
          </w:p>
        </w:tc>
      </w:tr>
      <w:tr>
        <w:tc>
          <w:tcPr>
            <w:tcW w:type="dxa" w:w="4560"/>
          </w:tcPr>
          <w:p>
            <w:pPr>
              <w:spacing w:line="276" w:lineRule="auto"/>
            </w:pPr>
            <w:r>
              <w:rPr>
                <w:rFonts w:ascii="宋体" w:hAnsi="宋体" w:eastAsia="宋体"/>
                <w:sz w:val="19"/>
              </w:rPr>
              <w:t>ODI定义</w:t>
            </w:r>
          </w:p>
        </w:tc>
        <w:tc>
          <w:tcPr>
            <w:tcW w:type="dxa" w:w="4560"/>
          </w:tcPr>
          <w:p>
            <w:pPr>
              <w:spacing w:line="276" w:lineRule="auto"/>
            </w:pPr>
            <w:r>
              <w:rPr>
                <w:rFonts w:ascii="宋体" w:hAnsi="宋体" w:eastAsia="宋体"/>
                <w:sz w:val="19"/>
              </w:rPr>
              <w:t>补充风险分量、归一化、权重来源、阈值含义、方案级统计和敏感性分析。</w:t>
            </w:r>
          </w:p>
        </w:tc>
        <w:tc>
          <w:tcPr>
            <w:tcW w:type="dxa" w:w="4560"/>
          </w:tcPr>
          <w:p>
            <w:pPr>
              <w:spacing w:line="276" w:lineRule="auto"/>
            </w:pPr>
            <w:r>
              <w:rPr>
                <w:rFonts w:ascii="宋体" w:hAnsi="宋体" w:eastAsia="宋体"/>
                <w:sz w:val="19"/>
              </w:rPr>
              <w:t>1.1、2.3、3.2、4.1</w:t>
            </w:r>
          </w:p>
        </w:tc>
      </w:tr>
      <w:tr>
        <w:tc>
          <w:tcPr>
            <w:tcW w:type="dxa" w:w="4560"/>
          </w:tcPr>
          <w:p>
            <w:pPr>
              <w:spacing w:line="276" w:lineRule="auto"/>
            </w:pPr>
            <w:r>
              <w:rPr>
                <w:rFonts w:ascii="宋体" w:hAnsi="宋体" w:eastAsia="宋体"/>
                <w:sz w:val="19"/>
              </w:rPr>
              <w:t>多目标模型</w:t>
            </w:r>
          </w:p>
        </w:tc>
        <w:tc>
          <w:tcPr>
            <w:tcW w:type="dxa" w:w="4560"/>
          </w:tcPr>
          <w:p>
            <w:pPr>
              <w:spacing w:line="276" w:lineRule="auto"/>
            </w:pPr>
            <w:r>
              <w:rPr>
                <w:rFonts w:ascii="宋体" w:hAnsi="宋体" w:eastAsia="宋体"/>
                <w:sz w:val="19"/>
              </w:rPr>
              <w:t>补充决策变量、几何约束、煤柱约束、不重叠约束、风险约束、候选池生成与非支配排序。</w:t>
            </w:r>
          </w:p>
        </w:tc>
        <w:tc>
          <w:tcPr>
            <w:tcW w:type="dxa" w:w="4560"/>
          </w:tcPr>
          <w:p>
            <w:pPr>
              <w:spacing w:line="276" w:lineRule="auto"/>
            </w:pPr>
            <w:r>
              <w:rPr>
                <w:rFonts w:ascii="宋体" w:hAnsi="宋体" w:eastAsia="宋体"/>
                <w:sz w:val="19"/>
              </w:rPr>
              <w:t>1.3</w:t>
            </w:r>
          </w:p>
        </w:tc>
      </w:tr>
      <w:tr>
        <w:tc>
          <w:tcPr>
            <w:tcW w:type="dxa" w:w="4560"/>
          </w:tcPr>
          <w:p>
            <w:pPr>
              <w:spacing w:line="276" w:lineRule="auto"/>
            </w:pPr>
            <w:r>
              <w:rPr>
                <w:rFonts w:ascii="宋体" w:hAnsi="宋体" w:eastAsia="宋体"/>
                <w:sz w:val="19"/>
              </w:rPr>
              <w:t>案例验证</w:t>
            </w:r>
          </w:p>
        </w:tc>
        <w:tc>
          <w:tcPr>
            <w:tcW w:type="dxa" w:w="4560"/>
          </w:tcPr>
          <w:p>
            <w:pPr>
              <w:spacing w:line="276" w:lineRule="auto"/>
            </w:pPr>
            <w:r>
              <w:rPr>
                <w:rFonts w:ascii="宋体" w:hAnsi="宋体" w:eastAsia="宋体"/>
                <w:sz w:val="19"/>
              </w:rPr>
              <w:t>补充A/B/C三类候选方案对比、统一ODI统计、风险-收益权衡解释。</w:t>
            </w:r>
          </w:p>
        </w:tc>
        <w:tc>
          <w:tcPr>
            <w:tcW w:type="dxa" w:w="4560"/>
          </w:tcPr>
          <w:p>
            <w:pPr>
              <w:spacing w:line="276" w:lineRule="auto"/>
            </w:pPr>
            <w:r>
              <w:rPr>
                <w:rFonts w:ascii="宋体" w:hAnsi="宋体" w:eastAsia="宋体"/>
                <w:sz w:val="19"/>
              </w:rPr>
              <w:t>3.1、3.2</w:t>
            </w:r>
          </w:p>
        </w:tc>
      </w:tr>
      <w:tr>
        <w:tc>
          <w:tcPr>
            <w:tcW w:type="dxa" w:w="4560"/>
          </w:tcPr>
          <w:p>
            <w:pPr>
              <w:spacing w:line="276" w:lineRule="auto"/>
            </w:pPr>
            <w:r>
              <w:rPr>
                <w:rFonts w:ascii="宋体" w:hAnsi="宋体" w:eastAsia="宋体"/>
                <w:sz w:val="19"/>
              </w:rPr>
              <w:t>经济评价</w:t>
            </w:r>
          </w:p>
        </w:tc>
        <w:tc>
          <w:tcPr>
            <w:tcW w:type="dxa" w:w="4560"/>
          </w:tcPr>
          <w:p>
            <w:pPr>
              <w:spacing w:line="276" w:lineRule="auto"/>
            </w:pPr>
            <w:r>
              <w:rPr>
                <w:rFonts w:ascii="宋体" w:hAnsi="宋体" w:eastAsia="宋体"/>
                <w:sz w:val="19"/>
              </w:rPr>
              <w:t>删去或弱化未经独立参数支撑的经济结果，保留Rev、Cost、RiskCost与NCF传递口径。</w:t>
            </w:r>
          </w:p>
        </w:tc>
        <w:tc>
          <w:tcPr>
            <w:tcW w:type="dxa" w:w="4560"/>
          </w:tcPr>
          <w:p>
            <w:pPr>
              <w:spacing w:line="276" w:lineRule="auto"/>
            </w:pPr>
            <w:r>
              <w:rPr>
                <w:rFonts w:ascii="宋体" w:hAnsi="宋体" w:eastAsia="宋体"/>
                <w:sz w:val="19"/>
              </w:rPr>
              <w:t>1.4、3.3</w:t>
            </w:r>
          </w:p>
        </w:tc>
      </w:tr>
      <w:tr>
        <w:tc>
          <w:tcPr>
            <w:tcW w:type="dxa" w:w="4560"/>
          </w:tcPr>
          <w:p>
            <w:pPr>
              <w:spacing w:line="276" w:lineRule="auto"/>
            </w:pPr>
            <w:r>
              <w:rPr>
                <w:rFonts w:ascii="宋体" w:hAnsi="宋体" w:eastAsia="宋体"/>
                <w:sz w:val="19"/>
              </w:rPr>
              <w:t>参考文献</w:t>
            </w:r>
          </w:p>
        </w:tc>
        <w:tc>
          <w:tcPr>
            <w:tcW w:type="dxa" w:w="4560"/>
          </w:tcPr>
          <w:p>
            <w:pPr>
              <w:spacing w:line="276" w:lineRule="auto"/>
            </w:pPr>
            <w:r>
              <w:rPr>
                <w:rFonts w:ascii="宋体" w:hAnsi="宋体" w:eastAsia="宋体"/>
                <w:sz w:val="19"/>
              </w:rPr>
              <w:t>联网核验并扩充至50条，正文引用覆盖1-50号。</w:t>
            </w:r>
          </w:p>
        </w:tc>
        <w:tc>
          <w:tcPr>
            <w:tcW w:type="dxa" w:w="4560"/>
          </w:tcPr>
          <w:p>
            <w:pPr>
              <w:spacing w:line="276" w:lineRule="auto"/>
            </w:pPr>
            <w:r>
              <w:rPr>
                <w:rFonts w:ascii="宋体" w:hAnsi="宋体" w:eastAsia="宋体"/>
                <w:sz w:val="19"/>
              </w:rPr>
              <w:t>参考文献与全文引用</w:t>
            </w:r>
          </w:p>
        </w:tc>
      </w:tr>
      <w:tr>
        <w:tc>
          <w:tcPr>
            <w:tcW w:type="dxa" w:w="4560"/>
          </w:tcPr>
          <w:p>
            <w:pPr>
              <w:spacing w:line="276" w:lineRule="auto"/>
            </w:pPr>
            <w:r>
              <w:rPr>
                <w:rFonts w:ascii="宋体" w:hAnsi="宋体" w:eastAsia="宋体"/>
                <w:sz w:val="19"/>
              </w:rPr>
              <w:t>公式格式</w:t>
            </w:r>
          </w:p>
        </w:tc>
        <w:tc>
          <w:tcPr>
            <w:tcW w:type="dxa" w:w="4560"/>
          </w:tcPr>
          <w:p>
            <w:pPr>
              <w:spacing w:line="276" w:lineRule="auto"/>
            </w:pPr>
            <w:r>
              <w:rPr>
                <w:rFonts w:ascii="宋体" w:hAnsi="宋体" w:eastAsia="宋体"/>
                <w:sz w:val="19"/>
              </w:rPr>
              <w:t>15个主公式改为右编号版式，编号（1）至（15）连续。</w:t>
            </w:r>
          </w:p>
        </w:tc>
        <w:tc>
          <w:tcPr>
            <w:tcW w:type="dxa" w:w="4560"/>
          </w:tcPr>
          <w:p>
            <w:pPr>
              <w:spacing w:line="276" w:lineRule="auto"/>
            </w:pPr>
            <w:r>
              <w:rPr>
                <w:rFonts w:ascii="宋体" w:hAnsi="宋体" w:eastAsia="宋体"/>
                <w:sz w:val="19"/>
              </w:rPr>
              <w:t>全文公式</w:t>
            </w:r>
          </w:p>
        </w:tc>
      </w:tr>
    </w:tbl>
    <w:p>
      <w:pPr>
        <w:pStyle w:val="Heading1"/>
      </w:pPr>
      <w:r>
        <w:rPr>
          <w:rFonts w:ascii="黑体" w:hAnsi="黑体" w:eastAsia="黑体"/>
          <w:b/>
          <w:sz w:val="28"/>
        </w:rPr>
        <w:t>二、逐条回应</w:t>
      </w:r>
    </w:p>
    <w:tbl>
      <w:tblPr>
        <w:tblStyle w:val="TableGrid"/>
        <w:tblW w:type="auto" w:w="0"/>
        <w:tblLook w:firstColumn="1" w:firstRow="1" w:lastColumn="0" w:lastRow="0" w:noHBand="0" w:noVBand="1" w:val="04A0"/>
      </w:tblPr>
      <w:tblGrid>
        <w:gridCol w:w="3420"/>
        <w:gridCol w:w="3420"/>
        <w:gridCol w:w="3420"/>
        <w:gridCol w:w="3420"/>
      </w:tblGrid>
      <w:tr>
        <w:tc>
          <w:tcPr>
            <w:tcW w:type="dxa" w:w="3420"/>
            <w:shd w:fill="D9EAF7"/>
          </w:tcPr>
          <w:p>
            <w:r>
              <w:rPr>
                <w:rFonts w:ascii="黑体" w:hAnsi="黑体" w:eastAsia="黑体"/>
                <w:b/>
                <w:sz w:val="21"/>
              </w:rPr>
              <w:t>审稿意见</w:t>
            </w:r>
          </w:p>
        </w:tc>
        <w:tc>
          <w:tcPr>
            <w:tcW w:type="dxa" w:w="3420"/>
            <w:shd w:fill="D9EAF7"/>
          </w:tcPr>
          <w:p>
            <w:r>
              <w:rPr>
                <w:rFonts w:ascii="黑体" w:hAnsi="黑体" w:eastAsia="黑体"/>
                <w:b/>
                <w:sz w:val="21"/>
              </w:rPr>
              <w:t>回应态度</w:t>
            </w:r>
          </w:p>
        </w:tc>
        <w:tc>
          <w:tcPr>
            <w:tcW w:type="dxa" w:w="3420"/>
            <w:shd w:fill="D9EAF7"/>
          </w:tcPr>
          <w:p>
            <w:r>
              <w:rPr>
                <w:rFonts w:ascii="黑体" w:hAnsi="黑体" w:eastAsia="黑体"/>
                <w:b/>
                <w:sz w:val="21"/>
              </w:rPr>
              <w:t>已完成修改</w:t>
            </w:r>
          </w:p>
        </w:tc>
        <w:tc>
          <w:tcPr>
            <w:tcW w:type="dxa" w:w="3420"/>
            <w:shd w:fill="D9EAF7"/>
          </w:tcPr>
          <w:p>
            <w:r>
              <w:rPr>
                <w:rFonts w:ascii="黑体" w:hAnsi="黑体" w:eastAsia="黑体"/>
                <w:b/>
                <w:sz w:val="21"/>
              </w:rPr>
              <w:t>稿件位置</w:t>
            </w:r>
          </w:p>
        </w:tc>
      </w:tr>
      <w:tr>
        <w:tc>
          <w:tcPr>
            <w:tcW w:type="dxa" w:w="3420"/>
          </w:tcPr>
          <w:p>
            <w:pPr>
              <w:spacing w:line="276" w:lineRule="auto"/>
            </w:pPr>
            <w:r>
              <w:rPr>
                <w:rFonts w:ascii="宋体" w:hAnsi="宋体" w:eastAsia="宋体"/>
                <w:sz w:val="19"/>
              </w:rPr>
              <w:t>1. 论文定位不清，更像系统说明而非学术论文。</w:t>
            </w:r>
          </w:p>
        </w:tc>
        <w:tc>
          <w:tcPr>
            <w:tcW w:type="dxa" w:w="3420"/>
          </w:tcPr>
          <w:p>
            <w:pPr>
              <w:spacing w:line="276" w:lineRule="auto"/>
            </w:pPr>
            <w:r>
              <w:rPr>
                <w:rFonts w:ascii="宋体" w:hAnsi="宋体" w:eastAsia="宋体"/>
                <w:sz w:val="19"/>
              </w:rPr>
              <w:t>接受。原稿确有较强系统流程说明色彩，方法贡献凝练不足。</w:t>
            </w:r>
          </w:p>
        </w:tc>
        <w:tc>
          <w:tcPr>
            <w:tcW w:type="dxa" w:w="3420"/>
          </w:tcPr>
          <w:p>
            <w:pPr>
              <w:spacing w:line="276" w:lineRule="auto"/>
            </w:pPr>
            <w:r>
              <w:rPr>
                <w:rFonts w:ascii="宋体" w:hAnsi="宋体" w:eastAsia="宋体"/>
                <w:sz w:val="19"/>
              </w:rPr>
              <w:t>已在引言末尾明确3点贡献：ODI统一风险表征、离散钻孔—连续参数场—工作面对象映射、候选方案池与后续评价传递。正文中同步弱化“程序导出样例”表述，强调方法链路和候选方案比选。</w:t>
            </w:r>
          </w:p>
        </w:tc>
        <w:tc>
          <w:tcPr>
            <w:tcW w:type="dxa" w:w="3420"/>
          </w:tcPr>
          <w:p>
            <w:pPr>
              <w:spacing w:line="276" w:lineRule="auto"/>
            </w:pPr>
            <w:r>
              <w:rPr>
                <w:rFonts w:ascii="宋体" w:hAnsi="宋体" w:eastAsia="宋体"/>
                <w:sz w:val="19"/>
              </w:rPr>
              <w:t>0引言；1章；4讨论；5结论</w:t>
            </w:r>
          </w:p>
        </w:tc>
      </w:tr>
      <w:tr>
        <w:tc>
          <w:tcPr>
            <w:tcW w:type="dxa" w:w="3420"/>
          </w:tcPr>
          <w:p>
            <w:pPr>
              <w:spacing w:line="276" w:lineRule="auto"/>
            </w:pPr>
            <w:r>
              <w:rPr>
                <w:rFonts w:ascii="宋体" w:hAnsi="宋体" w:eastAsia="宋体"/>
                <w:sz w:val="19"/>
              </w:rPr>
              <w:t>2. ODI科学性与可复核性不足，权重和阈值依据不清。</w:t>
            </w:r>
          </w:p>
        </w:tc>
        <w:tc>
          <w:tcPr>
            <w:tcW w:type="dxa" w:w="3420"/>
          </w:tcPr>
          <w:p>
            <w:pPr>
              <w:spacing w:line="276" w:lineRule="auto"/>
            </w:pPr>
            <w:r>
              <w:rPr>
                <w:rFonts w:ascii="宋体" w:hAnsi="宋体" w:eastAsia="宋体"/>
                <w:sz w:val="19"/>
              </w:rPr>
              <w:t>接受。ODI是全文核心，必须从概念性指标改为可复核指标。</w:t>
            </w:r>
          </w:p>
        </w:tc>
        <w:tc>
          <w:tcPr>
            <w:tcW w:type="dxa" w:w="3420"/>
          </w:tcPr>
          <w:p>
            <w:pPr>
              <w:spacing w:line="276" w:lineRule="auto"/>
            </w:pPr>
            <w:r>
              <w:rPr>
                <w:rFonts w:ascii="宋体" w:hAnsi="宋体" w:eastAsia="宋体"/>
                <w:sz w:val="19"/>
              </w:rPr>
              <w:t>已补充ODI风险分量D_s、D_a、D_u，说明正向/逆向指标归一化方法；明确权重为“场景目标驱动的专家规则赋权+敏感性校核”，不作为现场统计常数；阈值0.70/0.80定位为样例内部统计线而非安全红线；补充0.65、0.70、0.75、0.80阈值敏感性以及权重扰动分析。</w:t>
            </w:r>
          </w:p>
        </w:tc>
        <w:tc>
          <w:tcPr>
            <w:tcW w:type="dxa" w:w="3420"/>
          </w:tcPr>
          <w:p>
            <w:pPr>
              <w:spacing w:line="276" w:lineRule="auto"/>
            </w:pPr>
            <w:r>
              <w:rPr>
                <w:rFonts w:ascii="宋体" w:hAnsi="宋体" w:eastAsia="宋体"/>
                <w:sz w:val="19"/>
              </w:rPr>
              <w:t>1.1；2.3；3.2；4.1</w:t>
            </w:r>
          </w:p>
        </w:tc>
      </w:tr>
      <w:tr>
        <w:tc>
          <w:tcPr>
            <w:tcW w:type="dxa" w:w="3420"/>
          </w:tcPr>
          <w:p>
            <w:pPr>
              <w:spacing w:line="276" w:lineRule="auto"/>
            </w:pPr>
            <w:r>
              <w:rPr>
                <w:rFonts w:ascii="宋体" w:hAnsi="宋体" w:eastAsia="宋体"/>
                <w:sz w:val="19"/>
              </w:rPr>
              <w:t>3. 多目标协同规划模型没有真正建立，变量、约束和求解机制不清。</w:t>
            </w:r>
          </w:p>
        </w:tc>
        <w:tc>
          <w:tcPr>
            <w:tcW w:type="dxa" w:w="3420"/>
          </w:tcPr>
          <w:p>
            <w:pPr>
              <w:spacing w:line="276" w:lineRule="auto"/>
            </w:pPr>
            <w:r>
              <w:rPr>
                <w:rFonts w:ascii="宋体" w:hAnsi="宋体" w:eastAsia="宋体"/>
                <w:sz w:val="19"/>
              </w:rPr>
              <w:t>接受。原稿模型层表达不足，容易被认为只是评价排序。</w:t>
            </w:r>
          </w:p>
        </w:tc>
        <w:tc>
          <w:tcPr>
            <w:tcW w:type="dxa" w:w="3420"/>
          </w:tcPr>
          <w:p>
            <w:pPr>
              <w:spacing w:line="276" w:lineRule="auto"/>
            </w:pPr>
            <w:r>
              <w:rPr>
                <w:rFonts w:ascii="宋体" w:hAnsi="宋体" w:eastAsia="宋体"/>
                <w:sz w:val="19"/>
              </w:rPr>
              <w:t>已将规划问题定义为“候选方案池生成—硬约束过滤—多目标排序—工程复核”的组合优化过程；补充候选方案π的变量组成，包括N、W_f、θ、B_b、B_s、A_π、L_π、R_π、y_π；补充边界、煤柱、宽度、不重叠、最小推进长度和ODI超阈值暴露约束；说明推进方向在有限工程允许方向集合Θ内枚举，不再表述为黑箱自动确定；补充非支配排序和拥挤距离选择。</w:t>
            </w:r>
          </w:p>
        </w:tc>
        <w:tc>
          <w:tcPr>
            <w:tcW w:type="dxa" w:w="3420"/>
          </w:tcPr>
          <w:p>
            <w:pPr>
              <w:spacing w:line="276" w:lineRule="auto"/>
            </w:pPr>
            <w:r>
              <w:rPr>
                <w:rFonts w:ascii="宋体" w:hAnsi="宋体" w:eastAsia="宋体"/>
                <w:sz w:val="19"/>
              </w:rPr>
              <w:t>1.3</w:t>
            </w:r>
          </w:p>
        </w:tc>
      </w:tr>
      <w:tr>
        <w:tc>
          <w:tcPr>
            <w:tcW w:type="dxa" w:w="3420"/>
          </w:tcPr>
          <w:p>
            <w:pPr>
              <w:spacing w:line="276" w:lineRule="auto"/>
            </w:pPr>
            <w:r>
              <w:rPr>
                <w:rFonts w:ascii="宋体" w:hAnsi="宋体" w:eastAsia="宋体"/>
                <w:sz w:val="19"/>
              </w:rPr>
              <w:t>4. 工程效率评分、资源回收评分等不可复核。</w:t>
            </w:r>
          </w:p>
        </w:tc>
        <w:tc>
          <w:tcPr>
            <w:tcW w:type="dxa" w:w="3420"/>
          </w:tcPr>
          <w:p>
            <w:pPr>
              <w:spacing w:line="276" w:lineRule="auto"/>
            </w:pPr>
            <w:r>
              <w:rPr>
                <w:rFonts w:ascii="宋体" w:hAnsi="宋体" w:eastAsia="宋体"/>
                <w:sz w:val="19"/>
              </w:rPr>
              <w:t>接受。评分必须给出口径，否则数值不可重复。</w:t>
            </w:r>
          </w:p>
        </w:tc>
        <w:tc>
          <w:tcPr>
            <w:tcW w:type="dxa" w:w="3420"/>
          </w:tcPr>
          <w:p>
            <w:pPr>
              <w:spacing w:line="276" w:lineRule="auto"/>
            </w:pPr>
            <w:r>
              <w:rPr>
                <w:rFonts w:ascii="宋体" w:hAnsi="宋体" w:eastAsia="宋体"/>
                <w:sz w:val="19"/>
              </w:rPr>
              <w:t>已补充工程效率评分S_e、资源回收评分S_r、扰动控制评分S_m和综合得分F(π)的表达式，说明覆盖率、推进长度均衡性、巷道可达性、巷道工程量惩罚、煤厚覆盖和可采资源回收等分项含义；明确87.82、89.76等分数仅用于同一候选池内部比较。</w:t>
            </w:r>
          </w:p>
        </w:tc>
        <w:tc>
          <w:tcPr>
            <w:tcW w:type="dxa" w:w="3420"/>
          </w:tcPr>
          <w:p>
            <w:pPr>
              <w:spacing w:line="276" w:lineRule="auto"/>
            </w:pPr>
            <w:r>
              <w:rPr>
                <w:rFonts w:ascii="宋体" w:hAnsi="宋体" w:eastAsia="宋体"/>
                <w:sz w:val="19"/>
              </w:rPr>
              <w:t>1.3；3.1</w:t>
            </w:r>
          </w:p>
        </w:tc>
      </w:tr>
      <w:tr>
        <w:tc>
          <w:tcPr>
            <w:tcW w:type="dxa" w:w="3420"/>
          </w:tcPr>
          <w:p>
            <w:pPr>
              <w:spacing w:line="276" w:lineRule="auto"/>
            </w:pPr>
            <w:r>
              <w:rPr>
                <w:rFonts w:ascii="宋体" w:hAnsi="宋体" w:eastAsia="宋体"/>
                <w:sz w:val="19"/>
              </w:rPr>
              <w:t>5. 案例验证强度不足，缺少对比对象。</w:t>
            </w:r>
          </w:p>
        </w:tc>
        <w:tc>
          <w:tcPr>
            <w:tcW w:type="dxa" w:w="3420"/>
          </w:tcPr>
          <w:p>
            <w:pPr>
              <w:spacing w:line="276" w:lineRule="auto"/>
            </w:pPr>
            <w:r>
              <w:rPr>
                <w:rFonts w:ascii="宋体" w:hAnsi="宋体" w:eastAsia="宋体"/>
                <w:sz w:val="19"/>
              </w:rPr>
              <w:t>部分接受。当前数据条件尚不足以补成完整实矿验证，但可增强内部对照。</w:t>
            </w:r>
          </w:p>
        </w:tc>
        <w:tc>
          <w:tcPr>
            <w:tcW w:type="dxa" w:w="3420"/>
          </w:tcPr>
          <w:p>
            <w:pPr>
              <w:spacing w:line="276" w:lineRule="auto"/>
            </w:pPr>
            <w:r>
              <w:rPr>
                <w:rFonts w:ascii="宋体" w:hAnsi="宋体" w:eastAsia="宋体"/>
                <w:sz w:val="19"/>
              </w:rPr>
              <w:t>已补充A、B、C三类候选方案对比：A代表工程效率偏好，B代表资源回收偏好，C代表ODI风险约束偏好。三者在同一研究区边界、同一钻孔参数场、同一ODI场和同一几何约束下比较，报告覆盖率、ODI均值、P90、ODI&gt;0.70比例和风险综合得分，并明确该对照属于同一候选池内部目标偏好对照，不替代真实人工方案现场对照。</w:t>
            </w:r>
          </w:p>
        </w:tc>
        <w:tc>
          <w:tcPr>
            <w:tcW w:type="dxa" w:w="3420"/>
          </w:tcPr>
          <w:p>
            <w:pPr>
              <w:spacing w:line="276" w:lineRule="auto"/>
            </w:pPr>
            <w:r>
              <w:rPr>
                <w:rFonts w:ascii="宋体" w:hAnsi="宋体" w:eastAsia="宋体"/>
                <w:sz w:val="19"/>
              </w:rPr>
              <w:t>3.1；3.2；4.3</w:t>
            </w:r>
          </w:p>
        </w:tc>
      </w:tr>
      <w:tr>
        <w:tc>
          <w:tcPr>
            <w:tcW w:type="dxa" w:w="3420"/>
          </w:tcPr>
          <w:p>
            <w:pPr>
              <w:spacing w:line="276" w:lineRule="auto"/>
            </w:pPr>
            <w:r>
              <w:rPr>
                <w:rFonts w:ascii="宋体" w:hAnsi="宋体" w:eastAsia="宋体"/>
                <w:sz w:val="19"/>
              </w:rPr>
              <w:t>6. 研究区工程背景交代不充分。</w:t>
            </w:r>
          </w:p>
        </w:tc>
        <w:tc>
          <w:tcPr>
            <w:tcW w:type="dxa" w:w="3420"/>
          </w:tcPr>
          <w:p>
            <w:pPr>
              <w:spacing w:line="276" w:lineRule="auto"/>
            </w:pPr>
            <w:r>
              <w:rPr>
                <w:rFonts w:ascii="宋体" w:hAnsi="宋体" w:eastAsia="宋体"/>
                <w:sz w:val="19"/>
              </w:rPr>
              <w:t>接受。原稿样例背景偏弱。</w:t>
            </w:r>
          </w:p>
        </w:tc>
        <w:tc>
          <w:tcPr>
            <w:tcW w:type="dxa" w:w="3420"/>
          </w:tcPr>
          <w:p>
            <w:pPr>
              <w:spacing w:line="276" w:lineRule="auto"/>
            </w:pPr>
            <w:r>
              <w:rPr>
                <w:rFonts w:ascii="宋体" w:hAnsi="宋体" w:eastAsia="宋体"/>
                <w:sz w:val="19"/>
              </w:rPr>
              <w:t>已补充敏东研究区样例的工程语境，包括内蒙古呼伦贝尔敏东一矿相关背景、代表性埋深约300 m、顶底板岩性类型、边界面积、钻孔样点数、边界煤柱、区段煤柱、工作面宽度和走向长壁后退式开采等输入参数。同时明确断层、既有巷道、通风运输能力、设备能力和生产制度等现场闭环约束尚未完整纳入。</w:t>
            </w:r>
          </w:p>
        </w:tc>
        <w:tc>
          <w:tcPr>
            <w:tcW w:type="dxa" w:w="3420"/>
          </w:tcPr>
          <w:p>
            <w:pPr>
              <w:spacing w:line="276" w:lineRule="auto"/>
            </w:pPr>
            <w:r>
              <w:rPr>
                <w:rFonts w:ascii="宋体" w:hAnsi="宋体" w:eastAsia="宋体"/>
                <w:sz w:val="19"/>
              </w:rPr>
              <w:t>2.1；表1；4.3</w:t>
            </w:r>
          </w:p>
        </w:tc>
      </w:tr>
      <w:tr>
        <w:tc>
          <w:tcPr>
            <w:tcW w:type="dxa" w:w="3420"/>
          </w:tcPr>
          <w:p>
            <w:pPr>
              <w:spacing w:line="276" w:lineRule="auto"/>
            </w:pPr>
            <w:r>
              <w:rPr>
                <w:rFonts w:ascii="宋体" w:hAnsi="宋体" w:eastAsia="宋体"/>
                <w:sz w:val="19"/>
              </w:rPr>
              <w:t>7. 经济评价部分容易被质疑为拉长战线、证据不足。</w:t>
            </w:r>
          </w:p>
        </w:tc>
        <w:tc>
          <w:tcPr>
            <w:tcW w:type="dxa" w:w="3420"/>
          </w:tcPr>
          <w:p>
            <w:pPr>
              <w:spacing w:line="276" w:lineRule="auto"/>
            </w:pPr>
            <w:r>
              <w:rPr>
                <w:rFonts w:ascii="宋体" w:hAnsi="宋体" w:eastAsia="宋体"/>
                <w:sz w:val="19"/>
              </w:rPr>
              <w:t>接受。经济评价不宜半展开。</w:t>
            </w:r>
          </w:p>
        </w:tc>
        <w:tc>
          <w:tcPr>
            <w:tcW w:type="dxa" w:w="3420"/>
          </w:tcPr>
          <w:p>
            <w:pPr>
              <w:spacing w:line="276" w:lineRule="auto"/>
            </w:pPr>
            <w:r>
              <w:rPr>
                <w:rFonts w:ascii="宋体" w:hAnsi="宋体" w:eastAsia="宋体"/>
                <w:sz w:val="19"/>
              </w:rPr>
              <w:t>已将经济评价部分收缩为下游接口说明，仅保留月度净现金流NCF_t=Rev_t-Cost_t-RiskCost_t等传递口径；不再给出未经独立参数体系支撑的NPV、投资回收期、总收入和总成本等结论性数值。</w:t>
            </w:r>
          </w:p>
        </w:tc>
        <w:tc>
          <w:tcPr>
            <w:tcW w:type="dxa" w:w="3420"/>
          </w:tcPr>
          <w:p>
            <w:pPr>
              <w:spacing w:line="276" w:lineRule="auto"/>
            </w:pPr>
            <w:r>
              <w:rPr>
                <w:rFonts w:ascii="宋体" w:hAnsi="宋体" w:eastAsia="宋体"/>
                <w:sz w:val="19"/>
              </w:rPr>
              <w:t>1.4；3.3；4.3</w:t>
            </w:r>
          </w:p>
        </w:tc>
      </w:tr>
      <w:tr>
        <w:tc>
          <w:tcPr>
            <w:tcW w:type="dxa" w:w="3420"/>
          </w:tcPr>
          <w:p>
            <w:pPr>
              <w:spacing w:line="276" w:lineRule="auto"/>
            </w:pPr>
            <w:r>
              <w:rPr>
                <w:rFonts w:ascii="宋体" w:hAnsi="宋体" w:eastAsia="宋体"/>
                <w:sz w:val="19"/>
              </w:rPr>
              <w:t>8. 讨论部分重复结果，缺少边界、不确定性和适用性讨论。</w:t>
            </w:r>
          </w:p>
        </w:tc>
        <w:tc>
          <w:tcPr>
            <w:tcW w:type="dxa" w:w="3420"/>
          </w:tcPr>
          <w:p>
            <w:pPr>
              <w:spacing w:line="276" w:lineRule="auto"/>
            </w:pPr>
            <w:r>
              <w:rPr>
                <w:rFonts w:ascii="宋体" w:hAnsi="宋体" w:eastAsia="宋体"/>
                <w:sz w:val="19"/>
              </w:rPr>
              <w:t>接受。讨论应解释方法意义和风险，而不是复述结果。</w:t>
            </w:r>
          </w:p>
        </w:tc>
        <w:tc>
          <w:tcPr>
            <w:tcW w:type="dxa" w:w="3420"/>
          </w:tcPr>
          <w:p>
            <w:pPr>
              <w:spacing w:line="276" w:lineRule="auto"/>
            </w:pPr>
            <w:r>
              <w:rPr>
                <w:rFonts w:ascii="宋体" w:hAnsi="宋体" w:eastAsia="宋体"/>
                <w:sz w:val="19"/>
              </w:rPr>
              <w:t>已重写讨论逻辑，分别讨论ODI前置约束的作用与边界、参数场驱动规划相对于传统经验布置的意义、连续参数场质量对规划结果的影响、ODI信息压缩风险、权重/阈值敏感性以及后续实矿验证方向。</w:t>
            </w:r>
          </w:p>
        </w:tc>
        <w:tc>
          <w:tcPr>
            <w:tcW w:type="dxa" w:w="3420"/>
          </w:tcPr>
          <w:p>
            <w:pPr>
              <w:spacing w:line="276" w:lineRule="auto"/>
            </w:pPr>
            <w:r>
              <w:rPr>
                <w:rFonts w:ascii="宋体" w:hAnsi="宋体" w:eastAsia="宋体"/>
                <w:sz w:val="19"/>
              </w:rPr>
              <w:t>4.1；4.2；4.3</w:t>
            </w:r>
          </w:p>
        </w:tc>
      </w:tr>
      <w:tr>
        <w:tc>
          <w:tcPr>
            <w:tcW w:type="dxa" w:w="3420"/>
          </w:tcPr>
          <w:p>
            <w:pPr>
              <w:spacing w:line="276" w:lineRule="auto"/>
            </w:pPr>
            <w:r>
              <w:rPr>
                <w:rFonts w:ascii="宋体" w:hAnsi="宋体" w:eastAsia="宋体"/>
                <w:sz w:val="19"/>
              </w:rPr>
              <w:t>9. 参考文献需要聚焦煤炭采区规划、覆岩扰动、保水采煤和智能化矿山。</w:t>
            </w:r>
          </w:p>
        </w:tc>
        <w:tc>
          <w:tcPr>
            <w:tcW w:type="dxa" w:w="3420"/>
          </w:tcPr>
          <w:p>
            <w:pPr>
              <w:spacing w:line="276" w:lineRule="auto"/>
            </w:pPr>
            <w:r>
              <w:rPr>
                <w:rFonts w:ascii="宋体" w:hAnsi="宋体" w:eastAsia="宋体"/>
                <w:sz w:val="19"/>
              </w:rPr>
              <w:t>接受。</w:t>
            </w:r>
          </w:p>
        </w:tc>
        <w:tc>
          <w:tcPr>
            <w:tcW w:type="dxa" w:w="3420"/>
          </w:tcPr>
          <w:p>
            <w:pPr>
              <w:spacing w:line="276" w:lineRule="auto"/>
            </w:pPr>
            <w:r>
              <w:rPr>
                <w:rFonts w:ascii="宋体" w:hAnsi="宋体" w:eastAsia="宋体"/>
                <w:sz w:val="19"/>
              </w:rPr>
              <w:t>已联网核验原有参考文献并补充中文核心方向文献，参考文献扩充至50条，均保留DOI；正文引用覆盖1-50号，未发现正文未引或参考文献缺号问题。</w:t>
            </w:r>
          </w:p>
        </w:tc>
        <w:tc>
          <w:tcPr>
            <w:tcW w:type="dxa" w:w="3420"/>
          </w:tcPr>
          <w:p>
            <w:pPr>
              <w:spacing w:line="276" w:lineRule="auto"/>
            </w:pPr>
            <w:r>
              <w:rPr>
                <w:rFonts w:ascii="宋体" w:hAnsi="宋体" w:eastAsia="宋体"/>
                <w:sz w:val="19"/>
              </w:rPr>
              <w:t>参考文献；全文引用</w:t>
            </w:r>
          </w:p>
        </w:tc>
      </w:tr>
      <w:tr>
        <w:tc>
          <w:tcPr>
            <w:tcW w:type="dxa" w:w="3420"/>
          </w:tcPr>
          <w:p>
            <w:pPr>
              <w:spacing w:line="276" w:lineRule="auto"/>
            </w:pPr>
            <w:r>
              <w:rPr>
                <w:rFonts w:ascii="宋体" w:hAnsi="宋体" w:eastAsia="宋体"/>
                <w:sz w:val="19"/>
              </w:rPr>
              <w:t>10. 公式格式和编号需符合期刊论文表达。</w:t>
            </w:r>
          </w:p>
        </w:tc>
        <w:tc>
          <w:tcPr>
            <w:tcW w:type="dxa" w:w="3420"/>
          </w:tcPr>
          <w:p>
            <w:pPr>
              <w:spacing w:line="276" w:lineRule="auto"/>
            </w:pPr>
            <w:r>
              <w:rPr>
                <w:rFonts w:ascii="宋体" w:hAnsi="宋体" w:eastAsia="宋体"/>
                <w:sz w:val="19"/>
              </w:rPr>
              <w:t>接受。</w:t>
            </w:r>
          </w:p>
        </w:tc>
        <w:tc>
          <w:tcPr>
            <w:tcW w:type="dxa" w:w="3420"/>
          </w:tcPr>
          <w:p>
            <w:pPr>
              <w:spacing w:line="276" w:lineRule="auto"/>
            </w:pPr>
            <w:r>
              <w:rPr>
                <w:rFonts w:ascii="宋体" w:hAnsi="宋体" w:eastAsia="宋体"/>
                <w:sz w:val="19"/>
              </w:rPr>
              <w:t>已将15个主公式整理为右编号版式，编号（1）至（15）连续。另测试了Word/MathType OMML自动转换方案，但复杂公式自动BuildUp后版面质量下降，因此正式稿保留更稳定的右编号表格结构，后续可逐式替换为MathType对象。</w:t>
            </w:r>
          </w:p>
        </w:tc>
        <w:tc>
          <w:tcPr>
            <w:tcW w:type="dxa" w:w="3420"/>
          </w:tcPr>
          <w:p>
            <w:pPr>
              <w:spacing w:line="276" w:lineRule="auto"/>
            </w:pPr>
            <w:r>
              <w:rPr>
                <w:rFonts w:ascii="宋体" w:hAnsi="宋体" w:eastAsia="宋体"/>
                <w:sz w:val="19"/>
              </w:rPr>
              <w:t>全文公式；公式处理记录</w:t>
            </w:r>
          </w:p>
        </w:tc>
      </w:tr>
    </w:tbl>
    <w:p>
      <w:pPr>
        <w:pStyle w:val="Heading1"/>
      </w:pPr>
      <w:r>
        <w:rPr>
          <w:rFonts w:ascii="黑体" w:hAnsi="黑体" w:eastAsia="黑体"/>
          <w:b/>
          <w:sz w:val="28"/>
        </w:rPr>
        <w:t>三、仍需说明的边界</w:t>
      </w:r>
    </w:p>
    <w:p>
      <w:pPr>
        <w:spacing w:line="300" w:lineRule="auto"/>
        <w:ind w:firstLine="480"/>
      </w:pPr>
      <w:r>
        <w:rPr>
          <w:rFonts w:ascii="宋体" w:hAnsi="宋体" w:eastAsia="宋体"/>
          <w:sz w:val="21"/>
        </w:rPr>
        <w:t>本轮修改已显著增强方法定义、可复核性和内部对照，但稿件仍不应宣称已经完成真实矿井条件下的工程定案验证。当前A/B/C对比属于同一候选池内部目标偏好对照，尚不等同于传统人工经验方案、无ODI方案和真实生产方案之间的完整工程对照。</w:t>
      </w:r>
    </w:p>
    <w:p>
      <w:pPr>
        <w:spacing w:line="300" w:lineRule="auto"/>
        <w:ind w:firstLine="480"/>
      </w:pPr>
      <w:r>
        <w:rPr>
          <w:rFonts w:ascii="宋体" w:hAnsi="宋体" w:eastAsia="宋体"/>
          <w:sz w:val="21"/>
        </w:rPr>
        <w:t>若后续需要进一步提高录用把握，建议继续补充三类材料：一是现场专家给出的经验布置方案作为外部基准；二是IDW与克里金或不同网格尺度下的参数场敏感性；三是真实煤价、成本、税费、产能约束和风险停产参数支撑下的经济评价。</w:t>
      </w:r>
    </w:p>
    <w:p>
      <w:pPr>
        <w:pStyle w:val="Heading1"/>
      </w:pPr>
      <w:r>
        <w:rPr>
          <w:rFonts w:ascii="黑体" w:hAnsi="黑体" w:eastAsia="黑体"/>
          <w:b/>
          <w:sz w:val="28"/>
        </w:rPr>
        <w:t>四、当前质量检查结果</w:t>
      </w:r>
    </w:p>
    <w:tbl>
      <w:tblPr>
        <w:tblStyle w:val="TableGrid"/>
        <w:tblW w:type="auto" w:w="0"/>
        <w:tblLook w:firstColumn="1" w:firstRow="1" w:lastColumn="0" w:lastRow="0" w:noHBand="0" w:noVBand="1" w:val="04A0"/>
      </w:tblPr>
      <w:tblGrid>
        <w:gridCol w:w="6840"/>
        <w:gridCol w:w="6840"/>
      </w:tblGrid>
      <w:tr>
        <w:tc>
          <w:tcPr>
            <w:tcW w:type="dxa" w:w="6840"/>
            <w:shd w:fill="D9EAF7"/>
          </w:tcPr>
          <w:p>
            <w:r>
              <w:rPr>
                <w:rFonts w:ascii="黑体" w:hAnsi="黑体" w:eastAsia="黑体"/>
                <w:b/>
                <w:sz w:val="21"/>
              </w:rPr>
              <w:t>检查项</w:t>
            </w:r>
          </w:p>
        </w:tc>
        <w:tc>
          <w:tcPr>
            <w:tcW w:type="dxa" w:w="6840"/>
            <w:shd w:fill="D9EAF7"/>
          </w:tcPr>
          <w:p>
            <w:r>
              <w:rPr>
                <w:rFonts w:ascii="黑体" w:hAnsi="黑体" w:eastAsia="黑体"/>
                <w:b/>
                <w:sz w:val="21"/>
              </w:rPr>
              <w:t>结果</w:t>
            </w:r>
          </w:p>
        </w:tc>
      </w:tr>
      <w:tr>
        <w:tc>
          <w:tcPr>
            <w:tcW w:type="dxa" w:w="6840"/>
          </w:tcPr>
          <w:p>
            <w:pPr>
              <w:spacing w:line="276" w:lineRule="auto"/>
            </w:pPr>
            <w:r>
              <w:rPr>
                <w:rFonts w:ascii="宋体" w:hAnsi="宋体" w:eastAsia="宋体"/>
                <w:sz w:val="19"/>
              </w:rPr>
              <w:t>参考文献一致性</w:t>
            </w:r>
          </w:p>
        </w:tc>
        <w:tc>
          <w:tcPr>
            <w:tcW w:type="dxa" w:w="6840"/>
          </w:tcPr>
          <w:p>
            <w:pPr>
              <w:spacing w:line="276" w:lineRule="auto"/>
            </w:pPr>
            <w:r>
              <w:rPr>
                <w:rFonts w:ascii="宋体" w:hAnsi="宋体" w:eastAsia="宋体"/>
                <w:sz w:val="19"/>
              </w:rPr>
              <w:t>reference_count=50；doi_count=50；used_body_count=50；missing_in_body=[]；missing_in_refs=[]</w:t>
            </w:r>
          </w:p>
        </w:tc>
      </w:tr>
      <w:tr>
        <w:tc>
          <w:tcPr>
            <w:tcW w:type="dxa" w:w="6840"/>
          </w:tcPr>
          <w:p>
            <w:pPr>
              <w:spacing w:line="276" w:lineRule="auto"/>
            </w:pPr>
            <w:r>
              <w:rPr>
                <w:rFonts w:ascii="宋体" w:hAnsi="宋体" w:eastAsia="宋体"/>
                <w:sz w:val="19"/>
              </w:rPr>
              <w:t>全文一致性审计</w:t>
            </w:r>
          </w:p>
        </w:tc>
        <w:tc>
          <w:tcPr>
            <w:tcW w:type="dxa" w:w="6840"/>
          </w:tcPr>
          <w:p>
            <w:pPr>
              <w:spacing w:line="276" w:lineRule="auto"/>
            </w:pPr>
            <w:r>
              <w:rPr>
                <w:rFonts w:ascii="宋体" w:hAnsi="宋体" w:eastAsia="宋体"/>
                <w:sz w:val="19"/>
              </w:rPr>
              <w:t>issues=0</w:t>
            </w:r>
          </w:p>
        </w:tc>
      </w:tr>
      <w:tr>
        <w:tc>
          <w:tcPr>
            <w:tcW w:type="dxa" w:w="6840"/>
          </w:tcPr>
          <w:p>
            <w:pPr>
              <w:spacing w:line="276" w:lineRule="auto"/>
            </w:pPr>
            <w:r>
              <w:rPr>
                <w:rFonts w:ascii="宋体" w:hAnsi="宋体" w:eastAsia="宋体"/>
                <w:sz w:val="19"/>
              </w:rPr>
              <w:t>公式编号检查</w:t>
            </w:r>
          </w:p>
        </w:tc>
        <w:tc>
          <w:tcPr>
            <w:tcW w:type="dxa" w:w="6840"/>
          </w:tcPr>
          <w:p>
            <w:pPr>
              <w:spacing w:line="276" w:lineRule="auto"/>
            </w:pPr>
            <w:r>
              <w:rPr>
                <w:rFonts w:ascii="宋体" w:hAnsi="宋体" w:eastAsia="宋体"/>
                <w:sz w:val="19"/>
              </w:rPr>
              <w:t>formula_tables=15；formula_numbers=1-15；formula_sequence_ok=True</w:t>
            </w:r>
          </w:p>
        </w:tc>
      </w:tr>
      <w:tr>
        <w:tc>
          <w:tcPr>
            <w:tcW w:type="dxa" w:w="6840"/>
          </w:tcPr>
          <w:p>
            <w:pPr>
              <w:spacing w:line="276" w:lineRule="auto"/>
            </w:pPr>
            <w:r>
              <w:rPr>
                <w:rFonts w:ascii="宋体" w:hAnsi="宋体" w:eastAsia="宋体"/>
                <w:sz w:val="19"/>
              </w:rPr>
              <w:t>PDF预览</w:t>
            </w:r>
          </w:p>
        </w:tc>
        <w:tc>
          <w:tcPr>
            <w:tcW w:type="dxa" w:w="6840"/>
          </w:tcPr>
          <w:p>
            <w:pPr>
              <w:spacing w:line="276" w:lineRule="auto"/>
            </w:pPr>
            <w:r>
              <w:rPr>
                <w:rFonts w:ascii="宋体" w:hAnsi="宋体" w:eastAsia="宋体"/>
                <w:sz w:val="19"/>
              </w:rPr>
              <w:t>已导出公式右编号预览PDF，用于检查编号位置和公式版式</w:t>
            </w:r>
          </w:p>
        </w:tc>
      </w:tr>
    </w:tbl>
    <w:sectPr w:rsidR="00FC693F" w:rsidRPr="0006063C" w:rsidSect="00034616">
      <w:pgSz w:w="15840" w:h="12240" w:orient="landscape"/>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