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数据与参数复核附表说明</w:t>
      </w:r>
    </w:p>
    <w:p>
      <w:r>
        <w:rPr>
          <w:rFonts w:ascii="宋体" w:hAnsi="宋体" w:eastAsia="宋体"/>
          <w:sz w:val="21"/>
        </w:rPr>
        <w:t>用于支撑《覆岩扰动约束下采区协同规划方法》大修稿的数据可复核性说明。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类别</w:t>
            </w:r>
          </w:p>
        </w:tc>
        <w:tc>
          <w:tcPr>
            <w:tcW w:type="dxa" w:w="342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路径</w:t>
            </w:r>
          </w:p>
        </w:tc>
        <w:tc>
          <w:tcPr>
            <w:tcW w:type="dxa" w:w="342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是否存在</w:t>
            </w:r>
          </w:p>
        </w:tc>
        <w:tc>
          <w:tcPr>
            <w:tcW w:type="dxa" w:w="342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采区边界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E:\xiangmu\miningplan\data\采区边界_敏东.csv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用于复核规划域边界输入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钻孔坐标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E:\xiangmu\miningplan\data\钻孔坐标_敏东.csv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用于复核钻孔样点输入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统一ODI场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E:\xiangmu\miningplan\论文\重构工作区\05_支撑材料\接口结果\000_mindong_layout_odi_field.json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用于复核80x56网格及全域ODI统计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A/B/C方案统计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E:\xiangmu\miningplan\docs\plans\coal_sci_abc_odi_unified_stats_20260418.csv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用于复核方案级ODI统计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阈值敏感性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E:\xiangmu\miningplan\docs\plans\coal_sci_threshold_sensitivity_candidates_20260418.csv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用于复核0.65/0.70/0.75/0.80阈值影响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权重敏感性-方案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E:\xiangmu\miningplan\docs\plans\coal_sci_weight_sensitivity_candidates_20260418.csv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用于复核不同权重下A/B/C风险综合得分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权重敏感性-全域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E:\xiangmu\miningplan\docs\plans\coal_sci_weight_sensitivity_field_20260418.csv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用于复核全域ODI场权重扰动</w:t>
            </w:r>
          </w:p>
        </w:tc>
      </w:tr>
      <w:tr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旧候选方案口径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E:\xiangmu\miningplan\docs\plans\coal_sci_abc_candidate_summary_20260418.csv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True</w:t>
            </w:r>
          </w:p>
        </w:tc>
        <w:tc>
          <w:tcPr>
            <w:tcW w:type="dxa" w:w="342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用于说明C_old不作为正文C方案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456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复核项</w:t>
            </w:r>
          </w:p>
        </w:tc>
        <w:tc>
          <w:tcPr>
            <w:tcW w:type="dxa" w:w="456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复核值</w:t>
            </w:r>
          </w:p>
        </w:tc>
        <w:tc>
          <w:tcPr>
            <w:tcW w:type="dxa" w:w="456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说明/来源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网格宽度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80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E:\xiangmu\miningplan\论文\重构工作区\05_支撑材料\接口结果\000_mindong_layout_odi_field.json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网格高度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56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E:\xiangmu\miningplan\论文\重构工作区\05_支撑材料\接口结果\000_mindong_layout_odi_field.json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栅格数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4480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由field数值展平后计算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ODI均值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0.466862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由统一ODI场计算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ODI中位数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0.454215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由统一ODI场计算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ODI P90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0.747401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由统一ODI场计算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ODI&gt;0.70比例/%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15.8929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由统一ODI场计算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ODI&gt;0.80比例/%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3.5491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由统一ODI场计算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456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复核项</w:t>
            </w:r>
          </w:p>
        </w:tc>
        <w:tc>
          <w:tcPr>
            <w:tcW w:type="dxa" w:w="456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状态/要求</w:t>
            </w:r>
          </w:p>
        </w:tc>
        <w:tc>
          <w:tcPr>
            <w:tcW w:type="dxa" w:w="4560"/>
            <w:shd w:fill="D9EAF7"/>
          </w:tcPr>
          <w:p>
            <w:r>
              <w:rPr>
                <w:rFonts w:ascii="黑体" w:hAnsi="黑体" w:eastAsia="黑体"/>
                <w:b/>
                <w:sz w:val="19"/>
              </w:rPr>
              <w:t>处理状态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边界输入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采区边界点文件存在，可追溯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已纳入附表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钻孔输入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钻孔坐标文件存在，可追溯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已纳入附表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全域ODI场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可复核80x56、4480栅格、均值、P90、超阈值比例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已纳入附表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方案级统计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A/B/C在统一ODI场下复算均值、P90、ODI&gt;0.70比例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已纳入附表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阈值敏感性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0.65、0.70、0.75、0.80四组阈值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已纳入附表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权重敏感性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基准、分量扰动及含水层专项权重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已纳入附表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外部基准方案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传统人工经验方案或无ODI方案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仍需后续补充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插值误差验证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IDW留一交叉验证或Kriging对比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仍需后续补充</w:t>
            </w:r>
          </w:p>
        </w:tc>
      </w:tr>
      <w:tr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严格公式对象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MathType/OMML逐式替换</w:t>
            </w:r>
          </w:p>
        </w:tc>
        <w:tc>
          <w:tcPr>
            <w:tcW w:type="dxa" w:w="4560"/>
          </w:tcPr>
          <w:p>
            <w:pPr>
              <w:spacing w:line="264" w:lineRule="auto"/>
            </w:pPr>
            <w:r>
              <w:rPr>
                <w:rFonts w:ascii="宋体" w:hAnsi="宋体" w:eastAsia="宋体"/>
                <w:sz w:val="18"/>
              </w:rPr>
              <w:t>仍需格式阶段处理</w:t>
            </w:r>
          </w:p>
        </w:tc>
      </w:tr>
    </w:tbl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