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sz w:val="32"/>
        </w:rPr>
        <w:t>模拟二审意见与剩余风险清单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1"/>
        </w:rPr>
        <w:t>审查对象为当前大修工作稿。审查口径按《煤炭科学技术》工程技术论文的二审标准，重点检查大修意见是否被实质性回应、方法定义是否可复核、案例验证是否过度外推、结论是否与证据强度一致。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一、总体判断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1"/>
        </w:rPr>
        <w:t>与初稿相比，当前稿件已经从“系统说明+样例输出”明显转向“ODI前置约束下的候选方案生成与多目标比选方法”。ODI定义、变量约束、候选池生成、评分口径、A/B/C内部对照和敏感性分析均有实质补充。若按模拟二审口径，稿件已不再处于退修边缘，但仍属于“修改后可继续外审/小修偏大”的状态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二、已明显改善的部分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创新点已从流程串联改写为ODI统一风险表征、参数场到规划对象映射、候选池与评价传递3个可审查贡献。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ODI已补充组成项、归一化、权重来源、阈值定位和敏感性分析，避免把自定义指标写成未经标定的安全红线。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多目标模型已补充决策变量、约束集合、候选池生成、非支配排序和综合排序逻辑。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案例验证已从单一导出样例扩展为A/B/C内部对照，并明确控制变量和验证边界。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经济评价已收缩为下游接口和净现金流口径，避免缺少煤价、税费、成本参数时给出过强经济结论。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参考文献已扩充至50条且正文引用全覆盖，中文煤炭领域文献权重明显提高。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三、模拟二审仍可能提出的问题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D9EAF7"/>
          </w:tcPr>
          <w:p>
            <w:r>
              <w:rPr>
                <w:rFonts w:ascii="黑体" w:hAnsi="黑体" w:eastAsia="黑体"/>
                <w:b/>
                <w:sz w:val="21"/>
              </w:rPr>
              <w:t>优先级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黑体" w:hAnsi="黑体" w:eastAsia="黑体"/>
                <w:b/>
                <w:sz w:val="21"/>
              </w:rPr>
              <w:t>问题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黑体" w:hAnsi="黑体" w:eastAsia="黑体"/>
                <w:b/>
                <w:sz w:val="21"/>
              </w:rPr>
              <w:t>二审可能意见</w:t>
            </w:r>
          </w:p>
        </w:tc>
        <w:tc>
          <w:tcPr>
            <w:tcW w:type="dxa" w:w="2340"/>
            <w:shd w:fill="D9EAF7"/>
          </w:tcPr>
          <w:p>
            <w:r>
              <w:rPr>
                <w:rFonts w:ascii="黑体" w:hAnsi="黑体" w:eastAsia="黑体"/>
                <w:b/>
                <w:sz w:val="21"/>
              </w:rPr>
              <w:t>处理建议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公式仍不是严格MathType/OMML对象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当前右编号版式稳定，但公式主体仍主要是线性文本。若编辑部严格要求可编辑公式对象，仍需逐式替换为MathType或Word公式。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格式风险，不必改变研究结论；投稿前可由作者逐式处理。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P1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外部基准方案仍不足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A/B/C属于同一候选池内部对照，不是传统人工经验方案、无ODI方案和本文方案的完整外部对照。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这是剩余最大科学验证风险；若有条件，应补1个专家经验方案或无ODI方案。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数据可复现材料未独立成附录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正文已说明需保留4类中间数据，但尚未提供独立数据清单、字段说明或样例表。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建议后续补“数据与参数复核表”或附录。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插值方法仍偏样例化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IDW选择已有解释，但未给留一交叉验证、克里金对比或网格尺度敏感性。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目前已在讨论中列为后续工作；若篇幅允许，可补一段误差复核计划。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P2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图件分辨率和图中文字可能影响期刊排版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图1至图4承载较多信息，若投稿系统压缩图片，图中文字可能偏小。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属于排版与制图风险；后续格式阶段处理。</w:t>
            </w:r>
          </w:p>
        </w:tc>
      </w:tr>
      <w:tr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P3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结论第3条中C方案的ODI&gt;0.70比例高于A/B，需避免读者误解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正文已解释C不是所有单项指标最优，而是均值、P90和风险综合得分较优；摘要和结论仍需保持这种联合判据表述。</w:t>
            </w:r>
          </w:p>
        </w:tc>
        <w:tc>
          <w:tcPr>
            <w:tcW w:type="dxa" w:w="2340"/>
          </w:tcPr>
          <w:p>
            <w:pPr>
              <w:spacing w:line="276" w:lineRule="auto"/>
            </w:pPr>
            <w:r>
              <w:rPr>
                <w:rFonts w:ascii="宋体" w:hAnsi="宋体" w:eastAsia="宋体"/>
                <w:sz w:val="19"/>
              </w:rPr>
              <w:t>当前基本可接受，后续可继续微调结论措辞。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28"/>
        </w:rPr>
        <w:t>四、建议的下一轮处理顺序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优先处理公式对象：保留当前右编号表格结构，逐式替换中列公式为MathType/Word公式对象。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补一个数据与参数复核附表：列出边界、钻孔、网格、ODI分量、候选方案对象和统计字段。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若有现场或程序数据，补无ODI方案或专家经验方案作为外部基准。</w:t>
      </w:r>
    </w:p>
    <w:p>
      <w:pPr>
        <w:pStyle w:val="ListBullet"/>
        <w:spacing w:line="288" w:lineRule="auto"/>
      </w:pPr>
      <w:r>
        <w:rPr>
          <w:rFonts w:ascii="宋体" w:hAnsi="宋体" w:eastAsia="宋体"/>
          <w:sz w:val="21"/>
        </w:rPr>
        <w:t>最后再做全文语言压缩与图件清晰度处理。</w:t>
      </w:r>
    </w:p>
    <w:p>
      <w:pPr>
        <w:pStyle w:val="Heading1"/>
      </w:pPr>
      <w:r>
        <w:rPr>
          <w:rFonts w:ascii="黑体" w:hAnsi="黑体" w:eastAsia="黑体"/>
          <w:b/>
          <w:sz w:val="28"/>
        </w:rPr>
        <w:t>五、模拟二审结论</w:t>
      </w:r>
    </w:p>
    <w:p>
      <w:pPr>
        <w:spacing w:line="300" w:lineRule="auto"/>
        <w:ind w:firstLine="480"/>
      </w:pPr>
      <w:r>
        <w:rPr>
          <w:rFonts w:ascii="宋体" w:hAnsi="宋体" w:eastAsia="宋体"/>
          <w:sz w:val="21"/>
        </w:rPr>
        <w:t>模拟二审结论为：大修意见已获得实质回应，稿件的研究边界比初稿清楚，核心方法链条基本可审。若不补外部基准和严格公式对象，仍可能被要求继续修改；若补充数据附表和公式对象，进入小修或继续外审的可能性会明显提高。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