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摘要：针对采区规划中离散地质信息难以连续参与空间布置、多场景覆岩扰动风险约束口径不统一以及规划结果难以向采掘接续和经济评价传递等问题，提出一种基于覆岩扰动指数（overburden disturbance index，ODI）约束的采区候选方案生成与多目标比选方法。该方法以采区边界、钻孔样点和设计参数为输入，先构建有效布置域与连续参数场，再将地表沉陷、含水层扰动和上行开采等风险分量归一化并加权为统一ODI场，进一步以ODI均值、90%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80×56栅格ODI场，共4480个栅格，均值为0.4669，P90为0.7474，ODI&gt;0.70比例为15.89%。在同一ODI场下，工程效率优先方案A、资源回收优先方案B和ODI筛选方案C的ODI均值分别为0.4463、0.4552和0.4416，P90分别为0.6407、0.6462和0.6353，ODI&gt;0.70比例分别为0.44%、0.56%和1.22%。权重和阈值敏感性结果表明，在当前样例和候选池范围内，C方案风险综合得分均低于A、B方案。研究结果说明，ODI前置约束可将风险图层转化为可复核的方案级统计指标，为采区规划阶段的多目标比选和后续对象传递提供方法支撑；真实矿井条件下的工程优选仍需结合现场约束和多案例验证。</w:t>
      </w:r>
    </w:p>
    <w:p w14:paraId="12C9670E" w14:textId="77777777" w:rsidR="007E22B6" w:rsidRDefault="00A249E2">
      <w:pPr>
        <w:pStyle w:val="05"/>
        <w:spacing w:after="60"/>
      </w:pPr>
      <w:r>
        <w:t>关键词：覆岩扰动指数；采区规划；多目标优化；候选方案池；风险前置约束；连续参数场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the lowest composite risk score under ±10% weight perturbations and the aquifer-special weight setting. The results indicate that ODI pre-constraint can transform risk layers into reproducible scheme-level statistics for multi-objective comparison in mining-district planning, whereas engineering optimization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optimization;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-3,26-32]。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5725E35E"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[4-10,22-25,33-37,39-41,45,48-50]。与此同时，地下矿山布置优化、多目标规划及生产调度研究表明，候选方案生成、目标排序和多方案比较能够提升规划决策质量[11-15,38]。近年来，数字孪生、透明工作面、矿山地质建模和过程管理技术的发展，也使采区边界、钻孔、分层和生产状态在统一数据空间中的组织与维护成为可能[16-18,27-32]；矿山经济评价方法则由静态收益测算逐步转向动态现金流、风险成本和多方案比较[19-21]。</w:t>
      </w:r>
    </w:p>
    <w:p w14:paraId="63908375"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[31-32]。其二，地表沉陷、含水层扰动、导水裂隙带发育和上行开采等风险场景具有不同量纲、不同判据和不同分析尺度，多数研究仍聚焦于单一风险场景或单一判据，尚难形成可在规划阶段统一参与方案比较的约束表达[33-37,45,49-50]。其三，已有布局优化研究多强调某一阶段的几何求解或算法排序，对于规划结果如何继续进入采掘接续组织、参数调控和工程经济评价环节讨论不足，导致“规划—校核—评价”之间仍存在明显割裂[28,46-47]。</w:t>
      </w:r>
    </w:p>
    <w:p w14:paraId="3A101870" w14:textId="77777777" w:rsidR="00D76BC3" w:rsidRDefault="00D76BC3" w:rsidP="00D76BC3">
      <w:pPr>
        <w:pStyle w:val="10"/>
        <w:spacing w:after="40"/>
        <w:ind w:firstLine="420"/>
      </w:pPr>
      <w:r>
        <w:rPr>
          <w:rFonts w:ascii="宋体" w:eastAsia="宋体" w:hAnsi="宋体"/>
          <w:sz w:val="21"/>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w:t>
      </w:r>
      <w:r>
        <w:rPr>
          <w:sz w:val="21"/>
        </w:rPr>
        <w:t>1</w:t>
      </w:r>
      <w:r>
        <w:rPr>
          <w:sz w:val="21"/>
        </w:rPr>
        <w:t>）构建面向采区规划的</w:t>
      </w:r>
      <w:r>
        <w:rPr>
          <w:sz w:val="21"/>
        </w:rPr>
        <w:t>ODI</w:t>
      </w:r>
      <w:r>
        <w:rPr>
          <w:sz w:val="21"/>
        </w:rPr>
        <w:t>统一风险表征方法，明确风险分量归一化、权重聚合、阈值统计和方案级指标计算口径；</w:t>
      </w:r>
      <w:r>
        <w:rPr>
          <w:sz w:val="21"/>
        </w:rPr>
        <w:t>2</w:t>
      </w:r>
      <w:r>
        <w:rPr>
          <w:sz w:val="21"/>
        </w:rPr>
        <w:t>）建立离散钻孔、连续参数场与工作面布局对象之间的规划映射机制，使地质参数能够从点状样本转化为可参与方案生成和评价的空间变量；</w:t>
      </w:r>
      <w:r>
        <w:rPr>
          <w:sz w:val="21"/>
        </w:rPr>
        <w:t>3</w:t>
      </w:r>
      <w:r>
        <w:rPr>
          <w:sz w:val="21"/>
        </w:rPr>
        <w:t>）构建包含工程效率、资源回收与扰动控制目标的候选方案池和排序流程，并通过工程效率优先、资源回收优先、扰动控制优先等方案对比说明</w:t>
      </w:r>
      <w:r>
        <w:rPr>
          <w:sz w:val="21"/>
        </w:rPr>
        <w:t>ODI</w:t>
      </w:r>
      <w:r>
        <w:rPr>
          <w:sz w:val="21"/>
        </w:rPr>
        <w:t>前置约束在方案比选中的作用。本文结果主要用于验证方法链路和对象传递的可行性，不将单一样例扩展为真实矿井条件下的普适最优结论。</w:t>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[33-37,41,45,49-50]。不同风险场景的原始量纲、判据和空间尺度存在差异，若分别以各自阈值进入规划过程，容易造成约束口径不统一和方案比较困难。本文不把ODI定义为新的覆岩力学机理参数，而将其作为面向采区规划的统一风险表征指标，用于把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p w14:paraId="6828E74A" w14:textId="77777777" w:rsidR="00D76BC3" w:rsidRDefault="00A249E2">
      <w:pPr>
        <w:pStyle w:val="16"/>
        <w:tabs>
          <w:tab w:val="right" w:pos="8504"/>
        </w:tabs>
        <w:spacing w:after="60" w:line="240" w:lineRule="auto"/>
        <w:jc w:val="center"/>
      </w:pPr>
      <w:r>
        <w:rPr>
          <w:sz w:val="18"/>
        </w:rPr>
        <w:t xml:space="preserve">ODI(x)=w_sD_s(x)+w_aD_a(x)+w_uD_u(x)                                           </w:t>
      </w:r>
      <w:r>
        <w:rPr>
          <w:sz w:val="18"/>
        </w:rPr>
        <w:t>（</w:t>
      </w:r>
      <w:r>
        <w:rPr>
          <w:sz w:val="18"/>
        </w:rPr>
        <w:t>1</w:t>
      </w:r>
      <w:r>
        <w:rPr>
          <w:sz w:val="18"/>
        </w:rPr>
        <w:t>）</w:t>
      </w:r>
    </w:p>
    <w:p w14:paraId="043DF80D" w14:textId="77777777" w:rsidR="00E05130" w:rsidRDefault="00E05130" w:rsidP="009330B5">
      <w:pPr>
        <w:pStyle w:val="10"/>
        <w:spacing w:after="40"/>
        <w:ind w:firstLine="420"/>
      </w:pPr>
      <w:r>
        <w:rPr>
          <w:sz w:val="21"/>
        </w:rPr>
        <w:t>其中权重满足</w:t>
      </w:r>
    </w:p>
    <w:p w14:paraId="5861BFFF" w14:textId="77777777" w:rsidR="009330B5" w:rsidRPr="00E05130" w:rsidRDefault="00A249E2" w:rsidP="009330B5">
      <w:pPr>
        <w:pStyle w:val="16"/>
        <w:tabs>
          <w:tab w:val="right" w:pos="8504"/>
        </w:tabs>
        <w:spacing w:after="60" w:line="240" w:lineRule="auto"/>
        <w:jc w:val="center"/>
      </w:pPr>
      <w:r>
        <w:rPr>
          <w:sz w:val="18"/>
        </w:rPr>
        <w:t>w_s+w_a+w_u=1</w:t>
      </w:r>
      <w:r>
        <w:rPr>
          <w:sz w:val="18"/>
        </w:rPr>
        <w:t>，</w:t>
      </w:r>
      <w:r>
        <w:rPr>
          <w:sz w:val="18"/>
        </w:rPr>
        <w:t>w_s≥0</w:t>
      </w:r>
      <w:r>
        <w:rPr>
          <w:sz w:val="18"/>
        </w:rPr>
        <w:t>，</w:t>
      </w:r>
      <w:r>
        <w:rPr>
          <w:sz w:val="18"/>
        </w:rPr>
        <w:t>w_a≥0</w:t>
      </w:r>
      <w:r>
        <w:rPr>
          <w:sz w:val="18"/>
        </w:rPr>
        <w:t>，</w:t>
      </w:r>
      <w:r>
        <w:rPr>
          <w:sz w:val="18"/>
        </w:rPr>
        <w:t>w_u≥0</w:t>
      </w:r>
      <w:r>
        <w:rPr>
          <w:sz w:val="18"/>
        </w:rPr>
        <w:t>。</w:t>
      </w:r>
      <w:r>
        <w:rPr>
          <w:sz w:val="18"/>
        </w:rPr>
        <w:t xml:space="preserve">                                           </w:t>
      </w:r>
      <w:r>
        <w:rPr>
          <w:sz w:val="18"/>
        </w:rPr>
        <w:t>（</w:t>
      </w:r>
      <w:r>
        <w:rPr>
          <w:sz w:val="18"/>
        </w:rPr>
        <w:t>2</w:t>
      </w:r>
      <w:r>
        <w:rPr>
          <w:sz w:val="18"/>
        </w:rPr>
        <w:t>）</w:t>
      </w:r>
    </w:p>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的确定方式，而不把权重解释为已完成现场统计标定的经验常数。综合规划基准权重取0.45/0.30/0.25，强调一般采区规划中地表沉陷控制、含水层扰动控制和上行开采扰动控制的综合平衡；含水层专项场景权重取0.15/0.25/0.60，用于检验当覆岩导水裂隙带发育及含水层保护约束被强化时，方案排序是否发生方向性改变。为避免“ODI”与子项语义重叠，本文不再使用“覆岩扰动分量”作为子指标名称，而以具体风险场景命名各分量。因此，本文给出的权重属于规划阶段的可复核假设，后续工程应用需结合矿区历史沉陷、水文地质观测和保护对象等级重新标定。</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p w14:paraId="63DE4F76" w14:textId="77777777" w:rsidR="009330B5" w:rsidRPr="009330B5" w:rsidRDefault="00A249E2" w:rsidP="009330B5">
      <w:pPr>
        <w:pStyle w:val="16"/>
        <w:tabs>
          <w:tab w:val="right" w:pos="8504"/>
        </w:tabs>
        <w:spacing w:after="60" w:line="240" w:lineRule="auto"/>
        <w:jc w:val="center"/>
      </w:pPr>
      <w:r>
        <w:rPr>
          <w:sz w:val="18"/>
        </w:rPr>
        <w:t xml:space="preserve">X_i'(x)=[X_i(x)-X_i,min]/[X_i,max-X_i,min]                                      </w:t>
      </w:r>
      <w:r>
        <w:rPr>
          <w:sz w:val="18"/>
        </w:rPr>
        <w:t>（</w:t>
      </w:r>
      <w:r>
        <w:rPr>
          <w:sz w:val="18"/>
        </w:rPr>
        <w:t>3</w:t>
      </w:r>
      <w:r>
        <w:rPr>
          <w:sz w:val="18"/>
        </w:rPr>
        <w:t>）</w:t>
      </w:r>
    </w:p>
    <w:p w14:paraId="629B4C30" w14:textId="77777777" w:rsidR="009330B5" w:rsidRPr="009330B5" w:rsidRDefault="00A249E2" w:rsidP="009330B5">
      <w:pPr>
        <w:pStyle w:val="16"/>
        <w:tabs>
          <w:tab w:val="right" w:pos="8504"/>
        </w:tabs>
        <w:spacing w:after="60" w:line="240" w:lineRule="auto"/>
        <w:jc w:val="center"/>
      </w:pPr>
      <w:r>
        <w:rPr>
          <w:sz w:val="18"/>
        </w:rPr>
        <w:t xml:space="preserve">X_i'(x)=[X_i,max-X_i(x)]/[X_i,max-X_i,min]                                      </w:t>
      </w:r>
      <w:r>
        <w:rPr>
          <w:sz w:val="18"/>
        </w:rPr>
        <w:t>（</w:t>
      </w:r>
      <w:r>
        <w:rPr>
          <w:sz w:val="18"/>
        </w:rPr>
        <w:t>4</w:t>
      </w:r>
      <w:r>
        <w:rPr>
          <w:sz w:val="18"/>
        </w:rPr>
        <w:t>）</w:t>
      </w:r>
    </w:p>
    <w:p w14:paraId="7AC6C3F9" w14:textId="77777777" w:rsidR="009330B5" w:rsidRDefault="009330B5" w:rsidP="009330B5">
      <w:pPr>
        <w:spacing w:after="40"/>
        <w:ind w:firstLine="420"/>
      </w:pPr>
    </w:p>
    <w:p w14:paraId="36590EEF" w14:textId="77777777" w:rsidR="009330B5" w:rsidRPr="009330B5" w:rsidRDefault="00A249E2" w:rsidP="009330B5">
      <w:pPr>
        <w:pStyle w:val="16"/>
        <w:tabs>
          <w:tab w:val="right" w:pos="8504"/>
        </w:tabs>
        <w:spacing w:after="60" w:line="240" w:lineRule="auto"/>
        <w:jc w:val="center"/>
      </w:pPr>
      <w:r>
        <w:rPr>
          <w:sz w:val="18"/>
        </w:rPr>
        <w:t xml:space="preserve">E_π=N_π(ODI&gt;T_ODI)/N_π×100%                                                   </w:t>
      </w:r>
      <w:r>
        <w:rPr>
          <w:sz w:val="18"/>
        </w:rPr>
        <w:t>（</w:t>
      </w:r>
      <w:r>
        <w:rPr>
          <w:sz w:val="18"/>
        </w:rPr>
        <w:t>5</w:t>
      </w:r>
      <w:r>
        <w:rPr>
          <w:sz w:val="18"/>
        </w:rPr>
        <w:t>）</w:t>
      </w:r>
    </w:p>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其中ODI均值反映方案区域的总体扰动水平，Q_0.90反映高值尾部风险，E_π反映超过统计阈值的空间暴露比例，不把单一ODI均值或单一超限比例作为唯一判据。阈值0.70和0.80分别作为预警统计线和高扰动统计线，用于样例内部的相对比较，而非行业安全红线或法规阈值。为降低自定义阈值带来的结论依赖，本文进一步设置0.65、0.70、0.75和0.80四组阈值进行敏感性分析；在真实矿井应用中，上述阈值仍应结合历史观测、含水层保护等级、地表建构筑物敏感性和现场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[30-32]。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p w14:paraId="5134C7C2" w14:textId="77777777" w:rsidR="009330B5" w:rsidRPr="009330B5" w:rsidRDefault="00A249E2" w:rsidP="009330B5">
      <w:pPr>
        <w:pStyle w:val="16"/>
        <w:tabs>
          <w:tab w:val="right" w:pos="8504"/>
        </w:tabs>
        <w:spacing w:after="60" w:line="240" w:lineRule="auto"/>
        <w:jc w:val="center"/>
      </w:pPr>
      <w:r>
        <w:rPr>
          <w:sz w:val="18"/>
        </w:rPr>
        <w:t>Ω_e=Ω_0\(B_b∪B_s∪D_p)</w:t>
      </w:r>
      <w:r>
        <w:rPr>
          <w:sz w:val="18"/>
        </w:rPr>
        <w:t>。</w:t>
      </w:r>
      <w:r>
        <w:rPr>
          <w:sz w:val="18"/>
        </w:rPr>
        <w:t xml:space="preserve">                                                        </w:t>
      </w:r>
      <w:r>
        <w:rPr>
          <w:sz w:val="18"/>
        </w:rPr>
        <w:t>（</w:t>
      </w:r>
      <w:r>
        <w:rPr>
          <w:sz w:val="18"/>
        </w:rPr>
        <w:t>6</w:t>
      </w:r>
      <w:r>
        <w:rPr>
          <w:sz w:val="18"/>
        </w:rPr>
        <w:t>）</w:t>
      </w:r>
    </w:p>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p w14:paraId="1D89AB63" w14:textId="77777777" w:rsidR="009330B5" w:rsidRPr="009330B5" w:rsidRDefault="00A249E2" w:rsidP="009330B5">
      <w:pPr>
        <w:pStyle w:val="16"/>
        <w:tabs>
          <w:tab w:val="right" w:pos="8504"/>
        </w:tabs>
        <w:spacing w:after="60" w:line="240" w:lineRule="auto"/>
        <w:jc w:val="center"/>
      </w:pPr>
      <w:r>
        <w:rPr>
          <w:sz w:val="18"/>
        </w:rPr>
        <w:t>z(x)=Σ[z_i d_i(x)^(-p)] / Σ[d_i(x)^(-p)]</w:t>
      </w:r>
      <w:r>
        <w:rPr>
          <w:sz w:val="18"/>
        </w:rPr>
        <w:t>。</w:t>
      </w:r>
      <w:r>
        <w:rPr>
          <w:sz w:val="18"/>
        </w:rPr>
        <w:t xml:space="preserve">                                      </w:t>
      </w:r>
      <w:r>
        <w:rPr>
          <w:sz w:val="18"/>
        </w:rPr>
        <w:t>（</w:t>
      </w:r>
      <w:r>
        <w:rPr>
          <w:sz w:val="18"/>
        </w:rPr>
        <w:t>7</w:t>
      </w:r>
      <w:r>
        <w:rPr>
          <w:sz w:val="18"/>
        </w:rPr>
        <w:t>）</w:t>
      </w:r>
    </w:p>
    <w:p w14:paraId="4580C1D7" w14:textId="77777777" w:rsidR="009330B5" w:rsidRPr="009330B5" w:rsidRDefault="009330B5" w:rsidP="009330B5">
      <w:pPr>
        <w:pStyle w:val="10"/>
        <w:spacing w:after="40"/>
        <w:ind w:firstLine="420"/>
      </w:pPr>
      <w:r>
        <w:rPr>
          <w:sz w:val="21"/>
        </w:rPr>
        <w:t>式中，</w:t>
      </w:r>
      <w:r>
        <w:rPr>
          <w:sz w:val="21"/>
        </w:rPr>
        <w:t>z(x)</w:t>
      </w:r>
      <w:r>
        <w:rPr>
          <w:sz w:val="21"/>
        </w:rPr>
        <w:t>为规划位置</w:t>
      </w:r>
      <w:r>
        <w:rPr>
          <w:sz w:val="21"/>
        </w:rPr>
        <w:t>x</w:t>
      </w:r>
      <w:r>
        <w:rPr>
          <w:sz w:val="21"/>
        </w:rPr>
        <w:t>处的参数估计值，</w:t>
      </w:r>
      <w:r>
        <w:rPr>
          <w:sz w:val="21"/>
        </w:rPr>
        <w:t>z_i</w:t>
      </w:r>
      <w:r>
        <w:rPr>
          <w:sz w:val="21"/>
        </w:rPr>
        <w:t>为第</w:t>
      </w:r>
      <w:r>
        <w:rPr>
          <w:sz w:val="21"/>
        </w:rPr>
        <w:t>i</w:t>
      </w:r>
      <w:r>
        <w:rPr>
          <w:sz w:val="21"/>
        </w:rPr>
        <w:t>个钻孔样点的观测值，</w:t>
      </w:r>
      <w:r>
        <w:rPr>
          <w:sz w:val="21"/>
        </w:rPr>
        <w:t>d_i(x)</w:t>
      </w:r>
      <w:r>
        <w:rPr>
          <w:sz w:val="21"/>
        </w:rPr>
        <w:t>为位置</w:t>
      </w:r>
      <w:r>
        <w:rPr>
          <w:sz w:val="21"/>
        </w:rPr>
        <w:t>x</w:t>
      </w:r>
      <w:r>
        <w:rPr>
          <w:sz w:val="21"/>
        </w:rPr>
        <w:t>与第</w:t>
      </w:r>
      <w:r>
        <w:rPr>
          <w:sz w:val="21"/>
        </w:rPr>
        <w:t>i</w:t>
      </w:r>
      <w:r>
        <w:rPr>
          <w:sz w:val="21"/>
        </w:rPr>
        <w:t>个钻孔之间的距离，</w:t>
      </w:r>
      <w:r>
        <w:rPr>
          <w:sz w:val="21"/>
        </w:rPr>
        <w:t>p</w:t>
      </w:r>
      <w:r>
        <w:rPr>
          <w:sz w:val="21"/>
        </w:rP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77993CE1" w14:textId="77777777" w:rsidR="009330B5" w:rsidRPr="009330B5" w:rsidRDefault="009330B5" w:rsidP="009330B5">
      <w:pPr>
        <w:pStyle w:val="10"/>
        <w:spacing w:after="40"/>
        <w:ind w:firstLine="420"/>
      </w:pPr>
      <w:r>
        <w:rPr>
          <w:rFonts w:ascii="宋体" w:eastAsia="宋体" w:hAnsi="宋体"/>
          <w:sz w:val="21"/>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p w14:paraId="3E637AE7" w14:textId="77777777" w:rsidR="009330B5" w:rsidRPr="009330B5" w:rsidRDefault="00A249E2">
      <w:pPr>
        <w:pStyle w:val="16"/>
        <w:tabs>
          <w:tab w:val="right" w:pos="8504"/>
        </w:tabs>
        <w:spacing w:after="60" w:line="240" w:lineRule="auto"/>
        <w:jc w:val="center"/>
        <w:rPr>
          <w:rFonts w:ascii="宋体" w:hAnsi="宋体"/>
        </w:rPr>
      </w:pPr>
      <w:r>
        <w:rPr>
          <w:sz w:val="18"/>
        </w:rPr>
        <w:t>π={N,W_f,θ,B_b,B_s,A_π,L_π,R_π,y_π}</w:t>
      </w:r>
      <w:r>
        <w:rPr>
          <w:sz w:val="18"/>
        </w:rPr>
        <w:t>，</w:t>
      </w:r>
      <w:r>
        <w:rPr>
          <w:sz w:val="18"/>
        </w:rPr>
        <w:t>y_π∈{0,1}</w:t>
      </w:r>
      <w:r>
        <w:rPr>
          <w:sz w:val="18"/>
        </w:rPr>
        <w:t>。</w:t>
      </w:r>
      <w:r>
        <w:rPr>
          <w:sz w:val="18"/>
        </w:rPr>
        <w:t xml:space="preserve">                         </w:t>
      </w:r>
      <w:r>
        <w:rPr>
          <w:sz w:val="18"/>
        </w:rPr>
        <w:t>（</w:t>
      </w:r>
      <w:r>
        <w:rPr>
          <w:sz w:val="18"/>
        </w:rPr>
        <w:t>8</w:t>
      </w:r>
      <w:r>
        <w:rPr>
          <w:sz w:val="18"/>
        </w:rPr>
        <w:t>）</w:t>
      </w:r>
    </w:p>
    <w:p w14:paraId="096EBFA5" w14:textId="77777777" w:rsidR="009330B5" w:rsidRDefault="009330B5">
      <w:pPr>
        <w:pStyle w:val="10"/>
        <w:spacing w:after="40"/>
        <w:ind w:firstLine="420"/>
        <w:rPr>
          <w:rFonts w:ascii="宋体" w:hAnsi="宋体"/>
        </w:rPr>
      </w:pPr>
      <w:r>
        <w:rPr>
          <w:sz w:val="21"/>
        </w:rPr>
        <w:t>候选方案需满足以下约束：</w:t>
      </w:r>
    </w:p>
    <w:p w14:paraId="78BADA9B" w14:textId="77777777" w:rsidR="009330B5" w:rsidRDefault="00A249E2">
      <w:pPr>
        <w:pStyle w:val="16"/>
        <w:tabs>
          <w:tab w:val="right" w:pos="8504"/>
        </w:tabs>
        <w:spacing w:after="60" w:line="240" w:lineRule="auto"/>
        <w:jc w:val="center"/>
        <w:rPr>
          <w:rFonts w:ascii="宋体" w:hAnsi="宋体"/>
        </w:rPr>
      </w:pPr>
      <w:r>
        <w:rPr>
          <w:sz w:val="18"/>
        </w:rPr>
        <w:t>A_π⊂Ω_e</w:t>
      </w:r>
      <w:r>
        <w:rPr>
          <w:sz w:val="18"/>
        </w:rPr>
        <w:t>；</w:t>
      </w:r>
      <w:r>
        <w:rPr>
          <w:sz w:val="18"/>
        </w:rPr>
        <w:t>B_b∈[B_b,min,B_b,max]</w:t>
      </w:r>
      <w:r>
        <w:rPr>
          <w:sz w:val="18"/>
        </w:rPr>
        <w:t>；</w:t>
      </w:r>
      <w:r>
        <w:rPr>
          <w:sz w:val="18"/>
        </w:rPr>
        <w:t>B_s∈[B_s,min,B_s,max]</w:t>
      </w:r>
      <w:r>
        <w:rPr>
          <w:sz w:val="18"/>
        </w:rPr>
        <w:t>；</w:t>
      </w:r>
      <w:r>
        <w:rPr>
          <w:sz w:val="18"/>
        </w:rPr>
        <w:t>W_f∈[W_min,W_max]</w:t>
      </w:r>
      <w:r>
        <w:rPr>
          <w:sz w:val="18"/>
        </w:rPr>
        <w:t>；</w:t>
      </w:r>
      <w:r>
        <w:rPr>
          <w:sz w:val="18"/>
        </w:rPr>
        <w:t>A_i∩A_j=∅</w:t>
      </w:r>
      <w:r>
        <w:rPr>
          <w:sz w:val="18"/>
        </w:rPr>
        <w:t>；</w:t>
      </w:r>
      <w:r>
        <w:rPr>
          <w:sz w:val="18"/>
        </w:rPr>
        <w:t>L_f≥L_min</w:t>
      </w:r>
      <w:r>
        <w:rPr>
          <w:sz w:val="18"/>
        </w:rPr>
        <w:t>；</w:t>
      </w:r>
      <w:r>
        <w:rPr>
          <w:sz w:val="18"/>
        </w:rPr>
        <w:t>E_π≤E_max</w:t>
      </w:r>
      <w:r>
        <w:rPr>
          <w:sz w:val="18"/>
        </w:rPr>
        <w:t>。</w:t>
      </w:r>
      <w:r>
        <w:rPr>
          <w:sz w:val="18"/>
        </w:rPr>
        <w:t xml:space="preserve">        </w:t>
      </w:r>
      <w:r>
        <w:rPr>
          <w:sz w:val="18"/>
        </w:rPr>
        <w:t>（</w:t>
      </w:r>
      <w:r>
        <w:rPr>
          <w:sz w:val="18"/>
        </w:rPr>
        <w:t>9</w:t>
      </w:r>
      <w:r>
        <w:rPr>
          <w:sz w:val="18"/>
        </w:rPr>
        <w:t>）</w:t>
      </w:r>
    </w:p>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边界煤柱宽度B_b、区段煤柱宽度B_s、工作面宽度W_f和边界内缩距离的参数组合下生成平行工作面条带。随后剔除越界、重叠、推进长度不足、煤柱宽度不满足要求和连通关系异常的方案，形成可比候选池。因此，推进方向不是黑箱“自动确定”，而是在工程允许方向集合内随几何参数共同枚举，并由约束过滤和多目标排序共同确定推荐结果。</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p w14:paraId="389E712B" w14:textId="77777777" w:rsidR="009330B5" w:rsidRPr="009330B5" w:rsidRDefault="009330B5" w:rsidP="009330B5">
      <w:pPr>
        <w:pStyle w:val="10"/>
        <w:spacing w:after="40"/>
        <w:ind w:firstLine="420"/>
        <w:rPr>
          <w:rFonts w:ascii="宋体" w:hAnsi="宋体"/>
        </w:rPr>
      </w:pPr>
      <w:r>
        <w:rPr>
          <w:sz w:val="21"/>
        </w:rPr>
        <w:t>S_e(π)=100[a_1C_cov(π)+a_2B_bal(π)+a_3B_conn(π)+a_4(1-R_road(π))]。        （10）</w:t>
      </w:r>
    </w:p>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p w14:paraId="389E712B" w14:textId="77777777" w:rsidR="009330B5" w:rsidRPr="009330B5" w:rsidRDefault="009330B5" w:rsidP="009330B5">
      <w:pPr>
        <w:pStyle w:val="10"/>
        <w:spacing w:after="40"/>
        <w:ind w:firstLine="420"/>
        <w:rPr>
          <w:rFonts w:ascii="宋体" w:hAnsi="宋体"/>
        </w:rPr>
      </w:pPr>
      <w:r>
        <w:rPr>
          <w:sz w:val="21"/>
        </w:rPr>
        <w:t>S_r(π)=100[b_1R_area(π)+b_2R_thick(π)+b_3R_rec(π)]。                    （11）</w:t>
      </w:r>
    </w:p>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p w14:paraId="389E712B" w14:textId="77777777" w:rsidR="009330B5" w:rsidRPr="009330B5" w:rsidRDefault="009330B5" w:rsidP="009330B5">
      <w:pPr>
        <w:pStyle w:val="10"/>
        <w:spacing w:after="40"/>
        <w:ind w:firstLine="420"/>
        <w:rPr>
          <w:rFonts w:ascii="宋体" w:hAnsi="宋体"/>
        </w:rPr>
      </w:pPr>
      <w:r>
        <w:rPr>
          <w:sz w:val="21"/>
        </w:rPr>
        <w:t>H_m(π)=c_1ODI_mean(π)+c_2Q_0.90(π)+c_3E_π(T_ODI)，S_m(π)=100[1-H_m(π)]。 （12）</w:t>
      </w:r>
    </w:p>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p w14:paraId="0792C106" w14:textId="77777777" w:rsidR="00D007CE" w:rsidRDefault="00A249E2">
      <w:pPr>
        <w:spacing w:before="0" w:after="60"/>
      </w:pPr>
      <w:r>
        <w:rPr>
          <w:sz w:val="18"/>
        </w:rPr>
        <w:t>F(π)=λ_eS_e(π)+λ_rS_r(π)+λ_mS_m(π)，λ_e+λ_r+λ_m=1。                     （13）</w:t>
      </w:r>
    </w:p>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当同一非支配层内候选数量超过输出数量时，采用拥挤距离保持解集多样性，再依据综合权重F(π)进行推荐排序。工程效率优先、资源回收优先、扰动控制优先和综合权衡模式均来自同一候选池，仅代表不同评价偏好，不应被表述为真实矿井条件下的全局最优解。</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[28]；地下水库和矿井水调度研究也表明，采动空间对象、储水空间和水量调控需要在规划与运行阶段连续组织[42-47]。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p w14:paraId="4CBEFFEA" w14:textId="77777777" w:rsidR="004D2816" w:rsidRPr="00E05130" w:rsidRDefault="00A249E2" w:rsidP="00E05130">
      <w:pPr>
        <w:pStyle w:val="16"/>
        <w:tabs>
          <w:tab w:val="right" w:pos="8504"/>
        </w:tabs>
        <w:spacing w:after="60" w:line="240" w:lineRule="auto"/>
        <w:jc w:val="center"/>
      </w:pPr>
      <w:r>
        <w:rPr>
          <w:sz w:val="18"/>
        </w:rPr>
        <w:t>G(s)=αP_s+βR_s+γC_s，α+β+γ=1。                                      （14）</w:t>
      </w:r>
    </w:p>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p w14:paraId="344B25E2" w14:textId="77777777" w:rsidR="004D2816" w:rsidRDefault="00A249E2" w:rsidP="00E05130">
      <w:pPr>
        <w:pStyle w:val="16"/>
        <w:tabs>
          <w:tab w:val="right" w:pos="8504"/>
        </w:tabs>
        <w:spacing w:after="60" w:line="240" w:lineRule="auto"/>
        <w:jc w:val="center"/>
      </w:pPr>
      <w:r>
        <w:rPr>
          <w:sz w:val="18"/>
        </w:rPr>
        <w:t>NCF_t=Rev_t-Cost_t-RiskCost_t。                                      （15）</w:t>
      </w:r>
    </w:p>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300 m。该背景说明研究对象具有厚煤层、软弱围岩和多源扰动约束并存的工程特征。本文当前计算采用样例化规划域，以6个边界点构成采区边界、15个钻孔样点和规划控制参数为基础输入，原始边界面积为255250.00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5D2D6CDF" w14:textId="77777777" w:rsidR="007E22B6" w:rsidRDefault="00801D65">
      <w:pPr>
        <w:pStyle w:val="10"/>
        <w:spacing w:after="40"/>
        <w:ind w:firstLine="420"/>
        <w:rPr>
          <w:rFonts w:ascii="宋体" w:hAnsi="宋体"/>
        </w:rPr>
      </w:pPr>
      <w:r>
        <w:rPr>
          <w:sz w:val="21"/>
        </w:rPr>
        <w:t>从工程约束看，本文样例已显式纳入边界煤柱、区段煤柱、工作面宽度、推进长度校核阈值、走向长壁后退式开采方向和ODI统计阈值等规划参数。但现有输入尚未完整纳入断层展布、既有巷道系统、通风运输能力、设备能力和生产制度等现场闭环约束，因此案例定位为方法验证型工程样例，而非直接用于矿井定案的完整设计文件。</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该处理思路与透明工作面、智能精准开采地质模型和采煤工作面三维模型动态修正研究所强调的多源地质信息统一表达具有一致性[30-32]。</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[22-25,33-37,39-41,45,48-50]。若不同风险场景分别以各自判据独立参与规划，容易造成约束尺度不统一、比较依据不一致以及中间结果难以复用的问题。为此，本文引入ODI作为统一风险组织口径，将异构风险结果归一到同一尺度下，以支撑不同场景风险在同一规划框架中的统一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[22-25,34-37,40-41,45,49-50]。统一为ODI后，不同场景可在同一统计口径下比较，从而避免多指标、多量纲并列时难以进入方案筛选的问题。</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上述结果表明，不同目标偏好会导致覆盖率、资源回收和风险暴露之间出现明显权衡。与A方案相比，C方案覆盖率降低8.67个百分点，但ODI均值降低1.07%，P90降低0.86%，风险综合得分降低0.70%；与B方案相比，C方案覆盖率降低17.85个百分点，但ODI均值降低3.00%，P90降低1.69%，风险综合得分降低2.12%。B方案相对于A方案覆盖率提高9.18个百分点，但ODI均值和P90分别提高1.99%和0.85%。这说明资源覆盖增益可能伴随扰动风险统计值上升，ODI前置约束能够把这种风险-收益取舍显式化。旧disturbance保存结果中的候选C_old在统一ODI场下均值为0.4560，P90为0.6472，因此本文不再将其作为统一口径下的ODI筛选方案。</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ODI阈值设定对方案判读的影响，本文在0.65、0.70、0.75和0.80四组阈值下重新统计A、B、C方案的超阈值暴露比例。当阈值为0.65时，A、B、C方案超限比例分别为7.42%、9.09%和6.31%；当阈值为0.70时，三者分别为0.44%、0.56%和1.22%；当阈值提高至0.75和0.80时，各方案超限比例均明显下降。该结果说明，超限比例对阈值设定较敏感，不能脱离ODI均值和P90单独作为方案优选依据。</w:t>
      </w:r>
    </w:p>
    <w:p w14:paraId="4CC4FF05" w14:textId="77777777" w:rsidR="00DE4743" w:rsidRPr="00DE4743" w:rsidRDefault="00DE4743" w:rsidP="00DE4743">
      <w:pPr>
        <w:pStyle w:val="10"/>
        <w:spacing w:after="40"/>
        <w:ind w:firstLine="420"/>
        <w:rPr>
          <w:rFonts w:ascii="宋体" w:hAnsi="宋体"/>
        </w:rPr>
      </w:pPr>
      <w:r>
        <w:rPr>
          <w:sz w:val="21"/>
        </w:rPr>
        <w:t>权重敏感性分析进一步表明，在基准权重、地表沉陷分量±10%、含水层扰动分量±10%、上行开采分量±10%以及含水层专项权重条件下，C方案的风险综合得分均为三方案最低，A方案次之，B方案最高。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rPr>
          <w:sz w:val="21"/>
        </w:rPr>
        <w:t>需要注意，权重敏感性所证明的是当前候选池和扰动范围内的排序稳定，而不是ODI权重具有普适工程常数属性。因此，本文把敏感性分析作为方案排序可靠性的内部校核，用于回应权重和阈值人为设定可能导致结论不稳定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[28,31-32]，煤矿地下水库储水空间、库容和调度研究也说明，采动空间对象可继续服务于后续水资源调控和风险管理[42-47]。在本样例中，工作面边界、巷道路径、推进长度、布置面积和ODI统计量均已形成可传递的规划结果，后续环节可据此组织生产顺序、产量核算和经济评价。</w:t>
      </w:r>
    </w:p>
    <w:p w14:paraId="28067498" w14:textId="77777777" w:rsidR="007E22B6" w:rsidRDefault="00DE4743" w:rsidP="00A046E0">
      <w:pPr>
        <w:pStyle w:val="11"/>
      </w:pPr>
      <w:r>
        <w:rPr>
          <w:sz w:val="21"/>
        </w:rPr>
        <w:t>本文方法的一个重要特点，是不把采区规划的几何布局视为终点，而是强调规划结果可以继续作为采掘接续和工程经济评价的上游输入。在本样例中，工作面边界、巷道路径、推进长度、布置面积和ODI统计量均已形成可传递的规划结果，后续环节可据此组织生产顺序、产量核算和经济评价。</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4500个采样点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rPr>
          <w:sz w:val="21"/>
        </w:rPr>
        <w:t>综上，研究区样例表明，本文方法已完成“边界与钻孔输入—参数场构建—ODI风险组织—候选方案池—方案级统计—后续评价输入”的连续运行过程。当前结果能够证明方法链和对象链已经贯通，但仍需通过更多实矿案例和现场约束闭环检验工程适用性。</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形成布局方案、再开展风险校核”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[26,33-37,41,45,48-50]。本文将ODI转化为候选方案生成阶段即可调用的空间统计量，使风险控制从后验校核前移到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ODI场和工作面对象叠加的空间变量；这一认识与透明工作面、智能精准开采地质模型和采煤工作面动态修正技术中强调的“地质模型支撑开采决策”是一致的[30-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ODI统计。智能精准开采工作面地质模型研究强调，地面、井下、孔中和采掘过程信息需要逐级融合并动态更新，才能提高工作面尺度地质表达精度[31-32]。本文当前采用样例数据验证方法链路，尚未比较IDW、克里金等不同插值方法对方案排序的影响；后续若用于工程定案，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rPr>
          <w:sz w:val="21"/>
        </w:rPr>
        <w:t>本文当前结果主要证明所提方法在样例条件下的链路贯通能力，即能够实现采区边界、钻孔样点、连续参数场、ODI风险场、候选方案池和规划对象之间的连续组织与传递。A、B、C候选方案已在同一ODI场下完成均值、P90和超阈值暴露比例补算，能够支撑初步方案对比，但仍不足以形成真实矿井条件下的工程优选结论。</w:t>
      </w:r>
    </w:p>
    <w:p w14:paraId="3F4F8403" w14:textId="77777777" w:rsidR="007E22B6" w:rsidRDefault="00DE4743" w:rsidP="00A046E0">
      <w:pPr>
        <w:pStyle w:val="12"/>
      </w:pPr>
      <w:r>
        <w:t>方法的适用边界主要包括三方面：第一，ODI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[26,41-48,50]。</w:t>
      </w:r>
    </w:p>
    <w:p w14:paraId="3F4F8403" w14:textId="77777777" w:rsidR="007E22B6" w:rsidRDefault="00DE4743" w:rsidP="00A046E0">
      <w:pPr>
        <w:pStyle w:val="12"/>
      </w:pPr>
      <w:r>
        <w:rPr>
          <w:sz w:val="21"/>
        </w:rPr>
        <w:t>后续研究应从样例级验证转向多矿井对照验证：一方面补充传统经验方案、无ODI方案和不同插值方案的基准对比，另一方面在真实接续排程和经济参数下检验ODI前置约束是否能够稳定降低风险暴露并保持可接受的资源回收水平。只有完成上述验证后，本文方法才能从“可复核的规划链路”进一步发展为“可用于工程定案的优选工具”。</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rPr>
          <w:sz w:val="21"/>
        </w:rPr>
        <w:t>3）研究区样例验证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rPr>
          <w:sz w:val="21"/>
        </w:rPr>
        <w:t>4）当前结果主要支撑样例条件下的方法贯通、对象链有效性和初步方案比选。权重敏感性表明，在当前样例和候选池范围内，基准权重、±10%相对扰动和含水层专项权重条件下C方案均保持最低风险综合得分；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