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样例结果表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关键词：覆岩扰动指数；采区规划；多目标比选；候选方案池；风险前置约束；连续参数场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selection;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p>
      <w:pPr>
        <w:spacing w:before="0" w:after="0" w:line="1" w:lineRule="exact"/>
        <w:rPr>
          <w:sz w:val="1"/>
        </w:rP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580C1D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ODI风险场采用80×56网格、共4480个栅格，该网格用于样例内部风险统计和方案叠加，不被解释为不同矿区的固定网格尺度。</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所有工作面占用区域的集合，L_π为各工作面推进长度集合，R_π为巷道连接与服务关系，y_π为是否选取该候选方案的0-1变量。该变量定义使规划对象由单一几何图形扩展为包含数量、尺度、方向、煤柱、工作面区域和巷道连接关系的组合对象，从而能够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A_π⊂Ω_e；B_b∈[B_b,min,B_b,max]；B_s∈[B_s,min,B_s,max]；W_f∈[W_min,W_max]；A_i∩A_j=∅；L_f≥L_min；E_π≤E_max</w:t>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5个步骤。首先读取边界、钻孔参数场和规划控制参数，确定Θ、W_f、B_b、B_s及内缩距离的有限取值；其次按参数组合切分有效布置域并生成工作面区域、推进长度和巷道连接对象；随后按照式（9）进行必要约束过滤，并对合格候选计算覆盖率、煤厚覆盖、巷道组织、ODI均值、P90和超阈值暴露比例；最后以方向、煤柱、工作面数量、工作面边界和连接关系形成候选签名，对重复几何方案进行合并。由此得到的Π是有限候选集合，后续排序只在该候选池范围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S_e(π)=100[a_1C_cov(π)+a_2B_bal(π)+a_3B_conn(π)+a_4(1-R_road(π))]</w:t>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S_r(π)=100[b_1R_area(π)+b_2R_thick(π)+b_3R_rec(π)]</w:t>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以内蒙古呼伦贝尔敏东一矿相关工程背景资料为参照，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pPr>
        <w:pStyle w:val="10"/>
        <w:spacing w:after="40"/>
        <w:ind w:firstLine="420"/>
      </w:pPr>
      <w:r>
        <w:rPr>
          <w:sz w:val="21"/>
        </w:rPr>
        <w:t>为避免验证目标泛化，本文将样例验证限定为3个可复核问题：第一，离散钻孔和边界约束能否转化为统一坐标下的连续参数场和有效布置域；第二，多场景扰动风险能否转化为同一ODI统计口径，并在全域栅格和候选方案区域内复算；第三，不同目标偏好下的候选方案能否在同一约束、同一风险场和同一评分口径下进行比较。后文A、B、C方案对比、阈值敏感性和权重敏感性均围绕上述3个问题展开。</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10E6C45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验证的对照性，本文将A、B、C三类方案置于相同研究区边界、相同钻孔参数场、相同ODI风险场和相同几何约束下进行比较。其中，A方案代表工程效率偏好，重点体现工作面数量、推进长度均衡性和组织效率；B方案代表资源回收偏好，重点体现覆盖率和煤厚场利用；C方案代表ODI风险约束偏好，重点体现低扰动暴露。该对照属于同一候选池内的目标偏好对照，而不是独立人工经验方案与自动方案的现场对照。</w:t>
      </w:r>
    </w:p>
    <w:p>
      <w:pPr>
        <w:pStyle w:val="10"/>
        <w:spacing w:after="40"/>
        <w:ind w:firstLine="420"/>
      </w:pPr>
      <w:r>
        <w:rPr/>
        <w:t>为保证对比的可复核性，A、B、C方案不改变基础地质输入和风险场，只改变候选池排序偏好或筛选目标；因此，方案差异主要反映工程效率、资源回收和扰动控制目标之间的权衡，而不是输入数据、网格尺度或边界条件变化造成的差异。该设置能够支撑方法内部有效性判断，但不能替代真实人工经验方案与本文方法之间的外部工程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说明几何组织较为充分；B方案覆盖率最高且资源回收评分较高，说明连续参数场能够推动方案向资源富集区域扩展；C方案覆盖率较低，但ODI均值、P90和风险综合得分均低于A、B方案，说明其牺牲部分覆盖面积以降低总体扰动暴露。这种结果符合采区规划中资源利用与风险控制相互制约的工程常识，也说明本文方法能够把隐含在图层中的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含水层专项权重条件下，C方案的风险综合得分均低于A、B方案。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因此，本案例的验证强度定位为“方法链可运行性与内部对照验证”：它表明离散钻孔、连续参数场、ODI风险场和候选方案对象可以在同一口径下完成计算与比较，并能揭示不同目标偏好下的风险-收益权衡；但它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统一方案区栅格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pPr>
        <w:pStyle w:val="11"/>
      </w:pPr>
      <w:r>
        <w:rPr/>
        <w:t>从可复现角度看，本文样例结果至少需要保留4类中间数据：研究区边界与钻孔样点、连续参数场栅格、ODI分量及综合ODI栅格、候选方案几何对象及其方案级统计表。只有这些中间对象能够被逐级复算，ODI均值、P90、超阈值暴露比例和A/B/C方案排序才具备可审查性。本文在结果表中保留候选池规模、全域栅格数量和统一ODI统计口径，目的即在于降低单纯展示最终方案图带来的不可复核风险。</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pPr>
        <w:pStyle w:val="12"/>
      </w:pPr>
      <w:r>
        <w:rPr/>
        <w:t>因此，对本文当前阶段更合适的评价标准不是“是否已经给出某矿最终开采设计”，而是“是否把采区规划中原本分散的地质参数、风险约束、候选方案和评价输入转化为可计算、可比较、可复查的对象链”。在此边界下，本文补充的变量定义、约束集合、候选池生成、方案级ODI统计和敏感性分析共同构成论文的主要证据链。</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池范围内，基准权重、±10%相对扰动和含水层专项权重条件下C方案风险综合得分均低于A、B方案；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