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摘要：针对采区规划中离散地质信息难以连续参与布置、多场景覆岩扰动风险约束口径不统一以及规划结果难以向接续和经济评价传递等问题，提出一种基于覆岩扰动指数（overburden disturbance index，ODI）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ODI场，并以ODI均值、90%分位数和超阈值暴露比例表征方案风险。在此基础上，建立包含工作面数量、推进方向、煤柱宽度、工作面宽度和方案选择变量的候选方案集合，采用工程效率、资源回收和扰动控制目标进行非支配排序与综合筛选。样例复核得到80×56栅格ODI场，均值为0.4669，P90为0.7474，ODI&gt;0.70比例为15.89%。在同一ODI场下，工程效率优先方案A、资源回收优先方案B和ODI筛选方案C的ODI均值分别为0.4463、0.4552和0.4416，P90分别为0.6407、0.6462和0.6353，ODI&gt;0.70比例分别为0.44%、0.56%和1.22%。本文对低扰动候选的判定依据为ODI均值、P90和风险综合得分的联合判据，而非单一阈值下的超限比例最小。敏感性分析表明，在当前样例和候选集合范围内，C方案风险综合得分低于A、B方案。结果说明，ODI前置约束可将风险图层转化为可复核的方案级统计指标，为采区规划多目标比选和后续对象传递提供支撑；真实矿井优选仍需结合现场约束和多案例验证。</w:t>
      </w:r>
    </w:p>
    <w:p w14:paraId="12C9670E" w14:textId="77777777" w:rsidR="007E22B6" w:rsidRDefault="00A249E2">
      <w:pPr>
        <w:pStyle w:val="05"/>
        <w:spacing w:after="60"/>
      </w:pPr>
      <w:r>
        <w:t>关键词：覆岩扰动指数；采区规划；多目标比选；候选方案池；风险前置约束；连续参数场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then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selection;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[1-3,26-32]。工程实践中，采区边界、钻孔、分层、参数场、风险分析与方案评价常分散于不同软件和人工环节，导致基础数据反复整理、中间成果难以复用。</w:t>
      </w:r>
    </w:p>
    <w:p w14:paraId="5725E35E"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[4-10,22-25,33-37,39-41,45,48-50]。地下矿山布置优化、多目标规划和生产调度研究表明，候选方案生成、目标排序和多方案比较有助于提升规划决策质量[11-15,38]。数字孪生、透明工作面、矿山地质建模与过程管理技术的发展，也为采区边界、钻孔、分层和生产状态在统一数据空间中的组织提供了条件[16-18,27-32]；矿山经济评价则逐步由静态收益测算转向动态现金流、风险成本和多方案比较[19-21]。</w:t>
      </w:r>
    </w:p>
    <w:p w14:paraId="63908375" w14:textId="77777777" w:rsidR="00D76BC3" w:rsidRDefault="00D76BC3" w:rsidP="00D76BC3">
      <w:pPr>
        <w:pStyle w:val="10"/>
        <w:spacing w:after="40"/>
        <w:ind w:firstLine="420"/>
      </w:pPr>
      <w:r>
        <w:t>然而，现有研究在采区规划应用层面仍存在3点不足：一是钻孔和分层信息具有离散样本属性，如何转化为可参与空间布置和方案筛选的连续参数场仍不充分[31-32]；二是地表沉陷、含水层扰动、导水裂隙带和上行开采等风险具有不同量纲、判据和尺度，多数研究仍偏向单一场景或单一判据，难以形成统一约束表达[33-37,45,49-50]；三是布局优化研究多强调几何求解或算法排序，对规划结果向采掘接续、参数调控和经济评价传递的讨论不足[28,46-47]。</w:t>
      </w:r>
    </w:p>
    <w:p w14:paraId="3A101870" w14:textId="77777777" w:rsidR="00D76BC3" w:rsidRDefault="00D76BC3" w:rsidP="00D76BC3">
      <w:pPr>
        <w:pStyle w:val="10"/>
        <w:spacing w:after="40"/>
        <w:ind w:firstLine="420"/>
      </w:pPr>
      <w:r>
        <w:rPr>
          <w:rFonts w:ascii="宋体" w:eastAsia="宋体" w:hAnsi="宋体"/>
          <w:sz w:val="21"/>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168660F9" w14:textId="77777777" w:rsidR="00D76BC3" w:rsidRDefault="00D76BC3" w:rsidP="00D76BC3">
      <w:pPr>
        <w:pStyle w:val="10"/>
        <w:spacing w:after="40"/>
        <w:ind w:firstLine="420"/>
      </w:pPr>
      <w:r>
        <w:rPr>
          <w:sz w:val="21"/>
        </w:rPr>
        <w:t>基于上述问题，本文提出一种基于覆岩扰动指数（overburden disturbance index，ODI）约束的采区候选方案生成与多目标比选方法。与在布局完成后再进行风险校核的串行流程不同，本文将地表沉陷、含水层扰动和上行开采等异构风险前置转化为统一ODI约束，并在有效布置域、连续参数场和工作面布置对象之间建立可计算映射关系，使风险控制能够参与候选方案生成、筛选和排序过程。本文侧重方法论验证与内部对照，不以输出矿井定案设计参数为直接目标。</w:t>
      </w:r>
      <w:r>
        <w:rPr>
          <w:sz w:val="21"/>
        </w:rPr>
      </w:r>
      <w:r>
        <w:rPr>
          <w:sz w:val="21"/>
        </w:rPr>
      </w:r>
      <w:r>
        <w:rPr>
          <w:sz w:val="21"/>
        </w:rPr>
      </w:r>
      <w:r>
        <w:rPr>
          <w:sz w:val="21"/>
        </w:rPr>
      </w:r>
      <w:r>
        <w:rPr>
          <w:sz w:val="21"/>
        </w:rPr>
      </w:r>
      <w:r>
        <w:rPr>
          <w:sz w:val="21"/>
        </w:rPr>
      </w:r>
    </w:p>
    <w:p w14:paraId="3C42F398" w14:textId="77777777" w:rsidR="009330B5" w:rsidRDefault="00D76BC3" w:rsidP="00D76BC3">
      <w:pPr>
        <w:pStyle w:val="10"/>
        <w:spacing w:after="40"/>
        <w:ind w:firstLine="420"/>
      </w:pPr>
      <w:r>
        <w:rPr>
          <w:sz w:val="21"/>
        </w:rPr>
        <w:t>本文的主要贡献为：1）构建面向采区规划的ODI统一风险表征方法，明确风险分量归一化、权重聚合、阈值统计和方案级指标口径；2）建立离散钻孔、连续参数场与工作面布局对象之间的规划映射机制，使地质参数由点状样本转化为空间变量；3）构建包含工程效率、资源回收与扰动控制目标的候选方案池和排序流程，并通过A/B/C方案对比说明ODI前置约束在方案比选中的作用。本文仅验证方法链路和对象传递的可行性，不将单一样例扩展为真实矿井条件下的普适最优结论。</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[33-37,41,45,49-50]。不同风险场景量纲、判据和尺度不一致，若分别进入规划过程，容易造成约束口径不统一。本文将ODI定义为面向采区规划的统一风险表征指标，而非新的覆岩力学机理参数，用于将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确定权重，不将其解释为现场统计标定常数。综合规划基准权重取0.45/0.30/0.25；为检验上行开采约束强化时方案排序是否改变，上行开采专项权重取0.15/0.25/0.60。为避免总指标与子指标语义重叠，本文以具体风险场景命名各分量；后续工程应用仍需结合矿区历史沉陷、水文地质观测和保护对象等级重新标定权重。</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均值反映总体扰动水平，Q_0.90反映高值尾部风险，E_π反映超过统计阈值的空间暴露比例。阈值0.70和0.80分别作为样例内部预警统计线和高扰动统计线，并非行业安全红线。为降低阈值设定对结论的影响，本文设置0.65、0.70、0.75和0.80四组阈值开展敏感性分析；真实矿井应用中仍需结合历史观测、含水层保护等级、地表建构筑物敏感性和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[30-32]。本文以研究区边界、钻孔、分层和设计参数为基础，在统一空间参照下完成边界处理、参数映射和候选方案生成。表1汇总了“数据输入—参数体系构建—采区规划输出”的主要参数与约束条件。</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z(x)为规划位置x处的参数估计值，z_i为第i个钻孔样点观测值，d_i(x)为位置x与第i个钻孔的距离，p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580C1D7"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ODI风险场采用80×56网格、共4480个栅格，该尺度仅用于样例内部统计和方案叠加。</w:t>
      </w:r>
    </w:p>
    <w:p w14:paraId="77993CE1" w14:textId="77777777" w:rsidR="009330B5" w:rsidRPr="009330B5" w:rsidRDefault="009330B5" w:rsidP="009330B5">
      <w:pPr>
        <w:pStyle w:val="10"/>
        <w:spacing w:after="40"/>
        <w:ind w:firstLine="420"/>
      </w:pPr>
      <w:r>
        <w:rPr>
          <w:rFonts w:ascii="宋体" w:eastAsia="宋体" w:hAnsi="宋体"/>
          <w:sz w:val="21"/>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候选方案集合生成—底线约束过滤—多目标排序—工程复核”的组合优化过程，而不是单一程序输出结果。</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工作面占用区域集合，L_π为各工作面推进长度集合，R_π为巷道连接与服务关系，y_π为候选方案选择变量。该变量定义将规划对象由单一几何图形扩展为包含数量、尺度、方向、煤柱、工作面区域和巷道关系的组合对象，可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A_π⊂Ω_e；B_b∈[B_b,min,B_b,max]；B_s∈[B_s,min,B_s,max]；W_f∈[W_min,W_max]；A_i∩A_j=∅；L_f∈C_L；E_π∈I_ODI</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A_π⊂Ω_e为边界约束，B_b和B_s为煤柱约束，W_f为工作面宽度约束，A_i∩A_j=∅为工作面不重叠约束，C_L表示推进长度推荐区间或校核条件，I_ODI表示ODI暴露统计参与方案筛选与风险排序的指标口径。当前样例将边界、煤柱、工作面宽度和不重叠作为硬约束，将推进长度校核阈值与ODI暴露阈值作为候选方案筛选和排序中的推荐性约束，以避免样例验证阶段因现场闭环约束不完整而过度收缩候选空间。</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389E712B" w14:textId="77777777" w:rsidR="009330B5" w:rsidRPr="009330B5" w:rsidRDefault="009330B5" w:rsidP="009330B5">
      <w:pPr>
        <w:pStyle w:val="10"/>
        <w:spacing w:after="40"/>
        <w:ind w:firstLine="420"/>
        <w:rPr>
          <w:rFonts w:ascii="宋体" w:hAnsi="宋体"/>
        </w:rPr>
      </w:pPr>
      <w:r>
        <w:rPr>
          <w:sz w:val="21"/>
        </w:rPr>
        <w:t>本文首先在统一基础输入、统一几何底线约束和统一ODI场条件下形成可合并的总候选集合Π_all=Π_e∪Π_r∪Π_m，再在该集合上分别按工程效率、资源回收和扰动控制偏好进行排序与筛选，输出工程效率优先方案A、资源回收优先方案B和扰动控制优先方案C。推进方向不作黑箱“自动确定”，而是在工程允许方向集合Θ内与煤柱宽度、工作面宽度和边界内缩距离共同枚举，并由约束过滤和多目标排序确定推荐结果。</w:t>
      </w:r>
    </w:p>
    <w:p w14:paraId="389E712B"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5步：读取边界、钻孔参数场和规划控制参数，确定Θ、W_f、B_b、B_s及内缩距离取值；切分有效布置域并生成工作面区域、推进长度和巷道连接对象；按式（9）剔除越界、煤柱不足、宽度不符和工作面重叠等几何不合格方案，并记录推进长度与ODI暴露校核状态；计算覆盖率、煤厚覆盖、巷道组织、ODI均值、P90和超阈值暴露比例；最后依据方向、煤柱、工作面数量、边界和连接关系形成候选签名并合并重复方案。后续排序仅在该有限候选集合Π_all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S_e(π)=100C_cov(π)-[P_N(π)+10CV_L(π)+5P_short(π)]</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P_N为工作面数量复杂度惩罚，CV_L为工作面推进长度变异系数，P_short为短推进惩罚项。当前样例工程效率评分采用程序导出的覆盖率基础分扣减组织复杂度惩罚口径，其中P_N=0.20N，CV_L项系数取10，短推进惩罚系数取5，短推进参考值取100 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t>S_r(π)=100[0.45+0.55(0.55R_ton(π)+0.30R_area(π)+0.15S_eng(π))]</w:t>
            </w:r>
            <w:r>
              <w:rPr>
                <w:rFonts w:ascii="Cambria Math" w:hAnsi="Cambria Math" w:eastAsia="Cambria Math"/>
                <w:sz w:val="21"/>
              </w:rPr>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ton为吨煤量或煤厚场覆盖贡献，R_area为布置面积或有效覆盖面积得分，S_eng为工程组织辅助得分。当前样例资源回收评分采用0.55/0.30/0.15的吨煤量、覆盖率和工程组织权重，并进行显示标定；因此，89.76表示资源回收分项评分，而非综合排序总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87.82为A方案工程效率分项评分，89.76为B方案资源回收分项评分；B方案导出的工程效率辅助值为98.52，与覆盖率98.52%数值相同，但B方案排序依据为资源回收评分。A、B、C推荐方案的最终比较还需结合非支配排序后的偏好加权结果，相关分数仅用于当前候选集合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当前样例Top-K取10。非支配排序以S_e、S_r和S_m为目标向量，优先保留不存在其他方案同时优于它的候选；同一非支配层候选数量超过输出数量时，采用拥挤距离保持解集多样性，再依据F(π)推荐排序。A、B、C三种偏好模式中，λ_e/λ_r/λ_m分别取1/0/0、0/1/0和0/0/1；综合权衡模式备用权重取0.34/0.33/0.33，本文不将其未达标回退结果作为最终推荐方案。</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统一候选集合内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[28]；地下水库和矿井水调度研究也表明，采动空间对象、储水空间和水量调控需在规划与运行阶段连续组织[42-47]。因此，采区规划形成的工作面边界、巷道结构、覆盖范围和扰动统计量，既是当前求解输出，也是后续生产组织与经济测算的上游输入。</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选取敏东研究区样例开展分析。研究区以内蒙古呼伦贝尔敏东一矿相关工程背景资料为参照，顶底板岩性主要包括泥岩、砂质泥岩、炭质泥岩、煤和细粒砂岩，代表性埋深约300 m，具有厚煤层、软弱围岩和多源扰动约束并存的工程特征。当前计算采用样例化规划域，以6个边界点、15个钻孔样点和规划控制参数为输入，原始边界面积为255250.00 m²。验证目标限定为样例条件下的数据组织、风险表征与规划对象生成，不解释为真实矿井工业级优选结论。</w:t>
      </w:r>
    </w:p>
    <w:p w14:paraId="5D2D6CDF" w14:textId="77777777" w:rsidR="007E22B6" w:rsidRDefault="00801D65">
      <w:pPr>
        <w:pStyle w:val="10"/>
        <w:spacing w:after="40"/>
        <w:ind w:firstLine="420"/>
        <w:rPr>
          <w:rFonts w:ascii="宋体" w:hAnsi="宋体"/>
        </w:rPr>
      </w:pPr>
      <w:r>
        <w:rPr>
          <w:sz w:val="21"/>
        </w:rPr>
        <w:t>工程约束方面，样例已纳入边界煤柱、区段煤柱、工作面宽度、推进长度校核阈值、走向长壁后退式开采方向和ODI统计阈值等规划参数；但尚未完整纳入断层展布、既有巷道系统、通风运输能力、设备能力和生产制度等现场闭环约束。因此，案例定位为方法验证型工程样例，而非矿井定案设计文件。</w:t>
      </w:r>
    </w:p>
    <w:p>
      <w:pPr>
        <w:pStyle w:val="10"/>
        <w:spacing w:after="40"/>
        <w:ind w:firstLine="420"/>
      </w:pPr>
      <w:r>
        <w:rPr>
          <w:sz w:val="21"/>
        </w:rPr>
        <w:t>为避免验证目标泛化，本文将样例验证限定为3个可复核问题：离散钻孔和边界约束能否转化为统一坐标下的连续参数场和有效布置域；多场景扰动风险能否转化为同一ODI统计口径，并在全域栅格和候选方案区域内复算；不同目标偏好下的候选方案能否在同一基础输入、同一几何底线约束、同一ODI风险场和同一评分口径下比较。后文A、B、C方案对比、阈值敏感性和权重敏感性均围绕上述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w_t/w_c/w_e</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0.55/0.30/0.15</w:t>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r w:rsidRPr="006A6807">
              <w:rPr>
                <w:rFonts w:ascii="宋体" w:eastAsia="宋体" w:hAnsi="宋体"/>
                <w:sz w:val="14"/>
              </w:rPr>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planningResults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N_e/N_r/N_m</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2417/1149/374（扰动合格88）</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统一基础输入下工程效率/资源回收/扰动控制偏好筛选后的有效候选记录</w:t>
            </w:r>
            <w:r w:rsidRPr="006A6807">
              <w:rPr>
                <w:sz w:val="14"/>
              </w:rPr>
            </w:r>
            <w:r w:rsidRPr="006A6807">
              <w:rPr>
                <w:sz w:val="14"/>
              </w:rPr>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r>
        <w:tc>
          <w:tcPr>
            <w:tcW w:type="dxa" w:w="528"/>
          </w:tcPr>
          <w:p>
            <w:r>
              <w:t>候选池</w:t>
            </w:r>
          </w:p>
        </w:tc>
        <w:tc>
          <w:tcPr>
            <w:tcW w:type="dxa" w:w="665"/>
          </w:tcPr>
          <w:p>
            <w:r>
              <w:t>统一候选集合</w:t>
            </w:r>
          </w:p>
        </w:tc>
        <w:tc>
          <w:tcPr>
            <w:tcW w:type="dxa" w:w="1763"/>
          </w:tcPr>
          <w:p>
            <w:r>
              <w:t>Π_all</w:t>
            </w:r>
          </w:p>
        </w:tc>
        <w:tc>
          <w:tcPr>
            <w:tcW w:type="dxa" w:w="1831"/>
          </w:tcPr>
          <w:p>
            <w:r>
              <w:t>Π_e∪Π_r∪Π_m</w:t>
            </w:r>
          </w:p>
        </w:tc>
        <w:tc>
          <w:tcPr>
            <w:tcW w:type="dxa" w:w="525"/>
          </w:tcPr>
          <w:p>
            <w:r>
              <w:t>—</w:t>
            </w:r>
          </w:p>
        </w:tc>
        <w:tc>
          <w:tcPr>
            <w:tcW w:type="dxa" w:w="798"/>
          </w:tcPr>
          <w:p>
            <w:r>
              <w:t>统一输入、几何底线约束和ODI场下的模式候选集合并入口径</w:t>
            </w:r>
          </w:p>
        </w:tc>
        <w:tc>
          <w:tcPr>
            <w:tcW w:type="dxa" w:w="3548"/>
          </w:tcPr>
          <w:p>
            <w: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2.2 连续参数场构建结果及煤厚场示例</w:t>
      </w:r>
      <w:r>
        <w:rPr>
          <w:rFonts w:ascii="宋体" w:eastAsia="宋体" w:hAnsi="宋体"/>
          <w:sz w:val="21"/>
        </w:rPr>
      </w:r>
    </w:p>
    <w:p w14:paraId="10E6C454" w14:textId="77777777" w:rsidR="00801D65" w:rsidRPr="00801D65" w:rsidRDefault="00801D65" w:rsidP="00801D65">
      <w:pPr>
        <w:pStyle w:val="10"/>
        <w:spacing w:after="40"/>
        <w:ind w:firstLine="420"/>
        <w:rPr>
          <w:rFonts w:ascii="宋体" w:hAnsi="宋体"/>
        </w:rPr>
      </w:pPr>
      <w:r>
        <w:t>采区规划首先需将离散地质信息转化为连续规划约束。研究区15个钻孔样点提供煤层厚度、岩石硬度、瓦斯含量和涌水量等离散属性；经空间插值和边界裁剪后，点状信息被转换为可与规划域、ODI风险场和工作面布局叠加分析的连续参数场。该处理思路与透明工作面、智能精准开采地质模型和采煤工作面三维模型动态修正研究强调的多源地质信息统一表达一致[30-32]。</w:t>
      </w:r>
    </w:p>
    <w:p w14:paraId="10E6C454"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[22-25,33-37,39-41,45,48-50]。若各场景以独立判据参与规划，容易造成尺度不统一和结果难复用。本文引入ODI作为统一风险组织口径，以支撑多场景风险在同一规划框架中的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不同场景的ODI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[22-25,34-37,40-41,45,49-50]。统一为ODI后，各场景可在同一统计口径下进入方案筛选。</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对照性，本文将A、B、C三类方案置于相同研究区边界、钻孔参数场、ODI风险场和几何底线约束下比较。A方案代表工程效率偏好，强调工作面数量、推进长度均衡性和组织效率；B方案代表资源回收偏好，强调覆盖率和煤厚场利用；C方案代表ODI风险约束偏好，强调低扰动暴露。该对照属于统一候选集合内的目标偏好对照，而非独立人工经验方案与自动方案的现场对照。</w:t>
      </w:r>
    </w:p>
    <w:p>
      <w:pPr>
        <w:pStyle w:val="10"/>
        <w:spacing w:after="40"/>
        <w:ind w:firstLine="420"/>
      </w:pPr>
      <w:r>
        <w:rPr/>
        <w:t>为保证可复核性，A、B、C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2417、1149和374，其中扰动控制模式合格候选数为88。该设置可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覆盖率为89.34%，工程效率分项评分为87.82；资源回收优先方案B来自recovery模式，覆盖率为98.52%，资源回收分项评分为89.76；ODI筛选方案C来自统一候选集合复核，覆盖率为80.67%，工程效率分项评分为79.27，ODI均值为0.4416，P90为0.6353，ODI&gt;0.70比例为1.22%。需要指出，本文对低扰动候选的判定并非依据单一阈值下的超限比例最小，而是依据ODI均值、P90与风险综合得分的联合判据。</w:t>
      </w:r>
    </w:p>
    <w:p w14:paraId="439DB261" w14:textId="77777777" w:rsidR="00DE4743" w:rsidRPr="00DE4743"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旧disturbance保存结果中的候选C_old在统一ODI场下均值为0.4560、P90为0.6472，故不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几何组织较充分；B方案覆盖率最高且资源回收评分较高，说明连续参数场推动方案向资源富集区域扩展；C方案覆盖率较低，且在T_ODI=0.70下的超限比例并非最小，但其ODI均值、P90和风险综合得分均低于A、B方案，说明联合判据下总体扰动暴露较低。该结果符合采区规划中资源利用与风险控制相互制约的工程常识，也说明本文方法能够将图层风险差异转化为方案级统计证据。</w:t>
      </w:r>
    </w:p>
    <w:p w14:paraId="13D1183F" w14:textId="77777777" w:rsidR="00D007CE" w:rsidRDefault="00A249E2">
      <w:pPr>
        <w:pStyle w:val="15"/>
      </w:pPr>
      <w:r>
        <w:rPr>
          <w:sz w:val="18"/>
        </w:rPr>
        <w:t>表3 候选方案对比与数据复核状态（低扰动判定基于ODI均值、P90和风险综合得分联合判据）</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统一ODI场已复核；A按工程效率分项排序</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工作面9个；覆盖率98.52%；资源回收评分89.76</w:t>
            </w:r>
          </w:p>
        </w:tc>
        <w:tc>
          <w:tcPr>
            <w:tcW w:w="1139" w:type="pct"/>
            <w:vAlign w:val="center"/>
          </w:tcPr>
          <w:p>
            <w:r>
              <w:rPr>
                <w:sz w:val="14"/>
              </w:rPr>
              <w:t>均值0.4552；P90=0.6462；ODI&gt;0.70为0.56%</w:t>
            </w:r>
          </w:p>
        </w:tc>
        <w:tc>
          <w:tcPr>
            <w:tcW w:w="1280" w:type="pct"/>
            <w:vAlign w:val="center"/>
          </w:tcPr>
          <w:p>
            <w:r>
              <w:rPr>
                <w:sz w:val="14"/>
              </w:rPr>
              <w:t>统一ODI场已复核；B按资源回收分项排序</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统一ODI筛选；联合判据下低扰动候选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联合判据下低扰动最优</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阈值设定对方案判读的影响，本文在0.65、0.70、0.75和0.80四组阈值下统计A、B、C方案的超阈值暴露比例。阈值为0.65时，A、B、C方案超限比例分别为7.42%、9.09%和6.31%；阈值为0.70时分别为0.44%、0.56%和1.22%；阈值提高至0.75和0.80时，各方案超限比例均明显下降。结果表明，超限比例对阈值较敏感，不能脱离ODI均值和P90单独作为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上行开采专项权重条件下，C方案的风险综合得分均低于A、B方案。基准权重下A、B、C风险综合得分分别为0.4481、0.4546和0.4449；在上行开采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本案例验证强度定位为“方法链可运行性与内部对照验证”：它表明离散钻孔、连续参数场、ODI风险场和候选方案对象可在同一口径下计算与比较，并揭示不同目标偏好下的风险-收益权衡；但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基准、±10%扰动和上行开采专项权重下，风险综合得分表现为C最低、A次之、B最高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[28,31-32]；地下水库储水空间、库容和调度研究也说明，采动空间对象可继续服务于水资源调控和风险管理[42-47]。本样例形成的工作面边界、巷道路径、推进长度、布置面积和ODI统计量，可作为后续生产顺序、产量核算和经济评价的输入对象。</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统一方案区栅格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至少需保留4类中间数据：研究区边界与钻孔样点、连续参数场栅格、ODI分量及综合ODI栅格、候选方案几何对象及方案级统计表。只有这些对象可逐级复算，ODI均值、P90、超阈值暴露比例和A/B/C方案排序才具备可审查性。本文在结果表中保留模式有效候选数、全域栅格数量和统一ODI统计口径，以降低仅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布局、再校核”的串行流程，风险信息通常在布局完成后才参与修正；当高扰动区与工作面边界冲突时，需要重新调整边界、煤柱和巷道组织。绿色开采、保水采煤和顶板水害防控研究表明，覆岩破坏与含水层扰动具有明显空间前置约束属性[26,33-37,41,45,48-50]。本文将ODI转化为候选方案生成阶段即可调用的空间统计量，使风险控制前移至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ODI场和工作面对象叠加的空间变量，与透明工作面、智能精准开采地质模型和采煤工作面动态修正技术强调的“地质模型支撑开采决策”一致[30-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ODI统计。智能精准开采工作面地质模型研究强调多源信息逐级融合和动态更新，以提高工作面尺度地质表达精度[31-32]。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适用边界包括3方面：第一，ODI权重和阈值需结合矿区历史观测、保护对象等级和现场安全制度重新标定；第二，候选方案池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本文当前阶段的评价标准不是“给出某矿最终开采设计”，而是“将采区规划中分散的地质参数、风险约束、候选方案和评价输入转化为可计算、可比较、可复查的对象链”。在此边界下，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集合—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本文对低扰动候选的判定依据为ODI均值、P90和风险综合得分的联合判据，而非单一阈值下的超限比例最小；因此，上述结果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集合范围内，基准权重、±10%相对扰动和上行开采专项权重条件下C方案风险综合得分均低于A、B方案；阈值敏感性表明，当阈值由0.65提高至0.80时，各方案超限比例均下降，但方案间风险差异仍可通过均值、P90和超限比例共同识别。因此，当前结果更适合支撑样例条件下的方法贯通性、对象链可传递性与内部方案比选的可复核性，而不宜直接外推为真实矿井定案条件下的最优工程结论。</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