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F94D" w14:textId="77777777" w:rsidR="007E22B6" w:rsidRDefault="00D76BC3">
      <w:pPr>
        <w:pStyle w:val="02"/>
      </w:pPr>
      <w:r>
        <w:rPr>
          <w:rFonts w:ascii="宋体" w:eastAsia="宋体" w:hAnsi="宋体"/>
        </w:rPr>
        <w:t>覆岩扰动约束下采区协同规划方法</w:t>
      </w:r>
    </w:p>
    <w:p w14:paraId="28ADDB23"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30BC913A" w14:textId="77777777" w:rsidR="007E22B6" w:rsidRDefault="00A249E2">
      <w:pPr>
        <w:pStyle w:val="04"/>
        <w:ind w:firstLine="300"/>
      </w:pPr>
      <w:r>
        <w:rPr>
          <w:rFonts w:ascii="宋体" w:eastAsia="宋体" w:hAnsi="宋体"/>
        </w:rPr>
        <w:t>（1. 中国矿业大学（北京） 能源与矿业学院，北京 100083）</w:t>
      </w:r>
    </w:p>
    <w:p w14:paraId="4D1C2ACC"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w:t>
      </w:r>
      <w:r>
        <w:t>overburden disturbance index</w:t>
      </w:r>
      <w:r>
        <w:t>，</w:t>
      </w:r>
      <w:r>
        <w:t>ODI</w:t>
      </w:r>
      <w:r>
        <w:t>）约束的采区候选方案生成与多目标比选方法。该方法以采区边界、钻孔样点和设计参数为输入，先构建有效布置域与连续参数场，再将地表沉陷、含水层扰动和上行开采等风险分量归一化并加权为统一</w:t>
      </w:r>
      <w:r>
        <w:t>ODI</w:t>
      </w:r>
      <w:r>
        <w:t>场，进一步以</w:t>
      </w:r>
      <w:r>
        <w:t>ODI</w:t>
      </w:r>
      <w:r>
        <w:t>均值、</w:t>
      </w:r>
      <w:r>
        <w:t>90%</w:t>
      </w:r>
      <w:r>
        <w:t>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w:t>
      </w:r>
      <w:r>
        <w:t>80×56</w:t>
      </w:r>
      <w:r>
        <w:t>栅格</w:t>
      </w:r>
      <w:r>
        <w:t>ODI</w:t>
      </w:r>
      <w:r>
        <w:t>场，共</w:t>
      </w:r>
      <w:r>
        <w:t>4480</w:t>
      </w:r>
      <w:r>
        <w:t>个栅格，均值为</w:t>
      </w:r>
      <w:r>
        <w:t>0.4669</w:t>
      </w:r>
      <w:r>
        <w:t>，</w:t>
      </w:r>
      <w:r>
        <w:t>P90</w:t>
      </w:r>
      <w:r>
        <w:t>为</w:t>
      </w:r>
      <w:r>
        <w:t>0.7474</w:t>
      </w:r>
      <w:r>
        <w:t>，</w:t>
      </w:r>
      <w:r>
        <w:t>ODI&gt;0.70</w:t>
      </w:r>
      <w:r>
        <w:t>比例为</w:t>
      </w:r>
      <w:r>
        <w:t>15.89%</w:t>
      </w:r>
      <w:r>
        <w:t>。在同一</w:t>
      </w:r>
      <w:r>
        <w:t>ODI</w:t>
      </w:r>
      <w:r>
        <w:t>场下，工程效率优先方案</w:t>
      </w:r>
      <w:r>
        <w:t>A</w:t>
      </w:r>
      <w:r>
        <w:t>、资源回收优先方案</w:t>
      </w:r>
      <w:r>
        <w:t>B</w:t>
      </w:r>
      <w:r>
        <w:t>和</w:t>
      </w:r>
      <w:r>
        <w:t>ODI</w:t>
      </w:r>
      <w:r>
        <w:t>筛选方案</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。权重和阈值敏感性结果表明，在当前样例和候选池范围内，</w:t>
      </w:r>
      <w:r>
        <w:t>C</w:t>
      </w:r>
      <w:r>
        <w:t>方案风险综合得分均低于</w:t>
      </w:r>
      <w:r>
        <w:t>A</w:t>
      </w:r>
      <w:r>
        <w:t>、</w:t>
      </w:r>
      <w:r>
        <w:t>B</w:t>
      </w:r>
      <w:r>
        <w:t>方案。样例结果表明，</w:t>
      </w:r>
      <w:r>
        <w:t>ODI</w:t>
      </w:r>
      <w:r>
        <w:t>前置约束可将风险图层转化为可复核的方案级统计指标，为采区规划阶段的多目标比选和后续对象传递提供方法支撑；真实矿井条件下的工程优选仍需结合现场约束和多案例验证。</w:t>
      </w:r>
    </w:p>
    <w:p w14:paraId="4CA2ADF3" w14:textId="77777777" w:rsidR="007E22B6" w:rsidRDefault="00A249E2">
      <w:pPr>
        <w:pStyle w:val="05"/>
        <w:spacing w:after="60"/>
      </w:pPr>
      <w:r>
        <w:t>关键词：覆岩扰动指数；采区规划；多目标优化；候选方案池；风险前置约束；连续参数场</w:t>
      </w:r>
    </w:p>
    <w:p w14:paraId="17F814F4" w14:textId="77777777" w:rsidR="007E22B6" w:rsidRDefault="00A249E2">
      <w:pPr>
        <w:pStyle w:val="05"/>
        <w:spacing w:after="60"/>
      </w:pPr>
      <w:r>
        <w:rPr>
          <w:rFonts w:ascii="宋体" w:eastAsia="宋体" w:hAnsi="宋体"/>
        </w:rPr>
        <w:t>中图分类号：TD822    文献标志码：A</w:t>
      </w:r>
    </w:p>
    <w:p w14:paraId="234887AB" w14:textId="77777777" w:rsidR="007E22B6" w:rsidRDefault="00A249E2">
      <w:pPr>
        <w:pStyle w:val="06"/>
        <w:spacing w:after="60"/>
      </w:pPr>
      <w:r>
        <w:rPr>
          <w:rFonts w:eastAsia="宋体"/>
        </w:rPr>
        <w:t>Collaborative planning method for mining districts constrained by overburden disturbance</w:t>
      </w:r>
    </w:p>
    <w:p w14:paraId="30897959"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25011716"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35DF72F8"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584A74FA" w14:textId="77777777" w:rsidR="00DE4743" w:rsidRDefault="00A249E2">
      <w:pPr>
        <w:pStyle w:val="09"/>
        <w:spacing w:after="60"/>
      </w:pPr>
      <w:r>
        <w:t>Keywords: overburden disturbance index; mining district planning; multi-objective optimization; candidate pool; risk pre-constraint; continuous parameter field</w:t>
      </w:r>
    </w:p>
    <w:p w14:paraId="3B766F57"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lastRenderedPageBreak/>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499A3240" w14:textId="77777777" w:rsidR="007E22B6" w:rsidRDefault="007E22B6"/>
    <w:p w14:paraId="3B868C54" w14:textId="77777777" w:rsidR="007E22B6" w:rsidRPr="00A046E0" w:rsidRDefault="00A249E2" w:rsidP="00A046E0">
      <w:pPr>
        <w:pStyle w:val="11"/>
        <w:rPr>
          <w:rFonts w:ascii="宋体" w:hAnsi="宋体"/>
        </w:rPr>
      </w:pPr>
      <w:r>
        <w:rPr>
          <w:rFonts w:ascii="宋体" w:eastAsia="宋体" w:hAnsi="宋体"/>
          <w:sz w:val="21"/>
        </w:rPr>
        <w:t>0 引言</w:t>
      </w:r>
    </w:p>
    <w:p w14:paraId="33C24C81"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t>[1-3,26-32]</w:t>
      </w:r>
      <w: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3FFDD079"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w:t>
      </w:r>
      <w:r>
        <w:t>[4-10,22-25,33-37,39-41,45,48-50]</w:t>
      </w:r>
      <w:r>
        <w:t>。与此同时，地下矿山布置优化、多目标规划及生产调度研究表明，候选方案生成、目标排序和多方案比较能够提升规划决策质量</w:t>
      </w:r>
      <w:r>
        <w:t>[11-15,38]</w:t>
      </w:r>
      <w:r>
        <w:t>。近年来，数字孪生、透明工作面、矿山地质建模和过程管理技术的发展，也使采区边界、钻孔、分层和生产状态在统一数据空间中的组织与维护成为可能</w:t>
      </w:r>
      <w:r>
        <w:t>[16-18,27-32]</w:t>
      </w:r>
      <w:r>
        <w:t>；矿山经济评价方法则由静态收益测算逐步转向动态现金流、风险成本和多方案比较</w:t>
      </w:r>
      <w:r>
        <w:t>[19-21]</w:t>
      </w:r>
      <w:r>
        <w:t>。</w:t>
      </w:r>
    </w:p>
    <w:p w14:paraId="0733831C"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w:t>
      </w:r>
      <w:r>
        <w:t>[31-32]</w:t>
      </w:r>
      <w:r>
        <w:t>。其二，地表沉陷、含水层扰动、导水裂隙带发育和上行开采等风险场景具有不同量纲、不同判据和不同分析尺度，多数研究仍聚焦于单一风险场景或单一判据，尚难形成可在规划阶段统一参与方案比较的约束表达</w:t>
      </w:r>
      <w:r>
        <w:t>[33-37,45,49-50]</w:t>
      </w:r>
      <w:r>
        <w:t>。其三，已有布局优化研究多强调某一阶段的几何求解或算法排序，对于规划结果如何继续进入采掘接续组织、参数调控和工程经济评价环节讨论不足，导致</w:t>
      </w:r>
      <w:r>
        <w:t>“</w:t>
      </w:r>
      <w:r>
        <w:t>规划</w:t>
      </w:r>
      <w:r>
        <w:t>—</w:t>
      </w:r>
      <w:r>
        <w:t>校核</w:t>
      </w:r>
      <w:r>
        <w:t>—</w:t>
      </w:r>
      <w:r>
        <w:t>评价</w:t>
      </w:r>
      <w:r>
        <w:t>”</w:t>
      </w:r>
      <w:r>
        <w:t>之间仍存在明显割裂</w:t>
      </w:r>
      <w:r>
        <w:t>[28,46-47]</w:t>
      </w:r>
      <w:r>
        <w:t>。</w:t>
      </w:r>
    </w:p>
    <w:p w14:paraId="5E3971C8" w14:textId="77777777" w:rsidR="00D76BC3" w:rsidRDefault="00D76BC3" w:rsidP="00D76BC3">
      <w:pPr>
        <w:pStyle w:val="10"/>
        <w:spacing w:after="40"/>
        <w:ind w:firstLine="420"/>
      </w:pPr>
      <w:r>
        <w:rPr>
          <w:rFonts w:ascii="宋体" w:eastAsia="宋体" w:hAnsi="宋体"/>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5CCEF0BA"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w:t>
      </w:r>
    </w:p>
    <w:p w14:paraId="09F5FF11"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统一风险表征方法，明确风险分量归一化、权重聚合、阈值统计和方案级指标计算口径；</w:t>
      </w:r>
      <w:r>
        <w:t>2</w:t>
      </w:r>
      <w:r>
        <w:t>）建立离散钻孔、连续参数场与工作面布局对象之间的规划映射机制，使地质参数能够从点状样本转化为可参与方案生成和评价的空间变量；</w:t>
      </w:r>
      <w:r>
        <w:t>3</w:t>
      </w:r>
      <w:r>
        <w:t>）构建包含工程效率、资源回收与扰动控制目标的候选方案池和排序流程，并通过工程效率优先、资源回收优先、扰动控制优先等方案对比说明</w:t>
      </w:r>
      <w:r>
        <w:t>ODI</w:t>
      </w:r>
      <w:r>
        <w:t>前置约束在方案比选中的作用。本文结果主要用于验证方法链路和对象传递的可行性，不将单一样例扩展为真实矿井条件下的普适最优结论。</w:t>
      </w:r>
    </w:p>
    <w:p w14:paraId="3D46ED71" w14:textId="77777777" w:rsidR="009330B5" w:rsidRDefault="009330B5">
      <w:pPr>
        <w:spacing w:after="60"/>
        <w:rPr>
          <w:rFonts w:ascii="黑体" w:eastAsia="黑体" w:hAnsi="黑体" w:hint="eastAsia"/>
          <w:b/>
          <w:sz w:val="26"/>
        </w:rPr>
      </w:pPr>
    </w:p>
    <w:p w14:paraId="650FDFB7" w14:textId="77777777" w:rsidR="007E22B6" w:rsidRDefault="00A249E2" w:rsidP="00A046E0">
      <w:pPr>
        <w:pStyle w:val="11"/>
      </w:pPr>
      <w:r>
        <w:rPr>
          <w:rFonts w:ascii="宋体" w:eastAsia="宋体" w:hAnsi="宋体"/>
          <w:sz w:val="21"/>
        </w:rPr>
        <w:t>1 基于覆岩扰动指数约束的采区多目标协同规划方法</w:t>
      </w:r>
    </w:p>
    <w:p w14:paraId="2D065D40"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68343E0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w:t>
      </w:r>
      <w:r>
        <w:t>[33-37,41,45,49-50]</w:t>
      </w:r>
      <w:r>
        <w:t>。不同风险场景的原始量纲、判据和空间尺度存在差异，若分别以各自阈值进入规划过程，容易造成约束口径不统一和方案比较困难。本文不把</w:t>
      </w:r>
      <w:r>
        <w:t>ODI</w:t>
      </w:r>
      <w:r>
        <w:t>定义为新的覆岩力学机理参数，而将其作为面向采区规划的统一风险表征指标，用于把多场景风险转化为可参与候选方案筛选和排序的无量纲统计量。</w:t>
      </w:r>
    </w:p>
    <w:p w14:paraId="373DAF2D"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54761023" w14:textId="77777777" w:rsidR="00195275" w:rsidRDefault="00A249E2">
      <w:pPr>
        <w:pStyle w:val="14"/>
      </w:pPr>
      <w:r>
        <w:t>图</w:t>
      </w:r>
      <w:r>
        <w:t>1 ODI</w:t>
      </w:r>
      <w:r>
        <w:t>风险约束逻辑示意图</w:t>
      </w:r>
      <w:r>
        <w:br/>
        <w:t>Fig.1 Schematic diagram of the ODI risk-constraint logic</w:t>
      </w:r>
    </w:p>
    <w:p w14:paraId="5055F0CC" w14:textId="77777777" w:rsidR="00E05130" w:rsidRDefault="009330B5" w:rsidP="00E05130">
      <w:pPr>
        <w:pStyle w:val="10"/>
        <w:spacing w:after="40"/>
        <w:ind w:firstLine="420"/>
      </w:pPr>
      <w:r>
        <w:t>设规划域为</w:t>
      </w:r>
      <w:r>
        <w:t>Ω</w:t>
      </w:r>
      <w:r>
        <w:t>，任意位置</w:t>
      </w:r>
      <w:r>
        <w:t>x</w:t>
      </w:r>
      <w:r>
        <w:t>处的风险分量包括地表沉陷扰动</w:t>
      </w:r>
      <w:r>
        <w:t>D_s(x)</w:t>
      </w:r>
      <w:r>
        <w:t>、含水层扰动</w:t>
      </w:r>
      <w:r>
        <w:t>D_a(x)</w:t>
      </w:r>
      <w:r>
        <w:t>和上行开采扰动</w:t>
      </w:r>
      <w:r>
        <w:t>D_u(x)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48E4D738" w14:textId="77777777">
        <w:trPr>
          <w:jc w:val="center"/>
        </w:trPr>
        <w:tc>
          <w:tcPr>
            <w:tcW w:w="504" w:type="dxa"/>
            <w:vAlign w:val="center"/>
          </w:tcPr>
          <w:p w14:paraId="0C039309" w14:textId="77777777" w:rsidR="00600991" w:rsidRDefault="00600991">
            <w:pPr>
              <w:spacing w:before="0" w:after="0"/>
            </w:pPr>
          </w:p>
        </w:tc>
        <w:tc>
          <w:tcPr>
            <w:tcW w:w="7992" w:type="dxa"/>
            <w:vAlign w:val="center"/>
          </w:tcPr>
          <w:p w14:paraId="002C7A58" w14:textId="07A68DB3" w:rsidR="00600991" w:rsidRDefault="00737432">
            <w:pPr>
              <w:jc w:val="center"/>
            </w:pPr>
            <m:oMathPara>
              <m:oMath>
                <m:r>
                  <w:rPr>
                    <w:rFonts w:ascii="Cambria Math" w:hAnsi="Cambria Math"/>
                  </w:rPr>
                  <m:t>ODI</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sSub>
                  <m:sSubPr>
                    <m:ctrlPr>
                      <w:rPr>
                        <w:rFonts w:ascii="Cambria Math" w:hAnsi="Cambria Math"/>
                        <w:i/>
                      </w:rPr>
                    </m:ctrlPr>
                  </m:sSubPr>
                  <m:e>
                    <m:r>
                      <w:rPr>
                        <w:rFonts w:ascii="Cambria Math" w:hAnsi="Cambria Math"/>
                      </w:rPr>
                      <m:t>D</m:t>
                    </m:r>
                  </m:e>
                  <m:sub>
                    <m:r>
                      <w:rPr>
                        <w:rFonts w:ascii="Cambria Math" w:hAnsi="Cambria Math"/>
                      </w:rPr>
                      <m:t>s</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t>
                    </m:r>
                  </m:sub>
                </m:sSub>
                <m:sSub>
                  <m:sSubPr>
                    <m:ctrlPr>
                      <w:rPr>
                        <w:rFonts w:ascii="Cambria Math" w:hAnsi="Cambria Math"/>
                        <w:i/>
                      </w:rPr>
                    </m:ctrlPr>
                  </m:sSubPr>
                  <m:e>
                    <m:r>
                      <w:rPr>
                        <w:rFonts w:ascii="Cambria Math" w:hAnsi="Cambria Math"/>
                      </w:rPr>
                      <m:t>D</m:t>
                    </m:r>
                  </m:e>
                  <m:sub>
                    <m:r>
                      <w:rPr>
                        <w:rFonts w:ascii="Cambria Math" w:hAnsi="Cambria Math"/>
                      </w:rPr>
                      <m:t>a</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m:t>
                    </m:r>
                  </m:sub>
                </m:sSub>
                <m:sSub>
                  <m:sSubPr>
                    <m:ctrlPr>
                      <w:rPr>
                        <w:rFonts w:ascii="Cambria Math" w:hAnsi="Cambria Math"/>
                        <w:i/>
                      </w:rPr>
                    </m:ctrlPr>
                  </m:sSubPr>
                  <m:e>
                    <m:r>
                      <w:rPr>
                        <w:rFonts w:ascii="Cambria Math" w:hAnsi="Cambria Math"/>
                      </w:rPr>
                      <m:t>D</m:t>
                    </m:r>
                  </m:e>
                  <m:sub>
                    <m:r>
                      <w:rPr>
                        <w:rFonts w:ascii="Cambria Math" w:hAnsi="Cambria Math"/>
                      </w:rPr>
                      <m:t>u</m:t>
                    </m:r>
                    <m:d>
                      <m:dPr>
                        <m:ctrlPr>
                          <w:rPr>
                            <w:rFonts w:ascii="Cambria Math" w:hAnsi="Cambria Math"/>
                            <w:i/>
                          </w:rPr>
                        </m:ctrlPr>
                      </m:dPr>
                      <m:e>
                        <m:r>
                          <w:rPr>
                            <w:rFonts w:ascii="Cambria Math" w:hAnsi="Cambria Math"/>
                          </w:rPr>
                          <m:t>x</m:t>
                        </m:r>
                      </m:e>
                    </m:d>
                  </m:sub>
                </m:sSub>
              </m:oMath>
            </m:oMathPara>
          </w:p>
        </w:tc>
        <w:tc>
          <w:tcPr>
            <w:tcW w:w="936" w:type="dxa"/>
            <w:vAlign w:val="center"/>
          </w:tcPr>
          <w:p w14:paraId="455E2CAE" w14:textId="77777777" w:rsidR="00600991" w:rsidRDefault="001E7D0D">
            <w:pPr>
              <w:spacing w:before="0" w:after="0"/>
              <w:jc w:val="right"/>
            </w:pPr>
            <w:r>
              <w:rPr>
                <w:rFonts w:eastAsia="Times New Roman"/>
                <w:sz w:val="21"/>
              </w:rPr>
              <w:t>（1）</w:t>
            </w:r>
          </w:p>
        </w:tc>
      </w:tr>
    </w:tbl>
    <w:p w14:paraId="0E215690"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51D2953A" w14:textId="77777777">
        <w:trPr>
          <w:jc w:val="center"/>
        </w:trPr>
        <w:tc>
          <w:tcPr>
            <w:tcW w:w="504" w:type="dxa"/>
            <w:vAlign w:val="center"/>
          </w:tcPr>
          <w:p w14:paraId="30029646" w14:textId="77777777" w:rsidR="00600991" w:rsidRDefault="00600991">
            <w:pPr>
              <w:spacing w:before="0" w:after="0"/>
            </w:pPr>
          </w:p>
        </w:tc>
        <w:tc>
          <w:tcPr>
            <w:tcW w:w="7992" w:type="dxa"/>
            <w:vAlign w:val="center"/>
          </w:tcPr>
          <w:p w14:paraId="6E4BCB9A" w14:textId="2B47D671" w:rsidR="00600991" w:rsidRDefault="00737432">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u</m:t>
                    </m:r>
                  </m:sub>
                </m:sSub>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 xml:space="preserve">≥0, </m:t>
                </m:r>
                <m:sSub>
                  <m:sSubPr>
                    <m:ctrlPr>
                      <w:rPr>
                        <w:rFonts w:ascii="Cambria Math" w:hAnsi="Cambria Math"/>
                        <w:i/>
                      </w:rPr>
                    </m:ctrlPr>
                  </m:sSubPr>
                  <m:e>
                    <m:r>
                      <w:rPr>
                        <w:rFonts w:ascii="Cambria Math" w:hAnsi="Cambria Math"/>
                      </w:rPr>
                      <m:t>w</m:t>
                    </m:r>
                  </m:e>
                  <m:sub>
                    <m:r>
                      <w:rPr>
                        <w:rFonts w:ascii="Cambria Math" w:hAnsi="Cambria Math"/>
                      </w:rPr>
                      <m:t>a</m:t>
                    </m:r>
                  </m:sub>
                </m:sSub>
                <m:r>
                  <w:rPr>
                    <w:rFonts w:ascii="Cambria Math" w:hAnsi="Cambria Math"/>
                  </w:rPr>
                  <m:t xml:space="preserve">≥0, </m:t>
                </m:r>
                <m:sSub>
                  <m:sSubPr>
                    <m:ctrlPr>
                      <w:rPr>
                        <w:rFonts w:ascii="Cambria Math" w:hAnsi="Cambria Math"/>
                        <w:i/>
                      </w:rPr>
                    </m:ctrlPr>
                  </m:sSubPr>
                  <m:e>
                    <m:r>
                      <w:rPr>
                        <w:rFonts w:ascii="Cambria Math" w:hAnsi="Cambria Math"/>
                      </w:rPr>
                      <m:t>w</m:t>
                    </m:r>
                  </m:e>
                  <m:sub>
                    <m:r>
                      <w:rPr>
                        <w:rFonts w:ascii="Cambria Math" w:hAnsi="Cambria Math"/>
                      </w:rPr>
                      <m:t>u</m:t>
                    </m:r>
                  </m:sub>
                </m:sSub>
                <m:r>
                  <w:rPr>
                    <w:rFonts w:ascii="Cambria Math" w:hAnsi="Cambria Math"/>
                  </w:rPr>
                  <m:t>≥0</m:t>
                </m:r>
              </m:oMath>
            </m:oMathPara>
          </w:p>
        </w:tc>
        <w:tc>
          <w:tcPr>
            <w:tcW w:w="936" w:type="dxa"/>
            <w:vAlign w:val="center"/>
          </w:tcPr>
          <w:p w14:paraId="6CCEBA6B" w14:textId="77777777" w:rsidR="00600991" w:rsidRDefault="001E7D0D">
            <w:pPr>
              <w:spacing w:before="0" w:after="0"/>
              <w:jc w:val="right"/>
            </w:pPr>
            <w:r>
              <w:rPr>
                <w:rFonts w:eastAsia="Times New Roman"/>
                <w:sz w:val="21"/>
              </w:rPr>
              <w:t>（2）</w:t>
            </w:r>
          </w:p>
        </w:tc>
      </w:tr>
    </w:tbl>
    <w:p w14:paraId="16B3C3BD" w14:textId="77777777" w:rsidR="009330B5" w:rsidRPr="009330B5" w:rsidRDefault="009330B5" w:rsidP="009330B5">
      <w:pPr>
        <w:pStyle w:val="10"/>
        <w:spacing w:after="40"/>
        <w:ind w:firstLine="420"/>
      </w:pPr>
      <w:r>
        <w:t>式中，</w:t>
      </w:r>
      <w:r>
        <w:t>w_s</w:t>
      </w:r>
      <w:r>
        <w:t>、</w:t>
      </w:r>
      <w:r>
        <w:t>w_a</w:t>
      </w:r>
      <w:r>
        <w:t>和</w:t>
      </w:r>
      <w:r>
        <w:t>w_u</w:t>
      </w:r>
      <w:r>
        <w:t>分别为地表沉陷、含水层扰动和上行开采分量权重。本文采用</w:t>
      </w:r>
      <w:r>
        <w:t>“</w:t>
      </w:r>
      <w:r>
        <w:t>场景目标驱动的专家规则赋权</w:t>
      </w:r>
      <w:r>
        <w:t>+</w:t>
      </w:r>
      <w:r>
        <w:t>敏感性校核</w:t>
      </w:r>
      <w:r>
        <w:t>”</w:t>
      </w:r>
      <w:r>
        <w:t>的确定方式，而不把权重解释为已完成现场统计标定的经验常数。综合规划基准权重取</w:t>
      </w:r>
      <w:r>
        <w:t>0.45/0.30/0.25</w:t>
      </w:r>
      <w:r>
        <w:t>，强调一般采区规划中地表沉陷控制、含水层扰动控制和上行开采扰动控制的综合平衡；含水层专项场景权重取</w:t>
      </w:r>
      <w:r>
        <w:t>0.15/0.25/0.60</w:t>
      </w:r>
      <w:r>
        <w:t>，用于检验当覆岩导水裂隙带发育及含水层保护约束被强化时，方案排序是否发生方向性改变。为避免</w:t>
      </w:r>
      <w:r>
        <w:t>“ODI”</w:t>
      </w:r>
      <w:r>
        <w:t>与子项语义重叠，本文不再使用</w:t>
      </w:r>
      <w:r>
        <w:t>“</w:t>
      </w:r>
      <w:r>
        <w:t>覆岩扰动分量</w:t>
      </w:r>
      <w:r>
        <w:t>”</w:t>
      </w:r>
      <w:r>
        <w:t>作为子指标名称，而以具体风险场景命名各分量。因此，本文给出的权重属于规划阶段的可复核假设，后续工程应用需结合矿区历史沉陷、水文地质观测和保护对象等级重新标定。</w:t>
      </w:r>
    </w:p>
    <w:p w14:paraId="0968F232" w14:textId="77777777" w:rsidR="009330B5" w:rsidRDefault="009330B5" w:rsidP="009330B5">
      <w:pPr>
        <w:pStyle w:val="10"/>
        <w:spacing w:after="40"/>
        <w:ind w:firstLine="420"/>
      </w:pPr>
      <w:r>
        <w:t>对原始指标</w:t>
      </w:r>
      <w:r>
        <w:t>X_i(x)</w:t>
      </w:r>
      <w:r>
        <w:t>，正向风险指标按式（</w:t>
      </w:r>
      <w:r>
        <w:t>3</w:t>
      </w:r>
      <w:r>
        <w:t>）归一化，逆向风险指标按式（</w:t>
      </w:r>
      <w:r>
        <w:t>4</w:t>
      </w:r>
      <w:r>
        <w:t>）归一化；当工程经验或规范给出上下限时，优先采用工程阈值作为</w:t>
      </w:r>
      <w:r>
        <w:t>X_i,min</w:t>
      </w:r>
      <w:r>
        <w:t>和</w:t>
      </w:r>
      <w:r>
        <w:t>X_i,max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445653F6" w14:textId="77777777">
        <w:trPr>
          <w:jc w:val="center"/>
        </w:trPr>
        <w:tc>
          <w:tcPr>
            <w:tcW w:w="504" w:type="dxa"/>
            <w:vAlign w:val="center"/>
          </w:tcPr>
          <w:p w14:paraId="1A20150C" w14:textId="77777777" w:rsidR="00600991" w:rsidRDefault="00600991">
            <w:pPr>
              <w:spacing w:before="0" w:after="0"/>
            </w:pPr>
          </w:p>
        </w:tc>
        <w:tc>
          <w:tcPr>
            <w:tcW w:w="7992" w:type="dxa"/>
            <w:vAlign w:val="center"/>
          </w:tcPr>
          <w:p w14:paraId="5BD43FA1" w14:textId="54A1E164" w:rsidR="00600991" w:rsidRDefault="00737432">
            <w:pPr>
              <w:jc w:val="center"/>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i,min</m:t>
                        </m:r>
                      </m:sub>
                    </m:sSub>
                  </m:num>
                  <m:den>
                    <m:sSub>
                      <m:sSubPr>
                        <m:ctrlPr>
                          <w:rPr>
                            <w:rFonts w:ascii="Cambria Math" w:hAnsi="Cambria Math"/>
                            <w:i/>
                          </w:rPr>
                        </m:ctrlPr>
                      </m:sSubPr>
                      <m:e>
                        <m:r>
                          <w:rPr>
                            <w:rFonts w:ascii="Cambria Math" w:hAnsi="Cambria Math"/>
                          </w:rPr>
                          <m:t>X</m:t>
                        </m:r>
                      </m:e>
                      <m:sub>
                        <m:r>
                          <w:rPr>
                            <w:rFonts w:ascii="Cambria Math" w:hAnsi="Cambria Math"/>
                          </w:rPr>
                          <m:t>i,max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i,min</m:t>
                        </m:r>
                      </m:sub>
                    </m:sSub>
                  </m:den>
                </m:f>
              </m:oMath>
            </m:oMathPara>
          </w:p>
        </w:tc>
        <w:tc>
          <w:tcPr>
            <w:tcW w:w="936" w:type="dxa"/>
            <w:vAlign w:val="center"/>
          </w:tcPr>
          <w:p w14:paraId="7899EE42" w14:textId="77777777" w:rsidR="00600991" w:rsidRDefault="001E7D0D">
            <w:pPr>
              <w:spacing w:before="0" w:after="0"/>
              <w:jc w:val="right"/>
            </w:pPr>
            <w:r>
              <w:rPr>
                <w:rFonts w:eastAsia="Times New Roman"/>
                <w:sz w:val="21"/>
              </w:rPr>
              <w:t>（3）</w:t>
            </w:r>
          </w:p>
        </w:tc>
      </w:tr>
    </w:tbl>
    <w:p w14:paraId="3EDFD31E" w14:textId="77777777" w:rsidR="00600991" w:rsidRDefault="001E7D0D">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0BA3885C" w14:textId="77777777">
        <w:trPr>
          <w:jc w:val="center"/>
        </w:trPr>
        <w:tc>
          <w:tcPr>
            <w:tcW w:w="504" w:type="dxa"/>
            <w:vAlign w:val="center"/>
          </w:tcPr>
          <w:p w14:paraId="2BB2FC11" w14:textId="77777777" w:rsidR="00600991" w:rsidRDefault="00600991">
            <w:pPr>
              <w:spacing w:before="0" w:after="0"/>
            </w:pPr>
          </w:p>
        </w:tc>
        <w:tc>
          <w:tcPr>
            <w:tcW w:w="7992" w:type="dxa"/>
            <w:vAlign w:val="center"/>
          </w:tcPr>
          <w:p w14:paraId="0C7CEDAC" w14:textId="4BC4F037" w:rsidR="00600991" w:rsidRDefault="00737432">
            <w:pPr>
              <w:jc w:val="center"/>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num>
                  <m:den>
                    <m:sSub>
                      <m:sSubPr>
                        <m:ctrlPr>
                          <w:rPr>
                            <w:rFonts w:ascii="Cambria Math" w:hAnsi="Cambria Math"/>
                            <w:i/>
                          </w:rPr>
                        </m:ctrlPr>
                      </m:sSubPr>
                      <m:e>
                        <m:r>
                          <w:rPr>
                            <w:rFonts w:ascii="Cambria Math" w:hAnsi="Cambria Math"/>
                          </w:rPr>
                          <m:t>X</m:t>
                        </m:r>
                      </m:e>
                      <m:sub>
                        <m:r>
                          <w:rPr>
                            <w:rFonts w:ascii="Cambria Math" w:hAnsi="Cambria Math"/>
                          </w:rPr>
                          <m:t>i,max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i,min</m:t>
                        </m:r>
                      </m:sub>
                    </m:sSub>
                  </m:den>
                </m:f>
              </m:oMath>
            </m:oMathPara>
          </w:p>
        </w:tc>
        <w:tc>
          <w:tcPr>
            <w:tcW w:w="936" w:type="dxa"/>
            <w:vAlign w:val="center"/>
          </w:tcPr>
          <w:p w14:paraId="2FB69CA1" w14:textId="77777777" w:rsidR="00600991" w:rsidRDefault="001E7D0D">
            <w:pPr>
              <w:spacing w:before="0" w:after="0"/>
              <w:jc w:val="right"/>
            </w:pPr>
            <w:r>
              <w:rPr>
                <w:rFonts w:eastAsia="Times New Roman"/>
                <w:sz w:val="21"/>
              </w:rPr>
              <w:t>（4）</w:t>
            </w:r>
          </w:p>
        </w:tc>
      </w:tr>
    </w:tbl>
    <w:p w14:paraId="1BB2E9EC"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13521632" w14:textId="77777777">
        <w:trPr>
          <w:jc w:val="center"/>
        </w:trPr>
        <w:tc>
          <w:tcPr>
            <w:tcW w:w="504" w:type="dxa"/>
            <w:vAlign w:val="center"/>
          </w:tcPr>
          <w:p w14:paraId="39C4B490" w14:textId="77777777" w:rsidR="00600991" w:rsidRDefault="00600991">
            <w:pPr>
              <w:spacing w:before="0" w:after="0"/>
            </w:pPr>
          </w:p>
        </w:tc>
        <w:tc>
          <w:tcPr>
            <w:tcW w:w="7992" w:type="dxa"/>
            <w:vAlign w:val="center"/>
          </w:tcPr>
          <w:p w14:paraId="4A4FCA22" w14:textId="311EB787" w:rsidR="00600991" w:rsidRDefault="00737432">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π</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π</m:t>
                        </m:r>
                        <m:d>
                          <m:dPr>
                            <m:ctrlPr>
                              <w:rPr>
                                <w:rFonts w:ascii="Cambria Math" w:hAnsi="Cambria Math"/>
                                <w:i/>
                              </w:rPr>
                            </m:ctrlPr>
                          </m:dPr>
                          <m:e>
                            <m:r>
                              <w:rPr>
                                <w:rFonts w:ascii="Cambria Math" w:hAnsi="Cambria Math"/>
                              </w:rPr>
                              <m:t>ODI&gt;</m:t>
                            </m:r>
                            <m:sSub>
                              <m:sSubPr>
                                <m:ctrlPr>
                                  <w:rPr>
                                    <w:rFonts w:ascii="Cambria Math" w:hAnsi="Cambria Math"/>
                                    <w:i/>
                                  </w:rPr>
                                </m:ctrlPr>
                              </m:sSubPr>
                              <m:e>
                                <m:r>
                                  <w:rPr>
                                    <w:rFonts w:ascii="Cambria Math" w:hAnsi="Cambria Math"/>
                                  </w:rPr>
                                  <m:t>T</m:t>
                                </m:r>
                              </m:e>
                              <m:sub>
                                <m:r>
                                  <w:rPr>
                                    <w:rFonts w:ascii="Cambria Math" w:hAnsi="Cambria Math"/>
                                  </w:rPr>
                                  <m:t>ODI</m:t>
                                </m:r>
                              </m:sub>
                            </m:sSub>
                          </m:e>
                        </m:d>
                      </m:sub>
                    </m:sSub>
                  </m:num>
                  <m:den>
                    <m:sSub>
                      <m:sSubPr>
                        <m:ctrlPr>
                          <w:rPr>
                            <w:rFonts w:ascii="Cambria Math" w:hAnsi="Cambria Math"/>
                            <w:i/>
                          </w:rPr>
                        </m:ctrlPr>
                      </m:sSubPr>
                      <m:e>
                        <m:r>
                          <w:rPr>
                            <w:rFonts w:ascii="Cambria Math" w:hAnsi="Cambria Math"/>
                          </w:rPr>
                          <m:t>N</m:t>
                        </m:r>
                      </m:e>
                      <m:sub>
                        <m:r>
                          <w:rPr>
                            <w:rFonts w:ascii="Cambria Math" w:hAnsi="Cambria Math"/>
                          </w:rPr>
                          <m:t>π</m:t>
                        </m:r>
                      </m:sub>
                    </m:sSub>
                  </m:den>
                </m:f>
                <m:r>
                  <w:rPr>
                    <w:rFonts w:ascii="Cambria Math" w:hAnsi="Cambria Math"/>
                  </w:rPr>
                  <m:t>×100%</m:t>
                </m:r>
              </m:oMath>
            </m:oMathPara>
          </w:p>
        </w:tc>
        <w:tc>
          <w:tcPr>
            <w:tcW w:w="936" w:type="dxa"/>
            <w:vAlign w:val="center"/>
          </w:tcPr>
          <w:p w14:paraId="720A61AD" w14:textId="77777777" w:rsidR="00600991" w:rsidRDefault="001E7D0D">
            <w:pPr>
              <w:spacing w:before="0" w:after="0"/>
              <w:jc w:val="right"/>
            </w:pPr>
            <w:r>
              <w:rPr>
                <w:rFonts w:eastAsia="Times New Roman"/>
                <w:sz w:val="21"/>
              </w:rPr>
              <w:t>（5）</w:t>
            </w:r>
          </w:p>
        </w:tc>
      </w:tr>
    </w:tbl>
    <w:p w14:paraId="4F2A48D1"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为方案区域内参与统计的采样或栅格数量，</w:t>
      </w:r>
      <w:r>
        <w:t>T_ODI</w:t>
      </w:r>
      <w:r>
        <w:t>为扰动控制阈值。本文以</w:t>
      </w:r>
      <w:r>
        <w:t>ODI</w:t>
      </w:r>
      <w:r>
        <w:t>均值、</w:t>
      </w:r>
      <w:r>
        <w:t>Q_0.90</w:t>
      </w:r>
      <w:r>
        <w:t>和超阈值暴露比例</w:t>
      </w:r>
      <w:r>
        <w:t>E_π</w:t>
      </w:r>
      <w:r>
        <w:t>共同描述方案级风险，其中</w:t>
      </w:r>
      <w:r>
        <w:t>ODI</w:t>
      </w:r>
      <w:r>
        <w:t>均值反映方案区域的总体扰动水平，</w:t>
      </w:r>
      <w:r>
        <w:t>Q_0.90</w:t>
      </w:r>
      <w:r>
        <w:t>反映高值尾部风险，</w:t>
      </w:r>
      <w:r>
        <w:t>E_π</w:t>
      </w:r>
      <w:r>
        <w:t>反映超过统计阈值的空间暴露比例，不把单一</w:t>
      </w:r>
      <w:r>
        <w:t>ODI</w:t>
      </w:r>
      <w:r>
        <w:t>均值或单一超限比例作为唯一判据。阈值</w:t>
      </w:r>
      <w:r>
        <w:t>0.70</w:t>
      </w:r>
      <w:r>
        <w:t>和</w:t>
      </w:r>
      <w:r>
        <w:t>0.80</w:t>
      </w:r>
      <w:r>
        <w:t>分别作为预警统计线和高扰动统计线，用于样例内部的相对比较，而非行业安全红线或法规阈值。为降低自定义阈值带来的结论依赖，本文进一步设置</w:t>
      </w:r>
      <w:r>
        <w:t>0.65</w:t>
      </w:r>
      <w:r>
        <w:t>、</w:t>
      </w:r>
      <w:r>
        <w:t>0.70</w:t>
      </w:r>
      <w:r>
        <w:t>、</w:t>
      </w:r>
      <w:r>
        <w:t>0.75</w:t>
      </w:r>
      <w:r>
        <w:t>和</w:t>
      </w:r>
      <w:r>
        <w:t>0.80</w:t>
      </w:r>
      <w:r>
        <w:t>四组阈值进行敏感性分析；在真实矿井应用中，上述阈值仍应结合历史观测、含水层保护等级、地表建构筑物敏感性和现场安全制度重新标定。</w:t>
      </w:r>
    </w:p>
    <w:p w14:paraId="24384CCC" w14:textId="77777777" w:rsidR="009330B5" w:rsidRDefault="009330B5">
      <w:pPr>
        <w:spacing w:after="60"/>
        <w:rPr>
          <w:rFonts w:ascii="宋体" w:hAnsi="宋体"/>
          <w:b/>
          <w:sz w:val="22"/>
        </w:rPr>
      </w:pPr>
    </w:p>
    <w:p w14:paraId="1EE703E8" w14:textId="77777777" w:rsidR="007E22B6" w:rsidRDefault="00A249E2" w:rsidP="00A046E0">
      <w:pPr>
        <w:pStyle w:val="12"/>
      </w:pPr>
      <w:r>
        <w:rPr>
          <w:rFonts w:ascii="宋体" w:eastAsia="宋体" w:hAnsi="宋体"/>
          <w:sz w:val="21"/>
        </w:rPr>
        <w:t>1.2 有效布置域与连续参数场构建</w:t>
      </w:r>
    </w:p>
    <w:p w14:paraId="1F8D8DEF"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w:t>
      </w:r>
      <w:r>
        <w:t>[30-32]</w:t>
      </w:r>
      <w:r>
        <w:t>。若缺少统一组织方式，这些对象很难同时进入同一套规划流程。为此，本文以研究区边界、钻孔、分层和设计参数为基础，构建采区规划参数体系，并在统一空间参照下完成几何边界处理、参数映射和候选方案生成。表</w:t>
      </w:r>
      <w:r>
        <w:t>1</w:t>
      </w:r>
      <w:r>
        <w:t>汇总了</w:t>
      </w:r>
      <w:r>
        <w:t>“</w:t>
      </w:r>
      <w:r>
        <w:t>数据输入</w:t>
      </w:r>
      <w:r>
        <w:t>—</w:t>
      </w:r>
      <w:r>
        <w:t>参数体系构建</w:t>
      </w:r>
      <w:r>
        <w:t>—</w:t>
      </w:r>
      <w:r>
        <w:t>采区规划输出</w:t>
      </w:r>
      <w:r>
        <w:t>”</w:t>
      </w:r>
      <w:r>
        <w:t>的主要参数与约束条件，说明采区规划并不是直接对原始边界做简单布置，而是需要经过边界合法性校核、有效布置域提取、尺度参数输入和评价指标联动等环节。</w:t>
      </w:r>
    </w:p>
    <w:p w14:paraId="148ADB93"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设原始采区边界为Ω_0，边界煤柱约束、区段煤柱约束及保护对象约束对应的缓冲集合分别为B_b、B_s和D_p，则有效布置域可写为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35B6B6A3" w14:textId="77777777">
        <w:trPr>
          <w:jc w:val="center"/>
        </w:trPr>
        <w:tc>
          <w:tcPr>
            <w:tcW w:w="504" w:type="dxa"/>
            <w:vAlign w:val="center"/>
          </w:tcPr>
          <w:p w14:paraId="2E165066" w14:textId="77777777" w:rsidR="00600991" w:rsidRDefault="00600991">
            <w:pPr>
              <w:spacing w:before="0" w:after="0"/>
            </w:pPr>
          </w:p>
        </w:tc>
        <w:tc>
          <w:tcPr>
            <w:tcW w:w="7992" w:type="dxa"/>
            <w:vAlign w:val="center"/>
          </w:tcPr>
          <w:p w14:paraId="29172329" w14:textId="6B4A4BFD" w:rsidR="00600991" w:rsidRDefault="00737432">
            <w:pPr>
              <w:jc w:val="center"/>
            </w:pPr>
            <m:oMathPara>
              <m:oMath>
                <m:sSub>
                  <m:sSubPr>
                    <m:ctrlPr>
                      <w:rPr>
                        <w:rFonts w:ascii="Cambria Math" w:hAnsi="Cambria Math"/>
                        <w:i/>
                      </w:rPr>
                    </m:ctrlPr>
                  </m:sSubPr>
                  <m:e>
                    <m:r>
                      <w:rPr>
                        <w:rFonts w:ascii="Cambria Math" w:hAnsi="Cambria Math"/>
                      </w:rPr>
                      <m:t>Ω</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e>
                </m:d>
              </m:oMath>
            </m:oMathPara>
          </w:p>
        </w:tc>
        <w:tc>
          <w:tcPr>
            <w:tcW w:w="936" w:type="dxa"/>
            <w:vAlign w:val="center"/>
          </w:tcPr>
          <w:p w14:paraId="77ACA805" w14:textId="77777777" w:rsidR="00600991" w:rsidRDefault="001E7D0D">
            <w:pPr>
              <w:spacing w:before="0" w:after="0"/>
              <w:jc w:val="right"/>
            </w:pPr>
            <w:r>
              <w:rPr>
                <w:rFonts w:eastAsia="Times New Roman"/>
                <w:sz w:val="21"/>
              </w:rPr>
              <w:t>（6）</w:t>
            </w:r>
          </w:p>
        </w:tc>
      </w:tr>
    </w:tbl>
    <w:p w14:paraId="3D895791" w14:textId="77777777" w:rsidR="009330B5" w:rsidRPr="009330B5" w:rsidRDefault="009330B5" w:rsidP="009330B5">
      <w:pPr>
        <w:pStyle w:val="10"/>
        <w:spacing w:after="40"/>
        <w:ind w:firstLine="420"/>
      </w:pPr>
      <w:r>
        <w:t>式中，</w:t>
      </w:r>
      <w:r>
        <w:t>Ω_0</w:t>
      </w:r>
      <w:r>
        <w:t>为原始采区边界，</w:t>
      </w:r>
      <w:r>
        <w:t>B_b</w:t>
      </w:r>
      <w:r>
        <w:t>为边界煤柱宽度，</w:t>
      </w:r>
      <w:r>
        <w:t>B_s</w:t>
      </w:r>
      <w:r>
        <w:t>为区段煤柱宽度，</w:t>
      </w:r>
      <w:r>
        <w:t>D_p</w:t>
      </w:r>
      <w:r>
        <w:t>为局部保护距离，</w:t>
      </w:r>
      <w:r>
        <w:t>Ω_e</w:t>
      </w:r>
      <w:r>
        <w:t>为经约束内缩和几何合法性处理后的有效布置域。若内缩后出现多连通域或局部狭长畸变，则保留主连通区域并采用降级内缩策略，以保证后续工作面布置具有几何可解性。</w:t>
      </w:r>
    </w:p>
    <w:p w14:paraId="58F13309" w14:textId="77777777" w:rsidR="009330B5" w:rsidRPr="009330B5" w:rsidRDefault="009330B5" w:rsidP="009330B5">
      <w:pPr>
        <w:pStyle w:val="10"/>
        <w:spacing w:after="40"/>
        <w:ind w:firstLine="420"/>
      </w:pPr>
      <w:r>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1161BFD0" w14:textId="77777777">
        <w:trPr>
          <w:jc w:val="center"/>
        </w:trPr>
        <w:tc>
          <w:tcPr>
            <w:tcW w:w="504" w:type="dxa"/>
            <w:vAlign w:val="center"/>
          </w:tcPr>
          <w:p w14:paraId="383FC68C" w14:textId="77777777" w:rsidR="00600991" w:rsidRDefault="00600991">
            <w:pPr>
              <w:spacing w:before="0" w:after="0"/>
            </w:pPr>
          </w:p>
        </w:tc>
        <w:tc>
          <w:tcPr>
            <w:tcW w:w="7992" w:type="dxa"/>
            <w:vAlign w:val="center"/>
          </w:tcPr>
          <w:p w14:paraId="01B0C061" w14:textId="1857BA80" w:rsidR="00600991" w:rsidRDefault="00737432">
            <w:pPr>
              <w:jc w:val="center"/>
            </w:pPr>
            <m:oMathPara>
              <m:oMath>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z</m:t>
                            </m:r>
                          </m:e>
                          <m:sub>
                            <m:r>
                              <w:rPr>
                                <w:rFonts w:ascii="Cambria Math" w:hAnsi="Cambria Math"/>
                              </w:rPr>
                              <m:t>i</m:t>
                            </m:r>
                          </m:sub>
                        </m:sSub>
                        <m:sSubSup>
                          <m:sSubSupPr>
                            <m:ctrlPr>
                              <w:rPr>
                                <w:rFonts w:ascii="Cambria Math" w:hAnsi="Cambria Math"/>
                                <w:i/>
                              </w:rPr>
                            </m:ctrlPr>
                          </m:sSubSup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up>
                            <m:r>
                              <w:rPr>
                                <w:rFonts w:ascii="Cambria Math" w:hAnsi="Cambria Math"/>
                              </w:rPr>
                              <m:t>-p</m:t>
                            </m:r>
                          </m:sup>
                        </m:sSubSup>
                      </m:e>
                    </m:nary>
                  </m:num>
                  <m:den>
                    <m:nary>
                      <m:naryPr>
                        <m:chr m:val="∑"/>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up>
                            <m:r>
                              <w:rPr>
                                <w:rFonts w:ascii="Cambria Math" w:hAnsi="Cambria Math"/>
                              </w:rPr>
                              <m:t>-p</m:t>
                            </m:r>
                          </m:sup>
                        </m:sSubSup>
                      </m:e>
                    </m:nary>
                  </m:den>
                </m:f>
              </m:oMath>
            </m:oMathPara>
          </w:p>
        </w:tc>
        <w:tc>
          <w:tcPr>
            <w:tcW w:w="936" w:type="dxa"/>
            <w:vAlign w:val="center"/>
          </w:tcPr>
          <w:p w14:paraId="74D102B5" w14:textId="77777777" w:rsidR="00600991" w:rsidRDefault="001E7D0D">
            <w:pPr>
              <w:spacing w:before="0" w:after="0"/>
              <w:jc w:val="right"/>
            </w:pPr>
            <w:r>
              <w:rPr>
                <w:rFonts w:eastAsia="Times New Roman"/>
                <w:sz w:val="21"/>
              </w:rPr>
              <w:t>（7）</w:t>
            </w:r>
          </w:p>
        </w:tc>
      </w:tr>
    </w:tbl>
    <w:p w14:paraId="6E0841E3" w14:textId="77777777" w:rsidR="009330B5" w:rsidRPr="009330B5" w:rsidRDefault="009330B5" w:rsidP="009330B5">
      <w:pPr>
        <w:pStyle w:val="10"/>
        <w:spacing w:after="40"/>
        <w:ind w:firstLine="420"/>
      </w:pPr>
      <w:r>
        <w:t>式中，</w:t>
      </w:r>
      <w:r>
        <w:t>z(x)</w:t>
      </w:r>
      <w:r>
        <w:t>为规划位置</w:t>
      </w:r>
      <w:r>
        <w:t>x</w:t>
      </w:r>
      <w:r>
        <w:t>处的参数估计值，</w:t>
      </w:r>
      <w:r>
        <w:t>z_i</w:t>
      </w:r>
      <w:r>
        <w:t>为第</w:t>
      </w:r>
      <w:r>
        <w:t>i</w:t>
      </w:r>
      <w:r>
        <w:t>个钻孔样点的观测值，</w:t>
      </w:r>
      <w:r>
        <w:t>d_i(x)</w:t>
      </w:r>
      <w:r>
        <w:t>为位置</w:t>
      </w:r>
      <w:r>
        <w:t>x</w:t>
      </w:r>
      <w:r>
        <w:t>与第</w:t>
      </w:r>
      <w:r>
        <w:t>i</w:t>
      </w:r>
      <w:r>
        <w:t>个钻孔之间的距离，</w:t>
      </w:r>
      <w:r>
        <w:t>p</w:t>
      </w:r>
      <w: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DD48B90"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w:t>
      </w:r>
      <w:r>
        <w:lastRenderedPageBreak/>
        <w:t>展示对象，其他属性作为同一流程下的可扩展输入保留；当某一属性样点缺失或异常时，不直接参与该属性场插值，而应记录缺失状态并在方案评分中降级为不确定输入。本轮复核的</w:t>
      </w:r>
      <w:r>
        <w:t>ODI</w:t>
      </w:r>
      <w:r>
        <w:t>风险场采用</w:t>
      </w:r>
      <w:r>
        <w:t>80×56</w:t>
      </w:r>
      <w:r>
        <w:t>网格、共</w:t>
      </w:r>
      <w:r>
        <w:t>4480</w:t>
      </w:r>
      <w:r>
        <w:t>个栅格，该网格用于样例内部风险统计和方案叠加，不被解释为不同矿区的固定网格尺度。</w:t>
      </w:r>
    </w:p>
    <w:p w14:paraId="6DFAF4F1" w14:textId="77777777" w:rsidR="009330B5" w:rsidRPr="009330B5" w:rsidRDefault="009330B5" w:rsidP="009330B5">
      <w:pPr>
        <w:pStyle w:val="10"/>
        <w:spacing w:after="40"/>
        <w:ind w:firstLine="420"/>
      </w:pPr>
      <w:r>
        <w:rPr>
          <w:rFonts w:ascii="宋体" w:eastAsia="宋体" w:hAnsi="宋体"/>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F93B564" w14:textId="77777777" w:rsidR="007E22B6" w:rsidRDefault="00A249E2" w:rsidP="00A046E0">
      <w:pPr>
        <w:pStyle w:val="12"/>
      </w:pPr>
      <w:r>
        <w:rPr>
          <w:sz w:val="21"/>
        </w:rPr>
        <w:t xml:space="preserve">1.3 </w:t>
      </w:r>
      <w:r>
        <w:rPr>
          <w:sz w:val="21"/>
        </w:rPr>
        <w:t>候选方案生成与多目标比选模型</w:t>
      </w:r>
    </w:p>
    <w:p w14:paraId="70A29045"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候选方案池生成</w:t>
      </w:r>
      <w:r>
        <w:t>—</w:t>
      </w:r>
      <w:r>
        <w:t>硬约束过滤</w:t>
      </w:r>
      <w:r>
        <w:t>—</w:t>
      </w:r>
      <w:r>
        <w:t>多目标排序</w:t>
      </w:r>
      <w:r>
        <w:t>—</w:t>
      </w:r>
      <w:r>
        <w:t>工程复核</w:t>
      </w:r>
      <w:r>
        <w:t>”</w:t>
      </w:r>
      <w:r>
        <w:t>的组合优化过程，而不是单一程序输出结果。</w:t>
      </w:r>
    </w:p>
    <w:p w14:paraId="2785AA31"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、工作面宽度</w:t>
      </w:r>
      <w:r>
        <w:t>W_f</w:t>
      </w:r>
      <w:r>
        <w:t>、推进方向</w:t>
      </w:r>
      <w:r>
        <w:t>θ</w:t>
      </w:r>
      <w:r>
        <w:t>、边界煤柱宽度</w:t>
      </w:r>
      <w:r>
        <w:t>B_b</w:t>
      </w:r>
      <w:r>
        <w:t>、区段煤柱宽度</w:t>
      </w:r>
      <w:r>
        <w:t>B_s</w:t>
      </w:r>
      <w:r>
        <w:t>、工作面起止边界、巷道连接关系和方案选择变量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36F810E7" w14:textId="77777777">
        <w:trPr>
          <w:jc w:val="center"/>
        </w:trPr>
        <w:tc>
          <w:tcPr>
            <w:tcW w:w="504" w:type="dxa"/>
            <w:vAlign w:val="center"/>
          </w:tcPr>
          <w:p w14:paraId="4DDEEED8" w14:textId="77777777" w:rsidR="00600991" w:rsidRDefault="00600991">
            <w:pPr>
              <w:spacing w:before="0" w:after="0"/>
            </w:pPr>
          </w:p>
        </w:tc>
        <w:tc>
          <w:tcPr>
            <w:tcW w:w="7992" w:type="dxa"/>
            <w:vAlign w:val="center"/>
          </w:tcPr>
          <w:p w14:paraId="7C7DB486" w14:textId="58DACD9F" w:rsidR="00600991" w:rsidRDefault="00737432">
            <w:pPr>
              <w:jc w:val="center"/>
            </w:pPr>
            <m:oMathPara>
              <m:oMath>
                <m:r>
                  <w:rPr>
                    <w:rFonts w:ascii="Cambria Math" w:hAnsi="Cambria Math"/>
                  </w:rPr>
                  <m:t>π=</m:t>
                </m:r>
                <m:d>
                  <m:dPr>
                    <m:begChr m:val="{"/>
                    <m:endChr m:val="}"/>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,θ,</m:t>
                    </m:r>
                    <m:sSub>
                      <m:sSubPr>
                        <m:ctrlPr>
                          <w:rPr>
                            <w:rFonts w:ascii="Cambria Math" w:hAnsi="Cambria Math"/>
                            <w:i/>
                          </w:rPr>
                        </m:ctrlPr>
                      </m:sSubPr>
                      <m:e>
                        <m:r>
                          <w:rPr>
                            <w:rFonts w:ascii="Cambria Math" w:hAnsi="Cambria Math"/>
                          </w:rPr>
                          <m:t>B</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π</m:t>
                        </m:r>
                      </m:sub>
                    </m:sSub>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π</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m:oMathPara>
          </w:p>
        </w:tc>
        <w:tc>
          <w:tcPr>
            <w:tcW w:w="936" w:type="dxa"/>
            <w:vAlign w:val="center"/>
          </w:tcPr>
          <w:p w14:paraId="7D8373A2" w14:textId="77777777" w:rsidR="00600991" w:rsidRDefault="001E7D0D">
            <w:pPr>
              <w:spacing w:before="0" w:after="0"/>
              <w:jc w:val="right"/>
            </w:pPr>
            <w:r>
              <w:rPr>
                <w:rFonts w:eastAsia="Times New Roman"/>
                <w:sz w:val="21"/>
              </w:rPr>
              <w:t>（8）</w:t>
            </w:r>
          </w:p>
        </w:tc>
      </w:tr>
    </w:tbl>
    <w:p w14:paraId="65AD3BEB" w14:textId="77777777" w:rsidR="009330B5" w:rsidRPr="009330B5" w:rsidRDefault="00A249E2">
      <w:pPr>
        <w:pStyle w:val="16"/>
        <w:tabs>
          <w:tab w:val="right" w:pos="8504"/>
        </w:tabs>
        <w:spacing w:after="60" w:line="240" w:lineRule="auto"/>
        <w:jc w:val="center"/>
        <w:rPr>
          <w:rFonts w:ascii="宋体" w:hAnsi="宋体"/>
        </w:rPr>
      </w:pPr>
      <w:r>
        <w:t>式中，</w:t>
      </w:r>
      <w:r>
        <w:t>N</w:t>
      </w:r>
      <w:r>
        <w:t>为工作面数量，</w:t>
      </w:r>
      <w:r>
        <w:t>W_f</w:t>
      </w:r>
      <w:r>
        <w:t>为工作面宽度，</w:t>
      </w:r>
      <w:r>
        <w:t>θ</w:t>
      </w:r>
      <w:r>
        <w:t>为推进方向，</w:t>
      </w:r>
      <w:r>
        <w:t>B_b</w:t>
      </w:r>
      <w:r>
        <w:t>和</w:t>
      </w:r>
      <w:r>
        <w:t>B_s</w:t>
      </w:r>
      <w:r>
        <w:t>分别为边界煤柱与区段煤柱宽度，</w:t>
      </w:r>
      <w:r>
        <w:t>A_π</w:t>
      </w:r>
      <w:r>
        <w:t>为方案</w:t>
      </w:r>
      <w:r>
        <w:t>π</w:t>
      </w:r>
      <w:r>
        <w:t>中所有工作面占用区域的集合，</w:t>
      </w:r>
      <w:r>
        <w:t>L_π</w:t>
      </w:r>
      <w:r>
        <w:t>为各工作面推进长度集合，</w:t>
      </w:r>
      <w:r>
        <w:t>R_π</w:t>
      </w:r>
      <w:r>
        <w:t>为巷道连接与服务关系，</w:t>
      </w:r>
      <w:r>
        <w:t>y_π</w:t>
      </w:r>
      <w:r>
        <w:t>为是否选取该候选方案的</w:t>
      </w:r>
      <w:r>
        <w:t>0-1</w:t>
      </w:r>
      <w:r>
        <w:t>变量。该变量定义使规划对象由单一几何图形扩展为包含数量、尺度、方向、煤柱、工作面区域和巷道连接关系的组合对象，从而能够同时承接几何约束、风险统计和后续接续评价。</w:t>
      </w:r>
    </w:p>
    <w:p w14:paraId="41E08395"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18389064" w14:textId="77777777">
        <w:trPr>
          <w:jc w:val="center"/>
        </w:trPr>
        <w:tc>
          <w:tcPr>
            <w:tcW w:w="504" w:type="dxa"/>
            <w:vAlign w:val="center"/>
          </w:tcPr>
          <w:p w14:paraId="5D24C378" w14:textId="77777777" w:rsidR="00600991" w:rsidRDefault="00600991">
            <w:pPr>
              <w:spacing w:before="0" w:after="0"/>
            </w:pPr>
          </w:p>
        </w:tc>
        <w:tc>
          <w:tcPr>
            <w:tcW w:w="7992" w:type="dxa"/>
            <w:vAlign w:val="center"/>
          </w:tcPr>
          <w:p w14:paraId="666BB25A" w14:textId="0587E361" w:rsidR="00600991" w:rsidRDefault="00737432">
            <w:pPr>
              <w:jc w:val="center"/>
            </w:pPr>
            <m:oMathPara>
              <m:oMath>
                <m:r>
                  <w:rPr>
                    <w:rFonts w:ascii="Cambria Math" w:hAnsi="Cambria Math"/>
                  </w:rPr>
                  <m:t>A_π⊂Ω_e; B_b∈[B_(b,min),B_(b,max)]; B_s∈[B_(s,min),B_(s,max)]; W_f∈[W_(min),W_(max)]; A_i∩A_j=∅; L_f≥L_(min); E_π≤E_(max)</m:t>
                </m:r>
              </m:oMath>
            </m:oMathPara>
          </w:p>
        </w:tc>
        <w:tc>
          <w:tcPr>
            <w:tcW w:w="936" w:type="dxa"/>
            <w:vAlign w:val="center"/>
          </w:tcPr>
          <w:p w14:paraId="4CA605C7" w14:textId="77777777" w:rsidR="00600991" w:rsidRDefault="001E7D0D">
            <w:pPr>
              <w:spacing w:before="0" w:after="0"/>
              <w:jc w:val="right"/>
            </w:pPr>
            <w:r>
              <w:rPr>
                <w:rFonts w:eastAsia="Times New Roman"/>
                <w:sz w:val="21"/>
              </w:rPr>
              <w:t>（9）</w:t>
            </w:r>
          </w:p>
        </w:tc>
      </w:tr>
    </w:tbl>
    <w:p w14:paraId="4D0811C9" w14:textId="77777777" w:rsidR="009330B5" w:rsidRPr="009330B5" w:rsidRDefault="009330B5" w:rsidP="009330B5">
      <w:pPr>
        <w:pStyle w:val="10"/>
        <w:spacing w:after="40"/>
        <w:ind w:firstLine="420"/>
        <w:rPr>
          <w:rFonts w:ascii="宋体" w:hAnsi="宋体"/>
        </w:rPr>
      </w:pPr>
      <w:r>
        <w:t>式中，</w:t>
      </w:r>
      <w:r>
        <w:t>A_π⊂Ω_e</w:t>
      </w:r>
      <w:r>
        <w:t>为边界约束，</w:t>
      </w:r>
      <w:r>
        <w:t>B_b</w:t>
      </w:r>
      <w:r>
        <w:t>和</w:t>
      </w:r>
      <w:r>
        <w:t>B_s</w:t>
      </w:r>
      <w:r>
        <w:t>为煤柱约束，</w:t>
      </w:r>
      <w:r>
        <w:t>W_f</w:t>
      </w:r>
      <w:r>
        <w:t>为工作面宽度约束，</w:t>
      </w:r>
      <w:r>
        <w:t>A_i∩A_j=∅</w:t>
      </w:r>
      <w:r>
        <w:t>为工作面不重叠约束，</w:t>
      </w:r>
      <w:r>
        <w:t>L_f≥L_min</w:t>
      </w:r>
      <w:r>
        <w:t>为最小推进长度约束，</w:t>
      </w:r>
      <w:r>
        <w:t>E_π≤E_max</w:t>
      </w:r>
      <w:r>
        <w:t>为</w:t>
      </w:r>
      <w:r>
        <w:t>ODI</w:t>
      </w:r>
      <w:r>
        <w:t>超阈值暴露约束。上述约束用于把</w:t>
      </w:r>
      <w:r>
        <w:t>“</w:t>
      </w:r>
      <w:r>
        <w:t>能画出的布局</w:t>
      </w:r>
      <w:r>
        <w:t>”</w:t>
      </w:r>
      <w:r>
        <w:t>进一步筛选为</w:t>
      </w:r>
      <w:r>
        <w:t>“</w:t>
      </w:r>
      <w:r>
        <w:t>可进入工程比选的候选方案</w:t>
      </w:r>
      <w:r>
        <w:t>”</w:t>
      </w:r>
      <w:r>
        <w:t>。</w:t>
      </w:r>
    </w:p>
    <w:p w14:paraId="499F3478" w14:textId="77777777" w:rsidR="009330B5" w:rsidRPr="009330B5" w:rsidRDefault="009330B5" w:rsidP="009330B5">
      <w:pPr>
        <w:pStyle w:val="10"/>
        <w:spacing w:after="40"/>
        <w:ind w:firstLine="420"/>
        <w:rPr>
          <w:rFonts w:ascii="宋体" w:hAnsi="宋体"/>
        </w:rPr>
      </w:pPr>
      <w:r>
        <w:t>候选池生成采用规则枚举与工程过滤相结合的方式。首先根据采区主控方向、煤层走向和边界长轴方向形成有限推进方向集合</w:t>
      </w:r>
      <w:r>
        <w:t>Θ</w:t>
      </w:r>
      <w:r>
        <w:t>，再在</w:t>
      </w:r>
      <w:r>
        <w:t>θ∈Θ</w:t>
      </w:r>
      <w:r>
        <w:t>、边界煤柱宽度</w:t>
      </w:r>
      <w:r>
        <w:t>B_b</w:t>
      </w:r>
      <w:r>
        <w:t>、区段煤柱宽度</w:t>
      </w:r>
      <w:r>
        <w:t>B_s</w:t>
      </w:r>
      <w:r>
        <w:t>、工作面宽度</w:t>
      </w:r>
      <w:r>
        <w:t>W_f</w:t>
      </w:r>
      <w:r>
        <w:t>和边界内缩距离的参数组合下生成平行工作面条带。随后剔除越界、重叠、推进长度不足、煤柱宽度不满足要求和连通关系异常的方案，形成可比候选池。因此，推进方向不是黑箱</w:t>
      </w:r>
      <w:r>
        <w:t>“</w:t>
      </w:r>
      <w:r>
        <w:t>自动确定</w:t>
      </w:r>
      <w:r>
        <w:t>”</w:t>
      </w:r>
      <w:r>
        <w:t>，而是在工程允许方向集合内随几何参数共同枚举，并由约束过滤和多目标排序共同确定推荐结果。</w:t>
      </w:r>
    </w:p>
    <w:p w14:paraId="7BACC15F"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w:t>
      </w:r>
      <w:r>
        <w:t>5</w:t>
      </w:r>
      <w:r>
        <w:t>个步骤。首先读取边界、钻孔参数场和规划控制参数，确定</w:t>
      </w:r>
      <w:r>
        <w:t>Θ</w:t>
      </w:r>
      <w:r>
        <w:t>、</w:t>
      </w:r>
      <w:r>
        <w:t>W_f</w:t>
      </w:r>
      <w:r>
        <w:t>、</w:t>
      </w:r>
      <w:r>
        <w:t>B_b</w:t>
      </w:r>
      <w:r>
        <w:t>、</w:t>
      </w:r>
      <w:r>
        <w:t>B_s</w:t>
      </w:r>
      <w:r>
        <w:t>及内缩距离的有限取值；其次按参数组合切分有效布置域并生成工作面区域、推进长度和巷道连接对象；随后按照式（</w:t>
      </w:r>
      <w:r>
        <w:t>9</w:t>
      </w:r>
      <w:r>
        <w:t>）进行必要约束过滤，并对合格候选计算覆盖率、煤厚覆盖、巷道组织、</w:t>
      </w:r>
      <w:r>
        <w:t>ODI</w:t>
      </w:r>
      <w:r>
        <w:t>均值、</w:t>
      </w:r>
      <w:r>
        <w:t>P90</w:t>
      </w:r>
      <w:r>
        <w:t>和超阈值暴露比例；最后以方向、煤柱、工作面数量、工作面边界和连接关系形成候选签名，对重复几何方案进行合并。由此得到的</w:t>
      </w:r>
      <w:r>
        <w:t>Π</w:t>
      </w:r>
      <w:r>
        <w:t>是有限候选集合，后续排序只在该候选池范围内成立。</w:t>
      </w:r>
    </w:p>
    <w:p w14:paraId="2D835B4A" w14:textId="77777777" w:rsidR="009330B5" w:rsidRPr="009330B5" w:rsidRDefault="009330B5" w:rsidP="009330B5">
      <w:pPr>
        <w:pStyle w:val="10"/>
        <w:spacing w:after="40"/>
        <w:ind w:firstLine="420"/>
        <w:rPr>
          <w:rFonts w:ascii="宋体" w:hAnsi="宋体"/>
        </w:rPr>
      </w:pPr>
      <w:r>
        <w:lastRenderedPageBreak/>
        <w:t>对候选方案</w:t>
      </w:r>
      <w:r>
        <w:t>π</w:t>
      </w:r>
      <w:r>
        <w:t>，本文把工程效率、资源回收和扰动控制分别写成可复核的分项评分。所有正向指标按式（</w:t>
      </w:r>
      <w:r>
        <w:t>3</w:t>
      </w:r>
      <w:r>
        <w:t>）归一化，成本型或风险型指标按式（</w:t>
      </w:r>
      <w:r>
        <w:t>4</w:t>
      </w:r>
      <w:r>
        <w:t>）转化为正向评分，分项权重均满足非负且和为</w:t>
      </w:r>
      <w:r>
        <w:t>1</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673AD8D9" w14:textId="77777777">
        <w:trPr>
          <w:jc w:val="center"/>
        </w:trPr>
        <w:tc>
          <w:tcPr>
            <w:tcW w:w="504" w:type="dxa"/>
            <w:vAlign w:val="center"/>
          </w:tcPr>
          <w:p w14:paraId="2351F070" w14:textId="77777777" w:rsidR="00600991" w:rsidRDefault="00600991">
            <w:pPr>
              <w:spacing w:before="0" w:after="0"/>
            </w:pPr>
          </w:p>
        </w:tc>
        <w:tc>
          <w:tcPr>
            <w:tcW w:w="7992" w:type="dxa"/>
            <w:vAlign w:val="center"/>
          </w:tcPr>
          <w:p w14:paraId="1981C844" w14:textId="4FB40A10" w:rsidR="00600991" w:rsidRDefault="00737432">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e</m:t>
                    </m:r>
                    <m:d>
                      <m:dPr>
                        <m:ctrlPr>
                          <w:rPr>
                            <w:rFonts w:ascii="Cambria Math" w:hAnsi="Cambria Math"/>
                            <w:i/>
                          </w:rPr>
                        </m:ctrlPr>
                      </m:dPr>
                      <m:e>
                        <m:r>
                          <w:rPr>
                            <w:rFonts w:ascii="Cambria Math" w:hAnsi="Cambria Math"/>
                          </w:rPr>
                          <m:t>π</m:t>
                        </m:r>
                      </m:e>
                    </m:d>
                  </m:sub>
                </m:sSub>
                <m:r>
                  <w:rPr>
                    <w:rFonts w:ascii="Cambria Math" w:hAnsi="Cambria Math"/>
                  </w:rPr>
                  <m:t>=100</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cov</m:t>
                            </m:r>
                          </m:e>
                        </m:d>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B</m:t>
                        </m:r>
                      </m:e>
                      <m:sub>
                        <m:d>
                          <m:dPr>
                            <m:ctrlPr>
                              <w:rPr>
                                <w:rFonts w:ascii="Cambria Math" w:hAnsi="Cambria Math"/>
                                <w:i/>
                              </w:rPr>
                            </m:ctrlPr>
                          </m:dPr>
                          <m:e>
                            <m:r>
                              <w:rPr>
                                <w:rFonts w:ascii="Cambria Math" w:hAnsi="Cambria Math"/>
                              </w:rPr>
                              <m:t>bal</m:t>
                            </m:r>
                          </m:e>
                        </m:d>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B</m:t>
                        </m:r>
                      </m:e>
                      <m:sub>
                        <m:d>
                          <m:dPr>
                            <m:ctrlPr>
                              <w:rPr>
                                <w:rFonts w:ascii="Cambria Math" w:hAnsi="Cambria Math"/>
                                <w:i/>
                              </w:rPr>
                            </m:ctrlPr>
                          </m:dPr>
                          <m:e>
                            <m:r>
                              <w:rPr>
                                <w:rFonts w:ascii="Cambria Math" w:hAnsi="Cambria Math"/>
                              </w:rPr>
                              <m:t>conn</m:t>
                            </m:r>
                          </m:e>
                        </m:d>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road</m:t>
                                    </m:r>
                                  </m:e>
                                </m:d>
                                <m:d>
                                  <m:dPr>
                                    <m:ctrlPr>
                                      <w:rPr>
                                        <w:rFonts w:ascii="Cambria Math" w:hAnsi="Cambria Math"/>
                                        <w:i/>
                                      </w:rPr>
                                    </m:ctrlPr>
                                  </m:dPr>
                                  <m:e>
                                    <m:r>
                                      <w:rPr>
                                        <w:rFonts w:ascii="Cambria Math" w:hAnsi="Cambria Math"/>
                                      </w:rPr>
                                      <m:t>π</m:t>
                                    </m:r>
                                  </m:e>
                                </m:d>
                              </m:sub>
                            </m:sSub>
                          </m:e>
                        </m:d>
                      </m:sub>
                    </m:sSub>
                  </m:e>
                </m:d>
              </m:oMath>
            </m:oMathPara>
          </w:p>
        </w:tc>
        <w:tc>
          <w:tcPr>
            <w:tcW w:w="936" w:type="dxa"/>
            <w:vAlign w:val="center"/>
          </w:tcPr>
          <w:p w14:paraId="22EC886F" w14:textId="77777777" w:rsidR="00600991" w:rsidRDefault="001E7D0D">
            <w:pPr>
              <w:spacing w:before="0" w:after="0"/>
              <w:jc w:val="right"/>
            </w:pPr>
            <w:r>
              <w:rPr>
                <w:rFonts w:eastAsia="Times New Roman"/>
                <w:sz w:val="21"/>
              </w:rPr>
              <w:t>（10）</w:t>
            </w:r>
          </w:p>
        </w:tc>
      </w:tr>
    </w:tbl>
    <w:p w14:paraId="579DE475" w14:textId="77777777" w:rsidR="009330B5" w:rsidRPr="009330B5" w:rsidRDefault="009330B5" w:rsidP="009330B5">
      <w:pPr>
        <w:pStyle w:val="10"/>
        <w:spacing w:after="40"/>
        <w:ind w:firstLine="420"/>
        <w:rPr>
          <w:rFonts w:ascii="宋体" w:hAnsi="宋体"/>
        </w:rPr>
      </w:pPr>
      <w:r>
        <w:t>式中，</w:t>
      </w:r>
      <w:r>
        <w:t>C_cov</w:t>
      </w:r>
      <w:r>
        <w:t>为有效覆盖率，</w:t>
      </w:r>
      <w:r>
        <w:t>B_bal</w:t>
      </w:r>
      <w:r>
        <w:t>为工作面推进长度均衡性，</w:t>
      </w:r>
      <w:r>
        <w:t>B_conn</w:t>
      </w:r>
      <w:r>
        <w:t>为巷道连接可达性，</w:t>
      </w:r>
      <w:r>
        <w:t>R_road</w:t>
      </w:r>
      <w:r>
        <w:t>为巷道工程量或组织复杂度惩罚项；</w:t>
      </w:r>
      <w:r>
        <w:t>a_1</w:t>
      </w:r>
      <w:r>
        <w:t>、</w:t>
      </w:r>
      <w:r>
        <w:t>a_2</w:t>
      </w:r>
      <w:r>
        <w:t>、</w:t>
      </w:r>
      <w:r>
        <w:t>a_3</w:t>
      </w:r>
      <w:r>
        <w:t>和</w:t>
      </w:r>
      <w:r>
        <w:t>a_4</w:t>
      </w:r>
      <w:r>
        <w:t>为工程效率分项权重。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38AA9104" w14:textId="77777777">
        <w:trPr>
          <w:jc w:val="center"/>
        </w:trPr>
        <w:tc>
          <w:tcPr>
            <w:tcW w:w="504" w:type="dxa"/>
            <w:vAlign w:val="center"/>
          </w:tcPr>
          <w:p w14:paraId="5F523E5C" w14:textId="77777777" w:rsidR="00600991" w:rsidRDefault="00600991">
            <w:pPr>
              <w:spacing w:before="0" w:after="0"/>
            </w:pPr>
          </w:p>
        </w:tc>
        <w:tc>
          <w:tcPr>
            <w:tcW w:w="7992" w:type="dxa"/>
            <w:vAlign w:val="center"/>
          </w:tcPr>
          <w:p w14:paraId="712F31CD" w14:textId="7BE68EE2" w:rsidR="00600991" w:rsidRDefault="00737432">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r</m:t>
                    </m:r>
                    <m:d>
                      <m:dPr>
                        <m:ctrlPr>
                          <w:rPr>
                            <w:rFonts w:ascii="Cambria Math" w:hAnsi="Cambria Math"/>
                            <w:i/>
                          </w:rPr>
                        </m:ctrlPr>
                      </m:dPr>
                      <m:e>
                        <m:r>
                          <w:rPr>
                            <w:rFonts w:ascii="Cambria Math" w:hAnsi="Cambria Math"/>
                          </w:rPr>
                          <m:t>π</m:t>
                        </m:r>
                      </m:e>
                    </m:d>
                  </m:sub>
                </m:sSub>
                <m:r>
                  <w:rPr>
                    <w:rFonts w:ascii="Cambria Math" w:hAnsi="Cambria Math"/>
                  </w:rPr>
                  <m:t>=100</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area</m:t>
                            </m:r>
                          </m:e>
                        </m:d>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thick</m:t>
                            </m:r>
                          </m:e>
                        </m:d>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rec</m:t>
                            </m:r>
                          </m:e>
                        </m:d>
                        <m:d>
                          <m:dPr>
                            <m:ctrlPr>
                              <w:rPr>
                                <w:rFonts w:ascii="Cambria Math" w:hAnsi="Cambria Math"/>
                                <w:i/>
                              </w:rPr>
                            </m:ctrlPr>
                          </m:dPr>
                          <m:e>
                            <m:r>
                              <w:rPr>
                                <w:rFonts w:ascii="Cambria Math" w:hAnsi="Cambria Math"/>
                              </w:rPr>
                              <m:t>π</m:t>
                            </m:r>
                          </m:e>
                        </m:d>
                      </m:sub>
                    </m:sSub>
                  </m:e>
                </m:d>
              </m:oMath>
            </m:oMathPara>
          </w:p>
        </w:tc>
        <w:tc>
          <w:tcPr>
            <w:tcW w:w="936" w:type="dxa"/>
            <w:vAlign w:val="center"/>
          </w:tcPr>
          <w:p w14:paraId="3A967245" w14:textId="77777777" w:rsidR="00600991" w:rsidRDefault="001E7D0D">
            <w:pPr>
              <w:spacing w:before="0" w:after="0"/>
              <w:jc w:val="right"/>
            </w:pPr>
            <w:r>
              <w:rPr>
                <w:rFonts w:eastAsia="Times New Roman"/>
                <w:sz w:val="21"/>
              </w:rPr>
              <w:t>（11）</w:t>
            </w:r>
          </w:p>
        </w:tc>
      </w:tr>
    </w:tbl>
    <w:p w14:paraId="028A1907" w14:textId="77777777" w:rsidR="009330B5" w:rsidRPr="009330B5" w:rsidRDefault="009330B5" w:rsidP="009330B5">
      <w:pPr>
        <w:pStyle w:val="10"/>
        <w:spacing w:after="40"/>
        <w:ind w:firstLine="420"/>
        <w:rPr>
          <w:rFonts w:ascii="宋体" w:hAnsi="宋体"/>
        </w:rPr>
      </w:pPr>
      <w:r>
        <w:t>式中，</w:t>
      </w:r>
      <w:r>
        <w:t>R_area</w:t>
      </w:r>
      <w:r>
        <w:t>为布置面积或有效覆盖面积得分，</w:t>
      </w:r>
      <w:r>
        <w:t>R_thick</w:t>
      </w:r>
      <w:r>
        <w:t>为煤厚场覆盖得分，</w:t>
      </w:r>
      <w:r>
        <w:t>R_rec</w:t>
      </w:r>
      <w:r>
        <w:t>为可采资源回收得分；</w:t>
      </w:r>
      <w:r>
        <w:t>b_1</w:t>
      </w:r>
      <w:r>
        <w:t>、</w:t>
      </w:r>
      <w:r>
        <w:t>b_2</w:t>
      </w:r>
      <w:r>
        <w:t>和</w:t>
      </w:r>
      <w:r>
        <w:t>b_3</w:t>
      </w:r>
      <w:r>
        <w:t>为资源回收分项权重。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7D775A74" w14:textId="77777777">
        <w:trPr>
          <w:jc w:val="center"/>
        </w:trPr>
        <w:tc>
          <w:tcPr>
            <w:tcW w:w="504" w:type="dxa"/>
            <w:vAlign w:val="center"/>
          </w:tcPr>
          <w:p w14:paraId="06EEDB77" w14:textId="77777777" w:rsidR="00600991" w:rsidRDefault="00600991">
            <w:pPr>
              <w:spacing w:before="0" w:after="0"/>
            </w:pPr>
          </w:p>
        </w:tc>
        <w:tc>
          <w:tcPr>
            <w:tcW w:w="7992" w:type="dxa"/>
            <w:vAlign w:val="center"/>
          </w:tcPr>
          <w:p w14:paraId="1466275F" w14:textId="053C594D" w:rsidR="00600991" w:rsidRDefault="00737432">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m</m:t>
                    </m:r>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OD</m:t>
                </m:r>
                <m:sSub>
                  <m:sSubPr>
                    <m:ctrlPr>
                      <w:rPr>
                        <w:rFonts w:ascii="Cambria Math" w:hAnsi="Cambria Math"/>
                        <w:i/>
                      </w:rPr>
                    </m:ctrlPr>
                  </m:sSubPr>
                  <m:e>
                    <m:r>
                      <w:rPr>
                        <w:rFonts w:ascii="Cambria Math" w:hAnsi="Cambria Math"/>
                      </w:rPr>
                      <m:t>I</m:t>
                    </m:r>
                  </m:e>
                  <m:sub>
                    <m:d>
                      <m:dPr>
                        <m:ctrlPr>
                          <w:rPr>
                            <w:rFonts w:ascii="Cambria Math" w:hAnsi="Cambria Math"/>
                            <w:i/>
                          </w:rPr>
                        </m:ctrlPr>
                      </m:dPr>
                      <m:e>
                        <m:r>
                          <w:rPr>
                            <w:rFonts w:ascii="Cambria Math" w:hAnsi="Cambria Math"/>
                          </w:rPr>
                          <m:t>mean</m:t>
                        </m:r>
                      </m:e>
                    </m:d>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Q</m:t>
                    </m:r>
                  </m:e>
                  <m:sub>
                    <m:d>
                      <m:dPr>
                        <m:ctrlPr>
                          <w:rPr>
                            <w:rFonts w:ascii="Cambria Math" w:hAnsi="Cambria Math"/>
                            <w:i/>
                          </w:rPr>
                        </m:ctrlPr>
                      </m:dPr>
                      <m:e>
                        <m:r>
                          <w:rPr>
                            <w:rFonts w:ascii="Cambria Math" w:hAnsi="Cambria Math"/>
                          </w:rPr>
                          <m:t>0.90</m:t>
                        </m:r>
                      </m:e>
                    </m:d>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E</m:t>
                    </m:r>
                  </m:e>
                  <m:sub>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ODI</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m</m:t>
                    </m:r>
                    <m:d>
                      <m:dPr>
                        <m:ctrlPr>
                          <w:rPr>
                            <w:rFonts w:ascii="Cambria Math" w:hAnsi="Cambria Math"/>
                            <w:i/>
                          </w:rPr>
                        </m:ctrlPr>
                      </m:dPr>
                      <m:e>
                        <m:r>
                          <w:rPr>
                            <w:rFonts w:ascii="Cambria Math" w:hAnsi="Cambria Math"/>
                          </w:rPr>
                          <m:t>π</m:t>
                        </m:r>
                      </m:e>
                    </m:d>
                  </m:sub>
                </m:sSub>
                <m:r>
                  <w:rPr>
                    <w:rFonts w:ascii="Cambria Math" w:hAnsi="Cambria Math"/>
                  </w:rPr>
                  <m:t>=100</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H</m:t>
                        </m:r>
                      </m:e>
                      <m:sub>
                        <m:r>
                          <w:rPr>
                            <w:rFonts w:ascii="Cambria Math" w:hAnsi="Cambria Math"/>
                          </w:rPr>
                          <m:t>m</m:t>
                        </m:r>
                        <m:d>
                          <m:dPr>
                            <m:ctrlPr>
                              <w:rPr>
                                <w:rFonts w:ascii="Cambria Math" w:hAnsi="Cambria Math"/>
                                <w:i/>
                              </w:rPr>
                            </m:ctrlPr>
                          </m:dPr>
                          <m:e>
                            <m:r>
                              <w:rPr>
                                <w:rFonts w:ascii="Cambria Math" w:hAnsi="Cambria Math"/>
                              </w:rPr>
                              <m:t>π</m:t>
                            </m:r>
                          </m:e>
                        </m:d>
                      </m:sub>
                    </m:sSub>
                  </m:e>
                </m:d>
              </m:oMath>
            </m:oMathPara>
          </w:p>
        </w:tc>
        <w:tc>
          <w:tcPr>
            <w:tcW w:w="936" w:type="dxa"/>
            <w:vAlign w:val="center"/>
          </w:tcPr>
          <w:p w14:paraId="2E012864" w14:textId="77777777" w:rsidR="00600991" w:rsidRDefault="001E7D0D">
            <w:pPr>
              <w:spacing w:before="0" w:after="0"/>
              <w:jc w:val="right"/>
            </w:pPr>
            <w:r>
              <w:rPr>
                <w:rFonts w:eastAsia="Times New Roman"/>
                <w:sz w:val="21"/>
              </w:rPr>
              <w:t>（12）</w:t>
            </w:r>
          </w:p>
        </w:tc>
      </w:tr>
    </w:tbl>
    <w:p w14:paraId="66D61FB1" w14:textId="77777777" w:rsidR="009330B5" w:rsidRPr="009330B5" w:rsidRDefault="009330B5" w:rsidP="009330B5">
      <w:pPr>
        <w:pStyle w:val="10"/>
        <w:spacing w:after="40"/>
        <w:ind w:firstLine="420"/>
        <w:rPr>
          <w:rFonts w:ascii="宋体" w:hAnsi="宋体"/>
        </w:rPr>
      </w:pPr>
      <w:r>
        <w:t>式中，</w:t>
      </w:r>
      <w:r>
        <w:t>H_m</w:t>
      </w:r>
      <w:r>
        <w:t>为扰动风险综合量，数值越小表示风险暴露越低；</w:t>
      </w:r>
      <w:r>
        <w:t>S_m</w:t>
      </w:r>
      <w:r>
        <w:t>为转化后的扰动控制评分，数值越大越优。本文敏感性分析中取</w:t>
      </w:r>
      <w:r>
        <w:t>c_1/c_2/c_3=0.50/0.35/0.15</w:t>
      </w:r>
      <w:r>
        <w:t>，并直接报告</w:t>
      </w:r>
      <w:r>
        <w:t>H_m</w:t>
      </w:r>
      <w:r>
        <w:t>排序，以避免把风险分数解释为现场安全等级。</w:t>
      </w:r>
    </w:p>
    <w:p w14:paraId="3F8AC229"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等方案分数的计算口径：这些分数来自候选方案几何、连续参数场、资源覆盖和</w:t>
      </w:r>
      <w:r>
        <w:t>ODI</w:t>
      </w:r>
      <w:r>
        <w:t>统计量的归一化组合，用于同一候选池内部比较，不作为跨矿区通用评分标准。</w:t>
      </w:r>
    </w:p>
    <w:p w14:paraId="49477835"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1C5BA09A" w14:textId="77777777">
        <w:trPr>
          <w:jc w:val="center"/>
        </w:trPr>
        <w:tc>
          <w:tcPr>
            <w:tcW w:w="504" w:type="dxa"/>
            <w:vAlign w:val="center"/>
          </w:tcPr>
          <w:p w14:paraId="55DB76DF" w14:textId="77777777" w:rsidR="00600991" w:rsidRDefault="00600991">
            <w:pPr>
              <w:spacing w:before="0" w:after="0"/>
            </w:pPr>
          </w:p>
        </w:tc>
        <w:tc>
          <w:tcPr>
            <w:tcW w:w="7992" w:type="dxa"/>
            <w:vAlign w:val="center"/>
          </w:tcPr>
          <w:p w14:paraId="5F6C3F3F" w14:textId="26E243A8" w:rsidR="00600991" w:rsidRDefault="00737432">
            <w:pPr>
              <w:jc w:val="center"/>
            </w:pPr>
            <m:oMathPara>
              <m:oMath>
                <m:r>
                  <w:rPr>
                    <w:rFonts w:ascii="Cambria Math" w:hAnsi="Cambria Math"/>
                  </w:rPr>
                  <m:t>F</m:t>
                </m:r>
                <m:d>
                  <m:dPr>
                    <m:ctrlPr>
                      <w:rPr>
                        <w:rFonts w:ascii="Cambria Math" w:hAnsi="Cambria Math"/>
                        <w:i/>
                      </w:rPr>
                    </m:ctrlPr>
                  </m:dPr>
                  <m:e>
                    <m:r>
                      <w:rPr>
                        <w:rFonts w:ascii="Cambria Math" w:hAnsi="Cambria Math"/>
                      </w:rPr>
                      <m:t>π</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e</m:t>
                    </m:r>
                  </m:sub>
                </m:sSub>
                <m:sSub>
                  <m:sSubPr>
                    <m:ctrlPr>
                      <w:rPr>
                        <w:rFonts w:ascii="Cambria Math" w:hAnsi="Cambria Math"/>
                        <w:i/>
                      </w:rPr>
                    </m:ctrlPr>
                  </m:sSubPr>
                  <m:e>
                    <m:r>
                      <w:rPr>
                        <w:rFonts w:ascii="Cambria Math" w:hAnsi="Cambria Math"/>
                      </w:rPr>
                      <m:t>S</m:t>
                    </m:r>
                  </m:e>
                  <m:sub>
                    <m:r>
                      <w:rPr>
                        <w:rFonts w:ascii="Cambria Math" w:hAnsi="Cambria Math"/>
                      </w:rPr>
                      <m:t>e</m:t>
                    </m:r>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r</m:t>
                    </m:r>
                  </m:sub>
                </m:sSub>
                <m:sSub>
                  <m:sSubPr>
                    <m:ctrlPr>
                      <w:rPr>
                        <w:rFonts w:ascii="Cambria Math" w:hAnsi="Cambria Math"/>
                        <w:i/>
                      </w:rPr>
                    </m:ctrlPr>
                  </m:sSubPr>
                  <m:e>
                    <m:r>
                      <w:rPr>
                        <w:rFonts w:ascii="Cambria Math" w:hAnsi="Cambria Math"/>
                      </w:rPr>
                      <m:t>S</m:t>
                    </m:r>
                  </m:e>
                  <m:sub>
                    <m:r>
                      <w:rPr>
                        <w:rFonts w:ascii="Cambria Math" w:hAnsi="Cambria Math"/>
                      </w:rPr>
                      <m:t>r</m:t>
                    </m:r>
                    <m:d>
                      <m:dPr>
                        <m:ctrlPr>
                          <w:rPr>
                            <w:rFonts w:ascii="Cambria Math" w:hAnsi="Cambria Math"/>
                            <w:i/>
                          </w:rPr>
                        </m:ctrlPr>
                      </m:dPr>
                      <m:e>
                        <m:r>
                          <w:rPr>
                            <w:rFonts w:ascii="Cambria Math" w:hAnsi="Cambria Math"/>
                          </w:rPr>
                          <m:t>π</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m</m:t>
                    </m:r>
                  </m:sub>
                </m:sSub>
                <m:sSub>
                  <m:sSubPr>
                    <m:ctrlPr>
                      <w:rPr>
                        <w:rFonts w:ascii="Cambria Math" w:hAnsi="Cambria Math"/>
                        <w:i/>
                      </w:rPr>
                    </m:ctrlPr>
                  </m:sSubPr>
                  <m:e>
                    <m:r>
                      <w:rPr>
                        <w:rFonts w:ascii="Cambria Math" w:hAnsi="Cambria Math"/>
                      </w:rPr>
                      <m:t>S</m:t>
                    </m:r>
                  </m:e>
                  <m:sub>
                    <m:r>
                      <w:rPr>
                        <w:rFonts w:ascii="Cambria Math" w:hAnsi="Cambria Math"/>
                      </w:rPr>
                      <m:t>m</m:t>
                    </m:r>
                    <m:d>
                      <m:dPr>
                        <m:ctrlPr>
                          <w:rPr>
                            <w:rFonts w:ascii="Cambria Math" w:hAnsi="Cambria Math"/>
                            <w:i/>
                          </w:rPr>
                        </m:ctrlPr>
                      </m:dPr>
                      <m:e>
                        <m:r>
                          <w:rPr>
                            <w:rFonts w:ascii="Cambria Math" w:hAnsi="Cambria Math"/>
                          </w:rPr>
                          <m:t>π</m:t>
                        </m:r>
                      </m:e>
                    </m:d>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m</m:t>
                    </m:r>
                  </m:sub>
                </m:sSub>
                <m:r>
                  <w:rPr>
                    <w:rFonts w:ascii="Cambria Math" w:hAnsi="Cambria Math"/>
                  </w:rPr>
                  <m:t>=1</m:t>
                </m:r>
              </m:oMath>
            </m:oMathPara>
          </w:p>
        </w:tc>
        <w:tc>
          <w:tcPr>
            <w:tcW w:w="936" w:type="dxa"/>
            <w:vAlign w:val="center"/>
          </w:tcPr>
          <w:p w14:paraId="56C345DA" w14:textId="77777777" w:rsidR="00600991" w:rsidRDefault="001E7D0D">
            <w:pPr>
              <w:spacing w:before="0" w:after="0"/>
              <w:jc w:val="right"/>
            </w:pPr>
            <w:r>
              <w:rPr>
                <w:rFonts w:eastAsia="Times New Roman"/>
                <w:sz w:val="21"/>
              </w:rPr>
              <w:t>（13）</w:t>
            </w:r>
          </w:p>
        </w:tc>
      </w:tr>
    </w:tbl>
    <w:p w14:paraId="022CF6B6" w14:textId="77777777" w:rsidR="00D007CE" w:rsidRDefault="00A249E2">
      <w:r>
        <w:rPr>
          <w:sz w:val="21"/>
        </w:rPr>
        <w:t>为降低单一加权排序对权重的依赖，本文在加权排序前引入非支配排序和拥挤距离选择形成</w:t>
      </w:r>
      <w:r>
        <w:rPr>
          <w:sz w:val="21"/>
        </w:rPr>
        <w:t>Top-K</w:t>
      </w:r>
      <w:r>
        <w:rPr>
          <w:sz w:val="21"/>
        </w:rPr>
        <w:t>候选方案。非支配排序以</w:t>
      </w:r>
      <w:r>
        <w:rPr>
          <w:sz w:val="21"/>
        </w:rPr>
        <w:t>S_e</w:t>
      </w:r>
      <w:r>
        <w:rPr>
          <w:sz w:val="21"/>
        </w:rPr>
        <w:t>、</w:t>
      </w:r>
      <w:r>
        <w:rPr>
          <w:sz w:val="21"/>
        </w:rPr>
        <w:t>S_r</w:t>
      </w:r>
      <w:r>
        <w:rPr>
          <w:sz w:val="21"/>
        </w:rPr>
        <w:t>和</w:t>
      </w:r>
      <w:r>
        <w:rPr>
          <w:sz w:val="21"/>
        </w:rPr>
        <w:t>S_m</w:t>
      </w:r>
      <w:r>
        <w:rPr>
          <w:sz w:val="21"/>
        </w:rPr>
        <w:t>为目标向量，优先保留不存在其他方案同时优于它的候选；当同一非支配层内候选数量超过输出数量时，采用拥挤距离保持解集多样性，再依据综合权重</w:t>
      </w:r>
      <w:r>
        <w:rPr>
          <w:sz w:val="21"/>
        </w:rPr>
        <w:t>F(π)</w:t>
      </w:r>
      <w:r>
        <w:rPr>
          <w:sz w:val="21"/>
        </w:rPr>
        <w:t>进行推荐排序。工程效率优先、资源回收优先、扰动控制优先和综合权衡模式均来自同一候选池，仅代表不同评价偏好，不应被表述为真实矿井条件下的全局最优解。</w:t>
      </w:r>
    </w:p>
    <w:p w14:paraId="12015187" w14:textId="77777777" w:rsidR="00D007CE" w:rsidRDefault="00A249E2">
      <w:r>
        <w:t>非支配关系具体定义为：若候选方案</w:t>
      </w:r>
      <w:r>
        <w:t>π_i</w:t>
      </w:r>
      <w:r>
        <w:t>在</w:t>
      </w:r>
      <w:r>
        <w:t>S_e</w:t>
      </w:r>
      <w:r>
        <w:t>、</w:t>
      </w:r>
      <w:r>
        <w:t>S_r</w:t>
      </w:r>
      <w:r>
        <w:t>和</w:t>
      </w:r>
      <w:r>
        <w:t>S_m</w:t>
      </w:r>
      <w:r>
        <w:t>三个目标上均不劣于</w:t>
      </w:r>
      <w:r>
        <w:t>π_j</w:t>
      </w:r>
      <w:r>
        <w:t>，且至少一个目标严格优于</w:t>
      </w:r>
      <w:r>
        <w:t>π_j</w:t>
      </w:r>
      <w:r>
        <w:t>，则</w:t>
      </w:r>
      <w:r>
        <w:t>π_i</w:t>
      </w:r>
      <w:r>
        <w:t>支配</w:t>
      </w:r>
      <w:r>
        <w:t>π_j</w:t>
      </w:r>
      <w:r>
        <w:t>。第一非支配层由不被任何其他候选支配的方案组成，第二层由</w:t>
      </w:r>
      <w:r>
        <w:lastRenderedPageBreak/>
        <w:t>剔除第一层后新的非支配方案组成，依此类推。拥挤距离用于保留同一非支配层内目标空间分布较分散的候选，避免输出方案集中在单一偏好附近。</w:t>
      </w:r>
    </w:p>
    <w:p w14:paraId="57A15E5E" w14:textId="77777777" w:rsidR="00D007CE" w:rsidRDefault="00A249E2">
      <w:r>
        <w:t>不同偏好模式通过</w:t>
      </w:r>
      <w:r>
        <w:t>λ_e</w:t>
      </w:r>
      <w:r>
        <w:t>、</w:t>
      </w:r>
      <w:r>
        <w:t>λ_r</w:t>
      </w:r>
      <w:r>
        <w:t>和</w:t>
      </w:r>
      <w:r>
        <w:t>λ_m</w:t>
      </w:r>
      <w:r>
        <w:t>体现：工程效率优先模式提高</w:t>
      </w:r>
      <w:r>
        <w:t>λ_e</w:t>
      </w:r>
      <w:r>
        <w:t>，资源回收优先模式提高</w:t>
      </w:r>
      <w:r>
        <w:t>λ_r</w:t>
      </w:r>
      <w:r>
        <w:t>，扰动控制优先模式提高</w:t>
      </w:r>
      <w:r>
        <w:t>λ_m</w:t>
      </w:r>
      <w:r>
        <w:t>，综合权衡模式则采用相对均衡的权重。本文把这些权重作为同一候选池内部的排序偏好参数，而非现场统计标定常数；因此，</w:t>
      </w:r>
      <w:r>
        <w:t>A</w:t>
      </w:r>
      <w:r>
        <w:t>、</w:t>
      </w:r>
      <w:r>
        <w:t>B</w:t>
      </w:r>
      <w:r>
        <w:t>、</w:t>
      </w:r>
      <w:r>
        <w:t>C</w:t>
      </w:r>
      <w:r>
        <w:t>方案分别代表不同偏好下的推荐候选，用于揭示覆盖率、资源回收和扰动暴露之间的权衡关系。</w:t>
      </w:r>
    </w:p>
    <w:p w14:paraId="64AE2113" w14:textId="77777777" w:rsidR="007E22B6" w:rsidRDefault="007E22B6"/>
    <w:p w14:paraId="0737C972" w14:textId="77777777" w:rsidR="00E05130" w:rsidRPr="00E05130" w:rsidRDefault="00E05130" w:rsidP="00A046E0">
      <w:pPr>
        <w:pStyle w:val="12"/>
      </w:pPr>
      <w:r>
        <w:rPr>
          <w:rFonts w:ascii="宋体" w:eastAsia="宋体" w:hAnsi="宋体"/>
          <w:sz w:val="21"/>
        </w:rPr>
        <w:t>1.4 方案传递与评价流程</w:t>
      </w:r>
    </w:p>
    <w:p w14:paraId="0237D157"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w:t>
      </w:r>
      <w:r>
        <w:t>[28]</w:t>
      </w:r>
      <w:r>
        <w:t>；地下水库和矿井水调度研究也表明，采动空间对象、储水空间和水量调控需要在规划与运行阶段连续组织</w:t>
      </w:r>
      <w:r>
        <w:t>[42-47]</w:t>
      </w:r>
      <w:r>
        <w:t>。也就是说，采区规划阶段形成的工作面边界、巷道结构、覆盖范围及扰动统计量，不仅是当前求解阶段的输出，也是后续生产组织与经济测算的上游输入。这种</w:t>
      </w:r>
      <w:r>
        <w:t>“</w:t>
      </w:r>
      <w:r>
        <w:t>规划</w:t>
      </w:r>
      <w:r>
        <w:t>—</w:t>
      </w:r>
      <w:r>
        <w:t>调控</w:t>
      </w:r>
      <w:r>
        <w:t>—</w:t>
      </w:r>
      <w:r>
        <w:t>评价</w:t>
      </w:r>
      <w:r>
        <w:t>”</w:t>
      </w:r>
      <w:r>
        <w:t>的连续链条，是本文区别于传统割裂式规划流程的重要特点。</w:t>
      </w:r>
    </w:p>
    <w:p w14:paraId="3266AF8D"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28698FDD"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744218DD" w14:textId="77777777">
        <w:trPr>
          <w:jc w:val="center"/>
        </w:trPr>
        <w:tc>
          <w:tcPr>
            <w:tcW w:w="504" w:type="dxa"/>
            <w:vAlign w:val="center"/>
          </w:tcPr>
          <w:p w14:paraId="74C0E161" w14:textId="77777777" w:rsidR="00600991" w:rsidRDefault="00600991">
            <w:pPr>
              <w:spacing w:before="0" w:after="0"/>
            </w:pPr>
          </w:p>
        </w:tc>
        <w:tc>
          <w:tcPr>
            <w:tcW w:w="7992" w:type="dxa"/>
            <w:vAlign w:val="center"/>
          </w:tcPr>
          <w:p w14:paraId="26934D1C" w14:textId="78C0DF4E" w:rsidR="00600991" w:rsidRDefault="00737432">
            <w:pPr>
              <w:jc w:val="cente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=α</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+β</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+γ</m:t>
                </m:r>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 α+β+γ=1</m:t>
                </m:r>
              </m:oMath>
            </m:oMathPara>
          </w:p>
        </w:tc>
        <w:tc>
          <w:tcPr>
            <w:tcW w:w="936" w:type="dxa"/>
            <w:vAlign w:val="center"/>
          </w:tcPr>
          <w:p w14:paraId="7C020336" w14:textId="77777777" w:rsidR="00600991" w:rsidRDefault="001E7D0D">
            <w:pPr>
              <w:spacing w:before="0" w:after="0"/>
              <w:jc w:val="right"/>
            </w:pPr>
            <w:r>
              <w:rPr>
                <w:rFonts w:eastAsia="Times New Roman"/>
                <w:sz w:val="21"/>
              </w:rPr>
              <w:t>（14）</w:t>
            </w:r>
          </w:p>
        </w:tc>
      </w:tr>
    </w:tbl>
    <w:p w14:paraId="26C0C601"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4C78E79C"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600991" w14:paraId="301BAAAE" w14:textId="77777777">
        <w:trPr>
          <w:jc w:val="center"/>
        </w:trPr>
        <w:tc>
          <w:tcPr>
            <w:tcW w:w="504" w:type="dxa"/>
            <w:vAlign w:val="center"/>
          </w:tcPr>
          <w:p w14:paraId="555A1DF1" w14:textId="77777777" w:rsidR="00600991" w:rsidRDefault="00600991">
            <w:pPr>
              <w:spacing w:before="0" w:after="0"/>
            </w:pPr>
          </w:p>
        </w:tc>
        <w:tc>
          <w:tcPr>
            <w:tcW w:w="7992" w:type="dxa"/>
            <w:vAlign w:val="center"/>
          </w:tcPr>
          <w:p w14:paraId="7D3B9152" w14:textId="5AC42581" w:rsidR="00600991" w:rsidRDefault="00737432">
            <w:pPr>
              <w:jc w:val="center"/>
            </w:pPr>
            <m:oMathPara>
              <m:oMath>
                <m:r>
                  <w:rPr>
                    <w:rFonts w:ascii="Cambria Math" w:hAnsi="Cambria Math"/>
                  </w:rPr>
                  <m:t>NC</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=Re</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-RiskCos</m:t>
                </m:r>
                <m:sSub>
                  <m:sSubPr>
                    <m:ctrlPr>
                      <w:rPr>
                        <w:rFonts w:ascii="Cambria Math" w:hAnsi="Cambria Math"/>
                        <w:i/>
                      </w:rPr>
                    </m:ctrlPr>
                  </m:sSubPr>
                  <m:e>
                    <m:r>
                      <w:rPr>
                        <w:rFonts w:ascii="Cambria Math" w:hAnsi="Cambria Math"/>
                      </w:rPr>
                      <m:t>t</m:t>
                    </m:r>
                  </m:e>
                  <m:sub>
                    <m:r>
                      <w:rPr>
                        <w:rFonts w:ascii="Cambria Math" w:hAnsi="Cambria Math"/>
                      </w:rPr>
                      <m:t>t</m:t>
                    </m:r>
                  </m:sub>
                </m:sSub>
              </m:oMath>
            </m:oMathPara>
          </w:p>
        </w:tc>
        <w:tc>
          <w:tcPr>
            <w:tcW w:w="936" w:type="dxa"/>
            <w:vAlign w:val="center"/>
          </w:tcPr>
          <w:p w14:paraId="7142F0C5" w14:textId="77777777" w:rsidR="00600991" w:rsidRDefault="001E7D0D">
            <w:pPr>
              <w:spacing w:before="0" w:after="0"/>
              <w:jc w:val="right"/>
            </w:pPr>
            <w:r>
              <w:rPr>
                <w:rFonts w:eastAsia="Times New Roman"/>
                <w:sz w:val="21"/>
              </w:rPr>
              <w:t>（15）</w:t>
            </w:r>
          </w:p>
        </w:tc>
      </w:tr>
    </w:tbl>
    <w:p w14:paraId="306FAB74" w14:textId="77777777" w:rsidR="004D2816" w:rsidRPr="00E05130" w:rsidRDefault="004D2816" w:rsidP="00E05130">
      <w:pPr>
        <w:pStyle w:val="10"/>
        <w:spacing w:after="40"/>
        <w:ind w:firstLine="420"/>
      </w:pPr>
      <w:r>
        <w:rPr>
          <w:rFonts w:ascii="宋体" w:eastAsia="宋体" w:hAnsi="宋体"/>
        </w:rPr>
        <w:t>式中，Rev_t为第t月收入，Cost_t为常规成本，RiskCost_t为风险联动成本，NCF_t为第t月净现金流。该式用于说明经济评价可接收规划与接续结果形成的月度输入。</w:t>
      </w:r>
    </w:p>
    <w:p w14:paraId="47115D9A"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0040BC55"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4E85C51F" w14:textId="77777777" w:rsidR="007E22B6" w:rsidRDefault="00A249E2" w:rsidP="00A046E0">
      <w:pPr>
        <w:pStyle w:val="11"/>
      </w:pPr>
      <w:r>
        <w:rPr>
          <w:rFonts w:ascii="宋体" w:eastAsia="宋体" w:hAnsi="宋体"/>
          <w:sz w:val="21"/>
        </w:rPr>
        <w:t>2 工程案例与结果分析</w:t>
      </w:r>
    </w:p>
    <w:p w14:paraId="7CE81199" w14:textId="77777777" w:rsidR="007E22B6" w:rsidRDefault="00A249E2" w:rsidP="00A046E0">
      <w:pPr>
        <w:pStyle w:val="12"/>
      </w:pPr>
      <w:r>
        <w:rPr>
          <w:rFonts w:ascii="宋体" w:eastAsia="宋体" w:hAnsi="宋体"/>
          <w:sz w:val="21"/>
        </w:rPr>
        <w:t>2.1 研究区概况与输入数据</w:t>
      </w:r>
    </w:p>
    <w:p w14:paraId="6DF812EA" w14:textId="77777777" w:rsidR="007E22B6" w:rsidRDefault="00801D65">
      <w:pPr>
        <w:pStyle w:val="10"/>
        <w:spacing w:after="40"/>
        <w:ind w:firstLine="420"/>
        <w:rPr>
          <w:rFonts w:ascii="宋体" w:hAnsi="宋体"/>
        </w:rPr>
      </w:pPr>
      <w: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w:t>
      </w:r>
      <w:r>
        <w:t>300 m</w:t>
      </w:r>
      <w:r>
        <w:t>。该背景说明研究对象具有厚煤层、软弱围岩和多源扰动约束并存的工程特征。本文当前计算采用样例化规划域，以</w:t>
      </w:r>
      <w:r>
        <w:t>6</w:t>
      </w:r>
      <w:r>
        <w:t>个边界点构成采区边界、</w:t>
      </w:r>
      <w:r>
        <w:t>15</w:t>
      </w:r>
      <w:r>
        <w:t>个钻孔样点和规划控制参数为基础输入，原始边界面积为</w:t>
      </w:r>
      <w:r>
        <w:t>255250.00 m²</w:t>
      </w:r>
      <w:r>
        <w:t>。当前验证目标限定为样例条件下的数据组织、风险表征与规划对象生成，不将样例结果解释为真实矿井条件下的工业级优选结论。</w:t>
      </w:r>
    </w:p>
    <w:p w14:paraId="60FA906B" w14:textId="77777777" w:rsidR="007E22B6" w:rsidRDefault="00801D65">
      <w:pPr>
        <w:pStyle w:val="10"/>
        <w:spacing w:after="40"/>
        <w:ind w:firstLine="420"/>
        <w:rPr>
          <w:rFonts w:ascii="宋体" w:hAnsi="宋体"/>
        </w:rPr>
      </w:pPr>
      <w:r>
        <w:t>从工程约束看，本文样例已显式纳入边界煤柱、区段煤柱、工作面宽度、推进长度校核阈值、走向长壁后退式开采方向和</w:t>
      </w:r>
      <w:r>
        <w:t>ODI</w:t>
      </w:r>
      <w:r>
        <w:t>统计阈值等规划参数。但现有输入尚未完整纳入断层展布、既有巷道系统、通风运输能力、设备能力和生产制度等现场闭环约束，因此案例定位为方法验证型工程样例，而非直接用于矿井定案的完整设计文件。</w:t>
      </w:r>
    </w:p>
    <w:p w14:paraId="07834AFE"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52E097E3"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0D2FC05A" w14:textId="77777777" w:rsidR="00195275" w:rsidRDefault="00A249E2">
      <w:pPr>
        <w:pStyle w:val="14"/>
      </w:pPr>
      <w:r>
        <w:t>图</w:t>
      </w:r>
      <w:r>
        <w:t xml:space="preserve">2 </w:t>
      </w:r>
      <w:r>
        <w:t>研究区钻孔空间分布图</w:t>
      </w:r>
      <w:r>
        <w:br/>
        <w:t>Fig.2 Spatial distribution of boreholes in the study area</w:t>
      </w:r>
    </w:p>
    <w:p w14:paraId="7BF2EAD9"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312882D7"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7A303D41" w14:textId="77777777" w:rsidR="00801D65" w:rsidRDefault="00801D65">
      <w:pPr>
        <w:pStyle w:val="10"/>
        <w:spacing w:after="40"/>
        <w:ind w:firstLine="420"/>
      </w:pPr>
      <w:r>
        <w:lastRenderedPageBreak/>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27AAEDF0"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18DA63F" w14:textId="77777777" w:rsidTr="006A6807">
        <w:trPr>
          <w:jc w:val="center"/>
        </w:trPr>
        <w:tc>
          <w:tcPr>
            <w:tcW w:w="273" w:type="pct"/>
            <w:tcBorders>
              <w:top w:val="single" w:sz="8" w:space="0" w:color="000000"/>
              <w:bottom w:val="single" w:sz="6" w:space="0" w:color="000000"/>
            </w:tcBorders>
            <w:vAlign w:val="center"/>
          </w:tcPr>
          <w:p w14:paraId="6376C576"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5E821F53"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40F89CBA"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1CA162CA"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7657A357"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1B223725"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0AAA47B5"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7BF41BE5" w14:textId="77777777" w:rsidTr="006A6807">
        <w:trPr>
          <w:jc w:val="center"/>
        </w:trPr>
        <w:tc>
          <w:tcPr>
            <w:tcW w:w="273" w:type="pct"/>
            <w:vAlign w:val="center"/>
          </w:tcPr>
          <w:p w14:paraId="722FA144"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84A9A80"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5115F073"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51B63E59"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5782BC9D"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4D8ABC89"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5E6FA404" w14:textId="77777777" w:rsidR="00D007CE" w:rsidRPr="006A6807" w:rsidRDefault="00A249E2">
            <w:pPr>
              <w:spacing w:before="0" w:after="0"/>
              <w:jc w:val="center"/>
              <w:rPr>
                <w:sz w:val="14"/>
              </w:rPr>
            </w:pPr>
            <w:r w:rsidRPr="006A6807">
              <w:rPr>
                <w:rFonts w:ascii="宋体" w:eastAsia="宋体" w:hAnsi="宋体"/>
                <w:sz w:val="14"/>
              </w:rPr>
              <w:t>钻孔/设计结果</w:t>
            </w:r>
          </w:p>
        </w:tc>
      </w:tr>
      <w:tr w:rsidR="00D007CE" w:rsidRPr="006A6807" w14:paraId="10E98D5B" w14:textId="77777777" w:rsidTr="006A6807">
        <w:trPr>
          <w:jc w:val="center"/>
        </w:trPr>
        <w:tc>
          <w:tcPr>
            <w:tcW w:w="273" w:type="pct"/>
            <w:vAlign w:val="center"/>
          </w:tcPr>
          <w:p w14:paraId="5EDF165A"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F6965C5"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7971FFB1"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256B344B"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1CC1F8FD"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879D049"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54385A35"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D986A5B" w14:textId="77777777" w:rsidTr="006A6807">
        <w:trPr>
          <w:jc w:val="center"/>
        </w:trPr>
        <w:tc>
          <w:tcPr>
            <w:tcW w:w="273" w:type="pct"/>
            <w:vAlign w:val="center"/>
          </w:tcPr>
          <w:p w14:paraId="6AE09753"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451A3EFE"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1AEF6939"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6DA4661A"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56EDEEB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00EB4197"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5C3FFB4C"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78AB2758" w14:textId="77777777" w:rsidTr="006A6807">
        <w:trPr>
          <w:jc w:val="center"/>
        </w:trPr>
        <w:tc>
          <w:tcPr>
            <w:tcW w:w="273" w:type="pct"/>
            <w:vAlign w:val="center"/>
          </w:tcPr>
          <w:p w14:paraId="7B34D88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563D171"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166B597"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6C513E04"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03C50955"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903A85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5C5D0C3B"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509BEF59" w14:textId="77777777" w:rsidTr="006A6807">
        <w:trPr>
          <w:jc w:val="center"/>
        </w:trPr>
        <w:tc>
          <w:tcPr>
            <w:tcW w:w="273" w:type="pct"/>
            <w:vAlign w:val="center"/>
          </w:tcPr>
          <w:p w14:paraId="59115B18"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09E098F0"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0857F446"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3142E70A"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6EA63AA7"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7A251891" w14:textId="77777777" w:rsidR="00D007CE" w:rsidRPr="006A6807" w:rsidRDefault="00A249E2">
            <w:pPr>
              <w:spacing w:before="0" w:after="0"/>
              <w:jc w:val="center"/>
              <w:rPr>
                <w:sz w:val="14"/>
              </w:rPr>
            </w:pPr>
            <w:r w:rsidRPr="006A6807">
              <w:rPr>
                <w:rFonts w:ascii="宋体" w:eastAsia="宋体" w:hAnsi="宋体"/>
                <w:sz w:val="14"/>
              </w:rPr>
              <w:t>当前样例采用值；规则范围20-50 m</w:t>
            </w:r>
          </w:p>
        </w:tc>
        <w:tc>
          <w:tcPr>
            <w:tcW w:w="1837" w:type="pct"/>
            <w:vAlign w:val="center"/>
          </w:tcPr>
          <w:p w14:paraId="7C2C7546"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44592679" w14:textId="77777777" w:rsidTr="006A6807">
        <w:trPr>
          <w:jc w:val="center"/>
        </w:trPr>
        <w:tc>
          <w:tcPr>
            <w:tcW w:w="273" w:type="pct"/>
            <w:vAlign w:val="center"/>
          </w:tcPr>
          <w:p w14:paraId="0939F8F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1011923F"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0D24454B"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43830FE2"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16052F7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FF9A976" w14:textId="77777777" w:rsidR="00D007CE" w:rsidRPr="006A6807" w:rsidRDefault="00A249E2">
            <w:pPr>
              <w:spacing w:before="0" w:after="0"/>
              <w:jc w:val="center"/>
              <w:rPr>
                <w:sz w:val="14"/>
              </w:rPr>
            </w:pPr>
            <w:r w:rsidRPr="006A6807">
              <w:rPr>
                <w:rFonts w:ascii="宋体" w:eastAsia="宋体" w:hAnsi="宋体"/>
                <w:sz w:val="14"/>
              </w:rPr>
              <w:t>当前样例采用值；规则范围15-30 m</w:t>
            </w:r>
          </w:p>
        </w:tc>
        <w:tc>
          <w:tcPr>
            <w:tcW w:w="1837" w:type="pct"/>
            <w:vAlign w:val="center"/>
          </w:tcPr>
          <w:p w14:paraId="07E7028A"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6340A9F5" w14:textId="77777777" w:rsidTr="006A6807">
        <w:trPr>
          <w:jc w:val="center"/>
        </w:trPr>
        <w:tc>
          <w:tcPr>
            <w:tcW w:w="273" w:type="pct"/>
            <w:vAlign w:val="center"/>
          </w:tcPr>
          <w:p w14:paraId="2B25CE98"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4736081"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394A130D"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69C9998F"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7614F9DC"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1DC250E1" w14:textId="77777777" w:rsidR="00D007CE" w:rsidRPr="006A6807" w:rsidRDefault="00A249E2">
            <w:pPr>
              <w:spacing w:before="0" w:after="0"/>
              <w:jc w:val="center"/>
              <w:rPr>
                <w:sz w:val="14"/>
              </w:rPr>
            </w:pPr>
            <w:r w:rsidRPr="006A6807">
              <w:rPr>
                <w:rFonts w:ascii="宋体" w:eastAsia="宋体" w:hAnsi="宋体"/>
                <w:sz w:val="14"/>
              </w:rPr>
              <w:t>由6个边界点计算</w:t>
            </w:r>
          </w:p>
        </w:tc>
        <w:tc>
          <w:tcPr>
            <w:tcW w:w="1837" w:type="pct"/>
            <w:vAlign w:val="center"/>
          </w:tcPr>
          <w:p w14:paraId="42A58734"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A99300" w14:textId="77777777" w:rsidTr="006A6807">
        <w:trPr>
          <w:jc w:val="center"/>
        </w:trPr>
        <w:tc>
          <w:tcPr>
            <w:tcW w:w="273" w:type="pct"/>
            <w:vAlign w:val="center"/>
          </w:tcPr>
          <w:p w14:paraId="42C51490"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1DB2BC1F"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6CE7A2A3"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0D573BF5"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66A3D97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6DB155B"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0DCF1D74"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7A3BB333" w14:textId="77777777" w:rsidTr="006A6807">
        <w:trPr>
          <w:jc w:val="center"/>
        </w:trPr>
        <w:tc>
          <w:tcPr>
            <w:tcW w:w="273" w:type="pct"/>
            <w:vAlign w:val="center"/>
          </w:tcPr>
          <w:p w14:paraId="4D79591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435C9FE0"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536E3542"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45FDF97F" w14:textId="77777777" w:rsidR="00D007CE" w:rsidRPr="006A6807" w:rsidRDefault="00A249E2">
            <w:pPr>
              <w:spacing w:before="0" w:after="0"/>
              <w:jc w:val="center"/>
              <w:rPr>
                <w:sz w:val="14"/>
              </w:rPr>
            </w:pPr>
            <w:r w:rsidRPr="006A6807">
              <w:rPr>
                <w:rFonts w:ascii="宋体" w:eastAsia="宋体" w:hAnsi="宋体"/>
                <w:sz w:val="14"/>
              </w:rPr>
              <w:t>120-260，推荐200</w:t>
            </w:r>
          </w:p>
        </w:tc>
        <w:tc>
          <w:tcPr>
            <w:tcW w:w="272" w:type="pct"/>
            <w:vAlign w:val="center"/>
          </w:tcPr>
          <w:p w14:paraId="3B5952C8"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6CC98DBB"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0B4F3F4A"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7D226FA9" w14:textId="77777777" w:rsidTr="006A6807">
        <w:trPr>
          <w:jc w:val="center"/>
        </w:trPr>
        <w:tc>
          <w:tcPr>
            <w:tcW w:w="273" w:type="pct"/>
            <w:vAlign w:val="center"/>
          </w:tcPr>
          <w:p w14:paraId="5F56AA01"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1AC4D995"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0CDBEE37"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6C4E7996"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199B65E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79A04246" w14:textId="77777777" w:rsidR="00D007CE" w:rsidRPr="006A6807" w:rsidRDefault="00A249E2">
            <w:pPr>
              <w:spacing w:before="0" w:after="0"/>
              <w:jc w:val="center"/>
              <w:rPr>
                <w:sz w:val="14"/>
              </w:rPr>
            </w:pPr>
            <w:r w:rsidRPr="006A6807">
              <w:rPr>
                <w:rFonts w:ascii="宋体" w:eastAsia="宋体" w:hAnsi="宋体"/>
                <w:sz w:val="14"/>
              </w:rPr>
              <w:t>推荐/校核阈值；当前样例用于提示方案修正，不作为硬性达标结果</w:t>
            </w:r>
          </w:p>
        </w:tc>
        <w:tc>
          <w:tcPr>
            <w:tcW w:w="1837" w:type="pct"/>
            <w:vAlign w:val="center"/>
          </w:tcPr>
          <w:p w14:paraId="141B79F5"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C86FD6C" w14:textId="77777777" w:rsidTr="006A6807">
        <w:trPr>
          <w:jc w:val="center"/>
        </w:trPr>
        <w:tc>
          <w:tcPr>
            <w:tcW w:w="273" w:type="pct"/>
            <w:vAlign w:val="center"/>
          </w:tcPr>
          <w:p w14:paraId="2D22A76C"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257DABFC"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613B9C8A"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46F14A9A" w14:textId="77777777" w:rsidR="00D007CE" w:rsidRPr="006A6807" w:rsidRDefault="00A249E2">
            <w:pPr>
              <w:spacing w:before="0" w:after="0"/>
              <w:jc w:val="center"/>
              <w:rPr>
                <w:sz w:val="14"/>
              </w:rPr>
            </w:pPr>
            <w:r w:rsidRPr="006A6807">
              <w:rPr>
                <w:rFonts w:ascii="宋体" w:eastAsia="宋体" w:hAnsi="宋体"/>
                <w:sz w:val="14"/>
              </w:rPr>
              <w:t>走向长壁布置，走向: 180.0°</w:t>
            </w:r>
          </w:p>
        </w:tc>
        <w:tc>
          <w:tcPr>
            <w:tcW w:w="272" w:type="pct"/>
            <w:vAlign w:val="center"/>
          </w:tcPr>
          <w:p w14:paraId="31C7C213"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576D1B5B"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0FBF64B4"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362D3537" w14:textId="77777777" w:rsidTr="006A6807">
        <w:trPr>
          <w:jc w:val="center"/>
        </w:trPr>
        <w:tc>
          <w:tcPr>
            <w:tcW w:w="273" w:type="pct"/>
            <w:vAlign w:val="center"/>
          </w:tcPr>
          <w:p w14:paraId="21B4DC45"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32731A36" w14:textId="77777777" w:rsidR="00D007CE" w:rsidRPr="006A6807" w:rsidRDefault="00A249E2">
            <w:pPr>
              <w:spacing w:before="0" w:after="0"/>
              <w:jc w:val="center"/>
              <w:rPr>
                <w:sz w:val="14"/>
              </w:rPr>
            </w:pPr>
            <w:r w:rsidRPr="006A6807">
              <w:rPr>
                <w:rFonts w:ascii="宋体" w:eastAsia="宋体" w:hAnsi="宋体"/>
                <w:sz w:val="14"/>
              </w:rPr>
              <w:t>ODI权重</w:t>
            </w:r>
          </w:p>
        </w:tc>
        <w:tc>
          <w:tcPr>
            <w:tcW w:w="912" w:type="pct"/>
            <w:vAlign w:val="center"/>
          </w:tcPr>
          <w:p w14:paraId="04C1469D" w14:textId="77777777" w:rsidR="00D007CE" w:rsidRPr="006A6807" w:rsidRDefault="00A249E2">
            <w:pPr>
              <w:spacing w:before="0" w:after="0"/>
              <w:rPr>
                <w:sz w:val="14"/>
              </w:rPr>
            </w:pPr>
            <w:r w:rsidRPr="006A6807">
              <w:rPr>
                <w:sz w:val="14"/>
              </w:rPr>
              <w:t>w_s/w_a/w_u</w:t>
            </w:r>
          </w:p>
        </w:tc>
        <w:tc>
          <w:tcPr>
            <w:tcW w:w="948" w:type="pct"/>
            <w:vAlign w:val="center"/>
          </w:tcPr>
          <w:p w14:paraId="05BEA2F8" w14:textId="77777777" w:rsidR="00D007CE" w:rsidRPr="006A6807" w:rsidRDefault="00A249E2">
            <w:pPr>
              <w:spacing w:before="0" w:after="0"/>
              <w:rPr>
                <w:sz w:val="14"/>
              </w:rPr>
            </w:pPr>
            <w:r w:rsidRPr="006A6807">
              <w:rPr>
                <w:sz w:val="14"/>
              </w:rPr>
              <w:t>0.45/0.30/0.25</w:t>
            </w:r>
          </w:p>
        </w:tc>
        <w:tc>
          <w:tcPr>
            <w:tcW w:w="272" w:type="pct"/>
            <w:vAlign w:val="center"/>
          </w:tcPr>
          <w:p w14:paraId="7D7EC4D4"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351F6D3"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A76AF3A" w14:textId="77777777" w:rsidR="00D007CE" w:rsidRPr="006A6807" w:rsidRDefault="00A249E2">
            <w:pPr>
              <w:spacing w:before="0" w:after="0"/>
              <w:jc w:val="center"/>
              <w:rPr>
                <w:sz w:val="14"/>
              </w:rPr>
            </w:pPr>
            <w:r w:rsidRPr="006A6807">
              <w:rPr>
                <w:rFonts w:ascii="宋体" w:eastAsia="宋体" w:hAnsi="宋体"/>
                <w:sz w:val="14"/>
              </w:rPr>
              <w:t>ODI场结果</w:t>
            </w:r>
          </w:p>
        </w:tc>
      </w:tr>
      <w:tr w:rsidR="00D007CE" w:rsidRPr="006A6807" w14:paraId="165F637A" w14:textId="77777777" w:rsidTr="006A6807">
        <w:trPr>
          <w:jc w:val="center"/>
        </w:trPr>
        <w:tc>
          <w:tcPr>
            <w:tcW w:w="273" w:type="pct"/>
            <w:vAlign w:val="center"/>
          </w:tcPr>
          <w:p w14:paraId="7F5F542C"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072D09FC" w14:textId="77777777" w:rsidR="00D007CE" w:rsidRPr="006A6807" w:rsidRDefault="00A249E2">
            <w:pPr>
              <w:spacing w:before="0" w:after="0"/>
              <w:jc w:val="center"/>
              <w:rPr>
                <w:sz w:val="14"/>
              </w:rPr>
            </w:pPr>
            <w:r w:rsidRPr="006A6807">
              <w:rPr>
                <w:rFonts w:ascii="宋体" w:eastAsia="宋体" w:hAnsi="宋体"/>
                <w:sz w:val="14"/>
              </w:rPr>
              <w:t>ODI统计阈值</w:t>
            </w:r>
          </w:p>
        </w:tc>
        <w:tc>
          <w:tcPr>
            <w:tcW w:w="912" w:type="pct"/>
            <w:vAlign w:val="center"/>
          </w:tcPr>
          <w:p w14:paraId="65E4AE89"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11089B22"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2342745"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5D33337"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4260CB2D"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1E59EA6C" w14:textId="77777777" w:rsidTr="006A6807">
        <w:trPr>
          <w:jc w:val="center"/>
        </w:trPr>
        <w:tc>
          <w:tcPr>
            <w:tcW w:w="273" w:type="pct"/>
            <w:vAlign w:val="center"/>
          </w:tcPr>
          <w:p w14:paraId="647808E6"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6BFA47A1"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7B9AD0CA"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7D48C566" w14:textId="77777777" w:rsidR="00D007CE" w:rsidRPr="006A6807" w:rsidRDefault="00A249E2">
            <w:pPr>
              <w:spacing w:before="0" w:after="0"/>
              <w:jc w:val="center"/>
              <w:rPr>
                <w:sz w:val="14"/>
              </w:rPr>
            </w:pPr>
            <w:r w:rsidRPr="006A6807">
              <w:rPr>
                <w:rFonts w:ascii="宋体" w:eastAsia="宋体" w:hAnsi="宋体"/>
                <w:sz w:val="14"/>
              </w:rPr>
              <w:t>厚度0.35，顶板0.25，瓦斯0.20，水0.15，构造0.05</w:t>
            </w:r>
          </w:p>
        </w:tc>
        <w:tc>
          <w:tcPr>
            <w:tcW w:w="272" w:type="pct"/>
            <w:vAlign w:val="center"/>
          </w:tcPr>
          <w:p w14:paraId="6BC9C92C"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7378536"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67FE35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14D3DE09" w14:textId="77777777" w:rsidTr="006A6807">
        <w:trPr>
          <w:jc w:val="center"/>
        </w:trPr>
        <w:tc>
          <w:tcPr>
            <w:tcW w:w="273" w:type="pct"/>
            <w:tcBorders>
              <w:bottom w:val="single" w:sz="8" w:space="0" w:color="000000"/>
            </w:tcBorders>
            <w:vAlign w:val="center"/>
          </w:tcPr>
          <w:p w14:paraId="7A82F68A"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0D390D03"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60B4EFC0"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185E736A"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7A7E7B1A"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1458D3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4447E2C8" w14:textId="77777777" w:rsidR="00D007CE" w:rsidRPr="006A6807" w:rsidRDefault="00A249E2">
            <w:pPr>
              <w:spacing w:before="0" w:after="0"/>
              <w:rPr>
                <w:sz w:val="14"/>
              </w:rPr>
            </w:pPr>
            <w:r w:rsidRPr="006A6807">
              <w:rPr>
                <w:sz w:val="14"/>
              </w:rPr>
              <w:t>planningResults</w:t>
            </w:r>
          </w:p>
        </w:tc>
      </w:tr>
    </w:tbl>
    <w:p w14:paraId="1EF9CEC5" w14:textId="77777777" w:rsidR="00A046E0" w:rsidRPr="00801D65" w:rsidRDefault="00A046E0">
      <w:pPr>
        <w:spacing w:after="40"/>
        <w:ind w:firstLine="420"/>
      </w:pPr>
    </w:p>
    <w:p w14:paraId="707E2AB0" w14:textId="77777777" w:rsidR="007E22B6" w:rsidRDefault="00A249E2" w:rsidP="00A046E0">
      <w:pPr>
        <w:pStyle w:val="12"/>
      </w:pPr>
      <w:r>
        <w:rPr>
          <w:rFonts w:ascii="宋体" w:eastAsia="宋体" w:hAnsi="宋体"/>
          <w:sz w:val="21"/>
        </w:rPr>
        <w:t>2.2 连续参数场构建结果</w:t>
      </w:r>
    </w:p>
    <w:p w14:paraId="33389AF3"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w:t>
      </w:r>
      <w:r>
        <w:t>15</w:t>
      </w:r>
      <w:r>
        <w:t>个钻孔样点提供了煤层厚度、岩石硬度、瓦斯含量和涌水量等离散属性；通过空间插值和统一边界裁剪处理，这些点状信息被转换为可与规划域、</w:t>
      </w:r>
      <w:r>
        <w:t>ODI</w:t>
      </w:r>
      <w:r>
        <w:t>风险场和工作面布局叠加分析的连续参数场。该处理思路与透明工作面、智能精准开采地质模型和采煤工作面三维模型动态修正研究所强调的多源地质信息统一表达具有一致性</w:t>
      </w:r>
      <w:r>
        <w:t>[30-32]</w:t>
      </w:r>
      <w:r>
        <w:t>。</w:t>
      </w:r>
    </w:p>
    <w:p w14:paraId="1D9D1D3E"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w:t>
      </w:r>
      <w:r>
        <w:lastRenderedPageBreak/>
        <w:t>模成果，而将其作为离散钻孔信息进入采区规划链路的示范性参数场。</w:t>
      </w:r>
    </w:p>
    <w:p w14:paraId="2F779982"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A48DCBB" w14:textId="77777777" w:rsidR="00195275" w:rsidRDefault="00A249E2">
      <w:pPr>
        <w:pStyle w:val="14"/>
      </w:pPr>
      <w:r>
        <w:t>图</w:t>
      </w:r>
      <w:r>
        <w:t xml:space="preserve">3 </w:t>
      </w:r>
      <w:r>
        <w:t>研究区主要地质参数场分布图</w:t>
      </w:r>
      <w:r>
        <w:br/>
        <w:t>Fig.3 Distribution of main geological parameter fields in the study area</w:t>
      </w:r>
    </w:p>
    <w:p w14:paraId="7848B6DD"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89C40B0"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3D6A51EA"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2D55DC4"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3E7B074A" w14:textId="77777777" w:rsidR="007E22B6" w:rsidRDefault="007E22B6"/>
    <w:p w14:paraId="10D3689E" w14:textId="77777777" w:rsidR="007E22B6" w:rsidRDefault="00A249E2" w:rsidP="00A046E0">
      <w:pPr>
        <w:pStyle w:val="12"/>
      </w:pPr>
      <w:r>
        <w:rPr>
          <w:rFonts w:ascii="宋体" w:eastAsia="宋体" w:hAnsi="宋体"/>
          <w:sz w:val="21"/>
        </w:rPr>
        <w:t>2.3 多场景 ODI 风险表征结果</w:t>
      </w:r>
    </w:p>
    <w:p w14:paraId="19613ADC"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w:t>
      </w:r>
      <w:r>
        <w:t>[22-25,33-37,39-41,45,48-50]</w:t>
      </w:r>
      <w:r>
        <w:t>。若不同风险场景分别以各自判据独立参与规划，容易造成约束尺度不统一、比较依据不一致以及中间结果难以复用的问题。为此，本文引入</w:t>
      </w:r>
      <w:r>
        <w:t>ODI</w:t>
      </w:r>
      <w:r>
        <w:t>作为统一风险组织口径，将异构风险结果归一到同一尺度下，以支撑不同场景风险在同一规划框架中的统一表达、比较与传递。</w:t>
      </w:r>
    </w:p>
    <w:p w14:paraId="421BCC02"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。这说明风险信息已经从概念性指标转化为可计算、可统计和可进入规划比选的空间场。</w:t>
      </w:r>
    </w:p>
    <w:p w14:paraId="3F6E4A82" w14:textId="77777777" w:rsidR="00195275" w:rsidRDefault="00A249E2">
      <w:pPr>
        <w:jc w:val="center"/>
      </w:pPr>
      <w:r>
        <w:rPr>
          <w:rFonts w:ascii="宋体" w:eastAsia="宋体" w:hAnsi="宋体"/>
          <w:noProof/>
        </w:rPr>
        <w:lastRenderedPageBreak/>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052D38A5" w14:textId="77777777" w:rsidR="00195275" w:rsidRDefault="00A249E2">
      <w:pPr>
        <w:pStyle w:val="14"/>
      </w:pPr>
      <w:r>
        <w:t>图</w:t>
      </w:r>
      <w:r>
        <w:t xml:space="preserve">4 </w:t>
      </w:r>
      <w:r>
        <w:t>多场景</w:t>
      </w:r>
      <w:r>
        <w:t>ODI</w:t>
      </w:r>
      <w:r>
        <w:t>分布结果对比图</w:t>
      </w:r>
      <w:r>
        <w:br/>
        <w:t>Fig.4 Comparison of multi-scenario ODI distribution results</w:t>
      </w:r>
    </w:p>
    <w:p w14:paraId="32E2B622" w14:textId="77777777" w:rsidR="00801D65" w:rsidRPr="00801D65" w:rsidRDefault="00801D65" w:rsidP="00801D65">
      <w:pPr>
        <w:pStyle w:val="10"/>
        <w:spacing w:after="40"/>
        <w:ind w:firstLine="420"/>
        <w:rPr>
          <w:rFonts w:ascii="宋体" w:hAnsi="宋体"/>
        </w:rPr>
      </w:pPr>
      <w:r>
        <w:t>从风险分布特征看，不同场景下的</w:t>
      </w:r>
      <w:r>
        <w:t>ODI</w:t>
      </w:r>
      <w:r>
        <w:t>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w:t>
      </w:r>
      <w:r>
        <w:t>[22-25,34-37,40-41,45,49-50]</w:t>
      </w:r>
      <w:r>
        <w:t>。统一为</w:t>
      </w:r>
      <w:r>
        <w:t>ODI</w:t>
      </w:r>
      <w:r>
        <w:t>后，不同场景可在同一统计口径下比较，从而避免多指标、多量纲并列时难以进入方案筛选的问题。</w:t>
      </w:r>
    </w:p>
    <w:p w14:paraId="3E7205ED"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方案为在已保存候选池内按统一</w:t>
      </w:r>
      <w:r>
        <w:t>ODI</w:t>
      </w:r>
      <w:r>
        <w:t>场重新筛选得到的合格低风险候选。</w:t>
      </w:r>
    </w:p>
    <w:p w14:paraId="375A2B31"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1937C554"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726715F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0B99E8C8"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A83FC27"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246D2030"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097897E0"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228BF458" w14:textId="77777777" w:rsidTr="006A6807">
        <w:trPr>
          <w:tblCellSpacing w:w="15" w:type="dxa"/>
          <w:jc w:val="center"/>
        </w:trPr>
        <w:tc>
          <w:tcPr>
            <w:tcW w:w="892" w:type="pct"/>
            <w:vAlign w:val="center"/>
            <w:hideMark/>
          </w:tcPr>
          <w:p w14:paraId="77C250E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4A7E79E"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686D8FE8"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4E36ACB1"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2BFF9D1D" w14:textId="77777777" w:rsidTr="006A6807">
        <w:trPr>
          <w:tblCellSpacing w:w="15" w:type="dxa"/>
          <w:jc w:val="center"/>
        </w:trPr>
        <w:tc>
          <w:tcPr>
            <w:tcW w:w="892" w:type="pct"/>
            <w:vAlign w:val="center"/>
            <w:hideMark/>
          </w:tcPr>
          <w:p w14:paraId="6E2998FA"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4CDE93D3"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11D9D9CD"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6D854046"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37C0E5F5" w14:textId="77777777" w:rsidTr="006A6807">
        <w:trPr>
          <w:tblCellSpacing w:w="15" w:type="dxa"/>
          <w:jc w:val="center"/>
        </w:trPr>
        <w:tc>
          <w:tcPr>
            <w:tcW w:w="892" w:type="pct"/>
            <w:vAlign w:val="center"/>
            <w:hideMark/>
          </w:tcPr>
          <w:p w14:paraId="083B39B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63226664"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39BEF1A8"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6D498003"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45289776" w14:textId="77777777" w:rsidTr="006A6807">
        <w:trPr>
          <w:tblCellSpacing w:w="15" w:type="dxa"/>
          <w:jc w:val="center"/>
        </w:trPr>
        <w:tc>
          <w:tcPr>
            <w:tcW w:w="892" w:type="pct"/>
            <w:tcBorders>
              <w:bottom w:val="single" w:sz="8" w:space="0" w:color="000000"/>
            </w:tcBorders>
            <w:vAlign w:val="center"/>
            <w:hideMark/>
          </w:tcPr>
          <w:p w14:paraId="7E42AD02" w14:textId="77777777" w:rsidR="00D007CE" w:rsidRPr="006A6807" w:rsidRDefault="00A249E2">
            <w:pPr>
              <w:spacing w:before="0" w:after="0"/>
              <w:jc w:val="center"/>
              <w:rPr>
                <w:sz w:val="14"/>
              </w:rPr>
            </w:pPr>
            <w:r w:rsidRPr="006A6807">
              <w:rPr>
                <w:rFonts w:ascii="宋体" w:eastAsia="宋体" w:hAnsi="宋体"/>
                <w:sz w:val="14"/>
              </w:rPr>
              <w:t>综合ODI</w:t>
            </w:r>
          </w:p>
        </w:tc>
        <w:tc>
          <w:tcPr>
            <w:tcW w:w="1206" w:type="pct"/>
            <w:tcBorders>
              <w:bottom w:val="single" w:sz="8" w:space="0" w:color="000000"/>
            </w:tcBorders>
            <w:vAlign w:val="center"/>
            <w:hideMark/>
          </w:tcPr>
          <w:p w14:paraId="5EF43117"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590C39DD"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514AC73"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414761FC" w14:textId="77777777" w:rsidR="00A046E0" w:rsidRPr="00A046E0" w:rsidRDefault="00A046E0" w:rsidP="00801D65">
      <w:pPr>
        <w:spacing w:after="40"/>
        <w:ind w:firstLine="420"/>
        <w:rPr>
          <w:rFonts w:ascii="宋体" w:hAnsi="宋体"/>
        </w:rPr>
      </w:pPr>
    </w:p>
    <w:p w14:paraId="6A86CB66" w14:textId="77777777" w:rsidR="00DE4743" w:rsidRDefault="00DE4743" w:rsidP="00A046E0">
      <w:pPr>
        <w:pStyle w:val="11"/>
      </w:pPr>
      <w:r>
        <w:rPr>
          <w:sz w:val="21"/>
        </w:rPr>
        <w:t xml:space="preserve">3 </w:t>
      </w:r>
      <w:r>
        <w:rPr>
          <w:sz w:val="21"/>
        </w:rPr>
        <w:t>候选方案对比与风险统计</w:t>
      </w:r>
    </w:p>
    <w:p w14:paraId="5035F380" w14:textId="77777777" w:rsidR="007E22B6" w:rsidRDefault="00DE4743" w:rsidP="00A046E0">
      <w:pPr>
        <w:pStyle w:val="12"/>
      </w:pPr>
      <w:r>
        <w:rPr>
          <w:sz w:val="21"/>
        </w:rPr>
        <w:t xml:space="preserve">3.1 </w:t>
      </w:r>
      <w:r>
        <w:rPr>
          <w:sz w:val="21"/>
        </w:rPr>
        <w:t>候选方案生成结果与对比</w:t>
      </w:r>
    </w:p>
    <w:p w14:paraId="40CB6179"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风险场共同作用下，本文进一步提取工程效率优先、资源回收优先和扰动控制优先等候选结果，用于说明不同目标偏好下方案指标的变化。与仅展示单一导出样例相比，候选方案对比能够更直接回答</w:t>
      </w:r>
      <w:r>
        <w:t>“ODI</w:t>
      </w:r>
      <w:r>
        <w:t>约束如何影响方案筛选</w:t>
      </w:r>
      <w:r>
        <w:t>”</w:t>
      </w:r>
      <w:r>
        <w:t>的问题。</w:t>
      </w:r>
    </w:p>
    <w:p w14:paraId="55672EFB" w14:textId="77777777" w:rsidR="00DE4743" w:rsidRPr="00DE4743" w:rsidRDefault="00DE4743" w:rsidP="00DE4743">
      <w:pPr>
        <w:pStyle w:val="10"/>
        <w:spacing w:after="40"/>
        <w:ind w:firstLine="420"/>
        <w:rPr>
          <w:rFonts w:ascii="宋体" w:hAnsi="宋体"/>
        </w:rPr>
      </w:pPr>
      <w:r>
        <w:t>为增强案例验证的对照性，本文将</w:t>
      </w:r>
      <w:r>
        <w:t>A</w:t>
      </w:r>
      <w:r>
        <w:t>、</w:t>
      </w:r>
      <w:r>
        <w:t>B</w:t>
      </w:r>
      <w:r>
        <w:t>、</w:t>
      </w:r>
      <w:r>
        <w:t>C</w:t>
      </w:r>
      <w:r>
        <w:t>三类方案置于相同研究区边界、相同钻孔参数场、相同</w:t>
      </w:r>
      <w:r>
        <w:t>ODI</w:t>
      </w:r>
      <w:r>
        <w:t>风险场和相同几何约束下进行比较。其中，</w:t>
      </w:r>
      <w:r>
        <w:t>A</w:t>
      </w:r>
      <w:r>
        <w:t>方案代表工程效率偏好，重点体现工作面数量、推进长度均衡性和组织效率；</w:t>
      </w:r>
      <w:r>
        <w:t>B</w:t>
      </w:r>
      <w:r>
        <w:t>方案代表资源回收偏好，重点体现覆盖率和煤厚场利用；</w:t>
      </w:r>
      <w:r>
        <w:t>C</w:t>
      </w:r>
      <w:r>
        <w:t>方案代表</w:t>
      </w:r>
      <w:r>
        <w:t>ODI</w:t>
      </w:r>
      <w:r>
        <w:t>风险约束偏好，重点体现低扰动暴露。该对照属于同一候选池内的目标偏好对照，而不是独立人工经验方案与自动方案的现场对照。</w:t>
      </w:r>
    </w:p>
    <w:p w14:paraId="72822CB8"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模式，候选池规模为</w:t>
      </w:r>
      <w:r>
        <w:rPr>
          <w:sz w:val="18"/>
        </w:rPr>
        <w:t>2417</w:t>
      </w:r>
      <w:r>
        <w:rPr>
          <w:sz w:val="18"/>
        </w:rPr>
        <w:t>，覆盖率为</w:t>
      </w:r>
      <w:r>
        <w:rPr>
          <w:sz w:val="18"/>
        </w:rPr>
        <w:t>89.34%</w:t>
      </w:r>
      <w:r>
        <w:rPr>
          <w:sz w:val="18"/>
        </w:rPr>
        <w:t>，</w:t>
      </w:r>
      <w:r>
        <w:rPr>
          <w:sz w:val="18"/>
        </w:rPr>
        <w:lastRenderedPageBreak/>
        <w:t>工程效率评分为</w:t>
      </w:r>
      <w:r>
        <w:rPr>
          <w:sz w:val="18"/>
        </w:rPr>
        <w:t>87.82</w:t>
      </w:r>
      <w:r>
        <w:rPr>
          <w:sz w:val="18"/>
        </w:rPr>
        <w:t>；资源回收优先方案</w:t>
      </w:r>
      <w:r>
        <w:rPr>
          <w:sz w:val="18"/>
        </w:rPr>
        <w:t>B</w:t>
      </w:r>
      <w:r>
        <w:rPr>
          <w:sz w:val="18"/>
        </w:rPr>
        <w:t>来自</w:t>
      </w:r>
      <w:r>
        <w:rPr>
          <w:sz w:val="18"/>
        </w:rPr>
        <w:t>recovery</w:t>
      </w:r>
      <w:r>
        <w:rPr>
          <w:sz w:val="18"/>
        </w:rPr>
        <w:t>模式，候选池规模为</w:t>
      </w:r>
      <w:r>
        <w:rPr>
          <w:sz w:val="18"/>
        </w:rPr>
        <w:t>1149</w:t>
      </w:r>
      <w:r>
        <w:rPr>
          <w:sz w:val="18"/>
        </w:rPr>
        <w:t>，覆盖率为</w:t>
      </w:r>
      <w:r>
        <w:rPr>
          <w:sz w:val="18"/>
        </w:rPr>
        <w:t>98.52%</w:t>
      </w:r>
      <w:r>
        <w:rPr>
          <w:sz w:val="18"/>
        </w:rPr>
        <w:t>，资源回收评分为</w:t>
      </w:r>
      <w:r>
        <w:rPr>
          <w:sz w:val="18"/>
        </w:rPr>
        <w:t>89.76</w:t>
      </w:r>
      <w:r>
        <w:rPr>
          <w:sz w:val="18"/>
        </w:rPr>
        <w:t>；</w:t>
      </w:r>
      <w:r>
        <w:rPr>
          <w:sz w:val="18"/>
        </w:rPr>
        <w:t>ODI</w:t>
      </w:r>
      <w:r>
        <w:rPr>
          <w:sz w:val="18"/>
        </w:rPr>
        <w:t>筛选方案</w:t>
      </w:r>
      <w:r>
        <w:rPr>
          <w:sz w:val="18"/>
        </w:rPr>
        <w:t>C</w:t>
      </w:r>
      <w:r>
        <w:rPr>
          <w:sz w:val="18"/>
        </w:rPr>
        <w:t>来自统一候选池复核，覆盖率为</w:t>
      </w:r>
      <w:r>
        <w:rPr>
          <w:sz w:val="18"/>
        </w:rPr>
        <w:t>80.67%</w:t>
      </w:r>
      <w:r>
        <w:rPr>
          <w:sz w:val="18"/>
        </w:rPr>
        <w:t>，工程效率评分为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w:t>
      </w:r>
    </w:p>
    <w:p w14:paraId="06FA915F" w14:textId="77777777" w:rsidR="00DE4743" w:rsidRPr="00DE4743" w:rsidRDefault="00DE4743" w:rsidP="00DE4743">
      <w:pPr>
        <w:pStyle w:val="10"/>
        <w:spacing w:after="40"/>
        <w:ind w:firstLine="420"/>
        <w:rPr>
          <w:rFonts w:ascii="宋体" w:hAnsi="宋体"/>
        </w:rPr>
      </w:pPr>
      <w:r>
        <w:t>上述结果表明，不同目标偏好会导致覆盖率、资源回收和风险暴露之间出现明显权衡。与</w:t>
      </w:r>
      <w:r>
        <w:t>A</w:t>
      </w:r>
      <w:r>
        <w:t>方案相比，</w:t>
      </w:r>
      <w:r>
        <w:t>C</w:t>
      </w:r>
      <w:r>
        <w:t>方案覆盖率降低</w:t>
      </w:r>
      <w:r>
        <w:t>8.67</w:t>
      </w:r>
      <w:r>
        <w:t>个百分点，但</w:t>
      </w:r>
      <w:r>
        <w:t>ODI</w:t>
      </w:r>
      <w:r>
        <w:t>均值降低</w:t>
      </w:r>
      <w:r>
        <w:t>1.07%</w:t>
      </w:r>
      <w:r>
        <w:t>，</w:t>
      </w:r>
      <w:r>
        <w:t>P90</w:t>
      </w:r>
      <w:r>
        <w:t>降低</w:t>
      </w:r>
      <w:r>
        <w:t>0.86%</w:t>
      </w:r>
      <w:r>
        <w:t>，风险综合得分降低</w:t>
      </w:r>
      <w:r>
        <w:t>0.70%</w:t>
      </w:r>
      <w:r>
        <w:t>；与</w:t>
      </w:r>
      <w:r>
        <w:t>B</w:t>
      </w:r>
      <w:r>
        <w:t>方案相比，</w:t>
      </w:r>
      <w:r>
        <w:t>C</w:t>
      </w:r>
      <w:r>
        <w:t>方案覆盖率降低</w:t>
      </w:r>
      <w:r>
        <w:t>17.85</w:t>
      </w:r>
      <w:r>
        <w:t>个百分点，但</w:t>
      </w:r>
      <w:r>
        <w:t>ODI</w:t>
      </w:r>
      <w:r>
        <w:t>均值降低</w:t>
      </w:r>
      <w:r>
        <w:t>3.00%</w:t>
      </w:r>
      <w:r>
        <w:t>，</w:t>
      </w:r>
      <w:r>
        <w:t>P90</w:t>
      </w:r>
      <w:r>
        <w:t>降低</w:t>
      </w:r>
      <w:r>
        <w:t>1.69%</w:t>
      </w:r>
      <w:r>
        <w:t>，风险综合得分降低</w:t>
      </w:r>
      <w:r>
        <w:t>2.12%</w:t>
      </w:r>
      <w:r>
        <w:t>。</w:t>
      </w:r>
      <w:r>
        <w:t>B</w:t>
      </w:r>
      <w:r>
        <w:t>方案相对于</w:t>
      </w:r>
      <w:r>
        <w:t>A</w:t>
      </w:r>
      <w:r>
        <w:t>方案覆盖率提高</w:t>
      </w:r>
      <w:r>
        <w:t>9.18</w:t>
      </w:r>
      <w:r>
        <w:t>个百分点，但</w:t>
      </w:r>
      <w:r>
        <w:t>ODI</w:t>
      </w:r>
      <w:r>
        <w:t>均值和</w:t>
      </w:r>
      <w:r>
        <w:t>P90</w:t>
      </w:r>
      <w:r>
        <w:t>分别提高</w:t>
      </w:r>
      <w:r>
        <w:t>1.99%</w:t>
      </w:r>
      <w:r>
        <w:t>和</w:t>
      </w:r>
      <w:r>
        <w:t>0.85%</w:t>
      </w:r>
      <w:r>
        <w:t>。这说明资源覆盖增益可能伴随扰动风险统计值上升，</w:t>
      </w:r>
      <w:r>
        <w:t>ODI</w:t>
      </w:r>
      <w:r>
        <w:t>前置约束能够把这种风险</w:t>
      </w:r>
      <w:r>
        <w:t>-</w:t>
      </w:r>
      <w:r>
        <w:t>收益取舍显式化。旧</w:t>
      </w:r>
      <w:r>
        <w:t>disturbance</w:t>
      </w:r>
      <w:r>
        <w:t>保存结果中的候选</w:t>
      </w:r>
      <w:r>
        <w:t>C_old</w:t>
      </w:r>
      <w:r>
        <w:t>在统一</w:t>
      </w:r>
      <w:r>
        <w:t>ODI</w:t>
      </w:r>
      <w:r>
        <w:t>场下均值为</w:t>
      </w:r>
      <w:r>
        <w:t>0.4560</w:t>
      </w:r>
      <w:r>
        <w:t>，</w:t>
      </w:r>
      <w:r>
        <w:t>P90</w:t>
      </w:r>
      <w:r>
        <w:t>为</w:t>
      </w:r>
      <w:r>
        <w:t>0.6472</w:t>
      </w:r>
      <w:r>
        <w:t>，因此本文不再将其作为统一口径下的</w:t>
      </w:r>
      <w:r>
        <w:t>ODI</w:t>
      </w:r>
      <w:r>
        <w:t>筛选方案。</w:t>
      </w:r>
    </w:p>
    <w:p w14:paraId="55A7AD2C" w14:textId="77777777" w:rsidR="00DE4743" w:rsidRPr="00DE4743" w:rsidRDefault="00DE4743" w:rsidP="00DE4743">
      <w:pPr>
        <w:pStyle w:val="10"/>
        <w:spacing w:after="40"/>
        <w:ind w:firstLine="420"/>
        <w:rPr>
          <w:rFonts w:ascii="宋体" w:hAnsi="宋体"/>
        </w:rPr>
      </w:pPr>
      <w:r>
        <w:t>从方案合理性看，</w:t>
      </w:r>
      <w:r>
        <w:t>A</w:t>
      </w:r>
      <w:r>
        <w:t>方案覆盖率和工程效率较高，说明几何组织较为充分；</w:t>
      </w:r>
      <w:r>
        <w:t>B</w:t>
      </w:r>
      <w:r>
        <w:t>方案覆盖率最高且资源回收评分较高，说明连续参数场能够推动方案向资源富集区域扩展；</w:t>
      </w:r>
      <w:r>
        <w:t>C</w:t>
      </w:r>
      <w:r>
        <w:t>方案覆盖率较低，但</w:t>
      </w:r>
      <w:r>
        <w:t>ODI</w:t>
      </w:r>
      <w:r>
        <w:t>均值、</w:t>
      </w:r>
      <w:r>
        <w:t>P90</w:t>
      </w:r>
      <w:r>
        <w:t>和风险综合得分均低于</w:t>
      </w:r>
      <w:r>
        <w:t>A</w:t>
      </w:r>
      <w:r>
        <w:t>、</w:t>
      </w:r>
      <w:r>
        <w:t>B</w:t>
      </w:r>
      <w:r>
        <w:t>方案，说明其牺牲部分覆盖面积以降低总体扰动暴露。这种结果符合采区规划中资源利用与风险控制相互制约的工程常识，也说明本文方法能够把隐含在图层中的风险差异转化为方案级统计证据。</w:t>
      </w:r>
    </w:p>
    <w:p w14:paraId="1CAB4BA6" w14:textId="77777777" w:rsidR="00D007CE" w:rsidRDefault="00A249E2">
      <w:pPr>
        <w:pStyle w:val="15"/>
      </w:pPr>
      <w:r>
        <w:t>表</w:t>
      </w:r>
      <w:r>
        <w:t xml:space="preserve">3 </w:t>
      </w:r>
      <w:r>
        <w:t>候选方案对比与数据复核状态</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6125524F" w14:textId="77777777" w:rsidTr="006A6807">
        <w:trPr>
          <w:jc w:val="center"/>
        </w:trPr>
        <w:tc>
          <w:tcPr>
            <w:tcW w:w="557" w:type="pct"/>
            <w:tcBorders>
              <w:top w:val="single" w:sz="8" w:space="0" w:color="000000"/>
              <w:bottom w:val="single" w:sz="6" w:space="0" w:color="000000"/>
            </w:tcBorders>
            <w:vAlign w:val="center"/>
          </w:tcPr>
          <w:p w14:paraId="7281F0E6" w14:textId="77777777" w:rsidR="00600991" w:rsidRDefault="001E7D0D">
            <w:r>
              <w:rPr>
                <w:sz w:val="14"/>
              </w:rPr>
              <w:t>方案</w:t>
            </w:r>
          </w:p>
        </w:tc>
        <w:tc>
          <w:tcPr>
            <w:tcW w:w="1107" w:type="pct"/>
            <w:tcBorders>
              <w:top w:val="single" w:sz="8" w:space="0" w:color="000000"/>
              <w:bottom w:val="single" w:sz="6" w:space="0" w:color="000000"/>
            </w:tcBorders>
            <w:vAlign w:val="center"/>
          </w:tcPr>
          <w:p w14:paraId="7E03A056" w14:textId="77777777" w:rsidR="00600991" w:rsidRDefault="001E7D0D">
            <w:r>
              <w:rPr>
                <w:sz w:val="14"/>
              </w:rPr>
              <w:t>来源</w:t>
            </w:r>
            <w:r>
              <w:rPr>
                <w:sz w:val="14"/>
              </w:rPr>
              <w:t>/</w:t>
            </w:r>
            <w:r>
              <w:rPr>
                <w:sz w:val="14"/>
              </w:rPr>
              <w:t>含义</w:t>
            </w:r>
          </w:p>
        </w:tc>
        <w:tc>
          <w:tcPr>
            <w:tcW w:w="918" w:type="pct"/>
            <w:tcBorders>
              <w:top w:val="single" w:sz="8" w:space="0" w:color="000000"/>
              <w:bottom w:val="single" w:sz="6" w:space="0" w:color="000000"/>
            </w:tcBorders>
            <w:vAlign w:val="center"/>
          </w:tcPr>
          <w:p w14:paraId="6C2AFBF3" w14:textId="77777777" w:rsidR="00600991" w:rsidRDefault="001E7D0D">
            <w:r>
              <w:rPr>
                <w:sz w:val="14"/>
              </w:rPr>
              <w:t>关键指标</w:t>
            </w:r>
          </w:p>
        </w:tc>
        <w:tc>
          <w:tcPr>
            <w:tcW w:w="1139" w:type="pct"/>
            <w:tcBorders>
              <w:top w:val="single" w:sz="8" w:space="0" w:color="000000"/>
              <w:bottom w:val="single" w:sz="6" w:space="0" w:color="000000"/>
            </w:tcBorders>
            <w:vAlign w:val="center"/>
          </w:tcPr>
          <w:p w14:paraId="48108B18" w14:textId="77777777" w:rsidR="00600991" w:rsidRDefault="001E7D0D">
            <w:r>
              <w:rPr>
                <w:sz w:val="14"/>
              </w:rPr>
              <w:t>ODI</w:t>
            </w:r>
            <w:r>
              <w:rPr>
                <w:sz w:val="14"/>
              </w:rPr>
              <w:t>统计</w:t>
            </w:r>
          </w:p>
        </w:tc>
        <w:tc>
          <w:tcPr>
            <w:tcW w:w="1280" w:type="pct"/>
            <w:tcBorders>
              <w:top w:val="single" w:sz="8" w:space="0" w:color="000000"/>
              <w:bottom w:val="single" w:sz="6" w:space="0" w:color="000000"/>
            </w:tcBorders>
            <w:vAlign w:val="center"/>
          </w:tcPr>
          <w:p w14:paraId="3DB4EE43" w14:textId="77777777" w:rsidR="00600991" w:rsidRDefault="001E7D0D">
            <w:r>
              <w:rPr>
                <w:sz w:val="14"/>
              </w:rPr>
              <w:t>复核状态</w:t>
            </w:r>
          </w:p>
        </w:tc>
      </w:tr>
      <w:tr w:rsidR="00D007CE" w:rsidRPr="006A6807" w14:paraId="08216699" w14:textId="77777777" w:rsidTr="006A6807">
        <w:trPr>
          <w:jc w:val="center"/>
        </w:trPr>
        <w:tc>
          <w:tcPr>
            <w:tcW w:w="557" w:type="pct"/>
            <w:vAlign w:val="center"/>
          </w:tcPr>
          <w:p w14:paraId="6FD395F6" w14:textId="77777777" w:rsidR="00600991" w:rsidRDefault="001E7D0D">
            <w:r>
              <w:rPr>
                <w:sz w:val="14"/>
              </w:rPr>
              <w:t>A</w:t>
            </w:r>
          </w:p>
        </w:tc>
        <w:tc>
          <w:tcPr>
            <w:tcW w:w="1107" w:type="pct"/>
            <w:vAlign w:val="center"/>
          </w:tcPr>
          <w:p w14:paraId="232CE279" w14:textId="77777777" w:rsidR="00600991" w:rsidRDefault="001E7D0D">
            <w:r>
              <w:rPr>
                <w:sz w:val="14"/>
              </w:rPr>
              <w:t>efficiency</w:t>
            </w:r>
            <w:r>
              <w:rPr>
                <w:sz w:val="14"/>
              </w:rPr>
              <w:t>；工程效率优先</w:t>
            </w:r>
          </w:p>
        </w:tc>
        <w:tc>
          <w:tcPr>
            <w:tcW w:w="918" w:type="pct"/>
            <w:vAlign w:val="center"/>
          </w:tcPr>
          <w:p w14:paraId="0BF90936" w14:textId="77777777" w:rsidR="00600991" w:rsidRDefault="001E7D0D">
            <w:r>
              <w:rPr>
                <w:sz w:val="14"/>
              </w:rPr>
              <w:t>工作面</w:t>
            </w:r>
            <w:r>
              <w:rPr>
                <w:sz w:val="14"/>
              </w:rPr>
              <w:t>5</w:t>
            </w:r>
            <w:r>
              <w:rPr>
                <w:sz w:val="14"/>
              </w:rPr>
              <w:t>个；覆盖率</w:t>
            </w:r>
            <w:r>
              <w:rPr>
                <w:sz w:val="14"/>
              </w:rPr>
              <w:t>89.34%</w:t>
            </w:r>
            <w:r>
              <w:rPr>
                <w:sz w:val="14"/>
              </w:rPr>
              <w:t>；工程效率评分</w:t>
            </w:r>
            <w:r>
              <w:rPr>
                <w:sz w:val="14"/>
              </w:rPr>
              <w:t>87.82</w:t>
            </w:r>
          </w:p>
        </w:tc>
        <w:tc>
          <w:tcPr>
            <w:tcW w:w="1139" w:type="pct"/>
            <w:vAlign w:val="center"/>
          </w:tcPr>
          <w:p w14:paraId="6BE31A81" w14:textId="77777777" w:rsidR="00600991" w:rsidRDefault="001E7D0D">
            <w:r>
              <w:rPr>
                <w:sz w:val="14"/>
              </w:rPr>
              <w:t>均值</w:t>
            </w:r>
            <w:r>
              <w:rPr>
                <w:sz w:val="14"/>
              </w:rPr>
              <w:t>0.4463</w:t>
            </w:r>
            <w:r>
              <w:rPr>
                <w:sz w:val="14"/>
              </w:rPr>
              <w:t>；</w:t>
            </w:r>
            <w:r>
              <w:rPr>
                <w:sz w:val="14"/>
              </w:rPr>
              <w:t>P90=0.6407</w:t>
            </w:r>
            <w:r>
              <w:rPr>
                <w:sz w:val="14"/>
              </w:rPr>
              <w:t>；</w:t>
            </w:r>
            <w:r>
              <w:rPr>
                <w:sz w:val="14"/>
              </w:rPr>
              <w:t>ODI&gt;0.70</w:t>
            </w:r>
            <w:r>
              <w:rPr>
                <w:sz w:val="14"/>
              </w:rPr>
              <w:t>为</w:t>
            </w:r>
            <w:r>
              <w:rPr>
                <w:sz w:val="14"/>
              </w:rPr>
              <w:t>0.44%</w:t>
            </w:r>
          </w:p>
        </w:tc>
        <w:tc>
          <w:tcPr>
            <w:tcW w:w="1280" w:type="pct"/>
            <w:vAlign w:val="center"/>
          </w:tcPr>
          <w:p w14:paraId="027CC86B" w14:textId="77777777" w:rsidR="00600991" w:rsidRDefault="001E7D0D">
            <w:r>
              <w:rPr>
                <w:sz w:val="14"/>
              </w:rPr>
              <w:t>统一</w:t>
            </w:r>
            <w:r>
              <w:rPr>
                <w:sz w:val="14"/>
              </w:rPr>
              <w:t>ODI</w:t>
            </w:r>
            <w:r>
              <w:rPr>
                <w:sz w:val="14"/>
              </w:rPr>
              <w:t>场已复核</w:t>
            </w:r>
          </w:p>
        </w:tc>
      </w:tr>
      <w:tr w:rsidR="00D007CE" w:rsidRPr="006A6807" w14:paraId="3320A22B" w14:textId="77777777" w:rsidTr="006A6807">
        <w:trPr>
          <w:jc w:val="center"/>
        </w:trPr>
        <w:tc>
          <w:tcPr>
            <w:tcW w:w="557" w:type="pct"/>
            <w:vAlign w:val="center"/>
          </w:tcPr>
          <w:p w14:paraId="0469B821" w14:textId="77777777" w:rsidR="00600991" w:rsidRDefault="001E7D0D">
            <w:r>
              <w:rPr>
                <w:sz w:val="14"/>
              </w:rPr>
              <w:t>B</w:t>
            </w:r>
          </w:p>
        </w:tc>
        <w:tc>
          <w:tcPr>
            <w:tcW w:w="1107" w:type="pct"/>
            <w:vAlign w:val="center"/>
          </w:tcPr>
          <w:p w14:paraId="66C98B77" w14:textId="77777777" w:rsidR="00600991" w:rsidRDefault="001E7D0D">
            <w:r>
              <w:rPr>
                <w:sz w:val="14"/>
              </w:rPr>
              <w:t>recovery</w:t>
            </w:r>
            <w:r>
              <w:rPr>
                <w:sz w:val="14"/>
              </w:rPr>
              <w:t>；资源回收优先</w:t>
            </w:r>
          </w:p>
        </w:tc>
        <w:tc>
          <w:tcPr>
            <w:tcW w:w="918" w:type="pct"/>
            <w:vAlign w:val="center"/>
          </w:tcPr>
          <w:p w14:paraId="5CF83BBC" w14:textId="77777777" w:rsidR="00600991" w:rsidRDefault="001E7D0D">
            <w:r>
              <w:rPr>
                <w:sz w:val="14"/>
              </w:rPr>
              <w:t>工作面</w:t>
            </w:r>
            <w:r>
              <w:rPr>
                <w:sz w:val="14"/>
              </w:rPr>
              <w:t>9</w:t>
            </w:r>
            <w:r>
              <w:rPr>
                <w:sz w:val="14"/>
              </w:rPr>
              <w:t>个；覆盖率</w:t>
            </w:r>
            <w:r>
              <w:rPr>
                <w:sz w:val="14"/>
              </w:rPr>
              <w:t>98.52%</w:t>
            </w:r>
            <w:r>
              <w:rPr>
                <w:sz w:val="14"/>
              </w:rPr>
              <w:t>；工程效率</w:t>
            </w:r>
            <w:r>
              <w:rPr>
                <w:sz w:val="14"/>
              </w:rPr>
              <w:t>98.52</w:t>
            </w:r>
            <w:r>
              <w:rPr>
                <w:sz w:val="14"/>
              </w:rPr>
              <w:t>；资源回收</w:t>
            </w:r>
            <w:r>
              <w:rPr>
                <w:sz w:val="14"/>
              </w:rPr>
              <w:t>89.76</w:t>
            </w:r>
          </w:p>
        </w:tc>
        <w:tc>
          <w:tcPr>
            <w:tcW w:w="1139" w:type="pct"/>
            <w:vAlign w:val="center"/>
          </w:tcPr>
          <w:p w14:paraId="3A1876A3" w14:textId="77777777" w:rsidR="00600991" w:rsidRDefault="001E7D0D">
            <w:r>
              <w:rPr>
                <w:sz w:val="14"/>
              </w:rPr>
              <w:t>均值</w:t>
            </w:r>
            <w:r>
              <w:rPr>
                <w:sz w:val="14"/>
              </w:rPr>
              <w:t>0.4552</w:t>
            </w:r>
            <w:r>
              <w:rPr>
                <w:sz w:val="14"/>
              </w:rPr>
              <w:t>；</w:t>
            </w:r>
            <w:r>
              <w:rPr>
                <w:sz w:val="14"/>
              </w:rPr>
              <w:t>P90=0.6462</w:t>
            </w:r>
            <w:r>
              <w:rPr>
                <w:sz w:val="14"/>
              </w:rPr>
              <w:t>；</w:t>
            </w:r>
            <w:r>
              <w:rPr>
                <w:sz w:val="14"/>
              </w:rPr>
              <w:t>ODI&gt;0.70</w:t>
            </w:r>
            <w:r>
              <w:rPr>
                <w:sz w:val="14"/>
              </w:rPr>
              <w:t>为</w:t>
            </w:r>
            <w:r>
              <w:rPr>
                <w:sz w:val="14"/>
              </w:rPr>
              <w:t>0.56%</w:t>
            </w:r>
          </w:p>
        </w:tc>
        <w:tc>
          <w:tcPr>
            <w:tcW w:w="1280" w:type="pct"/>
            <w:vAlign w:val="center"/>
          </w:tcPr>
          <w:p w14:paraId="578C0ECD" w14:textId="77777777" w:rsidR="00600991" w:rsidRDefault="001E7D0D">
            <w:r>
              <w:rPr>
                <w:sz w:val="14"/>
              </w:rPr>
              <w:t>统一</w:t>
            </w:r>
            <w:r>
              <w:rPr>
                <w:sz w:val="14"/>
              </w:rPr>
              <w:t>ODI</w:t>
            </w:r>
            <w:r>
              <w:rPr>
                <w:sz w:val="14"/>
              </w:rPr>
              <w:t>场已复核</w:t>
            </w:r>
          </w:p>
        </w:tc>
      </w:tr>
      <w:tr w:rsidR="00D007CE" w:rsidRPr="006A6807" w14:paraId="77AEEB64" w14:textId="77777777" w:rsidTr="006A6807">
        <w:trPr>
          <w:jc w:val="center"/>
        </w:trPr>
        <w:tc>
          <w:tcPr>
            <w:tcW w:w="557" w:type="pct"/>
            <w:vAlign w:val="center"/>
          </w:tcPr>
          <w:p w14:paraId="05FA2158" w14:textId="77777777" w:rsidR="00600991" w:rsidRDefault="001E7D0D">
            <w:r>
              <w:rPr>
                <w:sz w:val="14"/>
              </w:rPr>
              <w:t>C</w:t>
            </w:r>
          </w:p>
        </w:tc>
        <w:tc>
          <w:tcPr>
            <w:tcW w:w="1107" w:type="pct"/>
            <w:vAlign w:val="center"/>
          </w:tcPr>
          <w:p w14:paraId="67DDD8A6" w14:textId="77777777" w:rsidR="00600991" w:rsidRDefault="001E7D0D">
            <w:r>
              <w:rPr>
                <w:sz w:val="14"/>
              </w:rPr>
              <w:t>统一</w:t>
            </w:r>
            <w:r>
              <w:rPr>
                <w:sz w:val="14"/>
              </w:rPr>
              <w:t>ODI</w:t>
            </w:r>
            <w:r>
              <w:rPr>
                <w:sz w:val="14"/>
              </w:rPr>
              <w:t>筛选；合格低风险候选</w:t>
            </w:r>
          </w:p>
        </w:tc>
        <w:tc>
          <w:tcPr>
            <w:tcW w:w="918" w:type="pct"/>
            <w:vAlign w:val="center"/>
          </w:tcPr>
          <w:p w14:paraId="44CD5489" w14:textId="77777777" w:rsidR="00600991" w:rsidRDefault="001E7D0D">
            <w:r>
              <w:rPr>
                <w:sz w:val="14"/>
              </w:rPr>
              <w:t>工作面</w:t>
            </w:r>
            <w:r>
              <w:rPr>
                <w:sz w:val="14"/>
              </w:rPr>
              <w:t>4</w:t>
            </w:r>
            <w:r>
              <w:rPr>
                <w:sz w:val="14"/>
              </w:rPr>
              <w:t>个；覆盖率</w:t>
            </w:r>
            <w:r>
              <w:rPr>
                <w:sz w:val="14"/>
              </w:rPr>
              <w:t>80.67%</w:t>
            </w:r>
            <w:r>
              <w:rPr>
                <w:sz w:val="14"/>
              </w:rPr>
              <w:t>；工程效率评分</w:t>
            </w:r>
            <w:r>
              <w:rPr>
                <w:sz w:val="14"/>
              </w:rPr>
              <w:t>79.27</w:t>
            </w:r>
          </w:p>
        </w:tc>
        <w:tc>
          <w:tcPr>
            <w:tcW w:w="1139" w:type="pct"/>
            <w:vAlign w:val="center"/>
          </w:tcPr>
          <w:p w14:paraId="1430EBC1" w14:textId="77777777" w:rsidR="00600991" w:rsidRDefault="001E7D0D">
            <w:r>
              <w:rPr>
                <w:sz w:val="14"/>
              </w:rPr>
              <w:t>均值</w:t>
            </w:r>
            <w:r>
              <w:rPr>
                <w:sz w:val="14"/>
              </w:rPr>
              <w:t>0.4416</w:t>
            </w:r>
            <w:r>
              <w:rPr>
                <w:sz w:val="14"/>
              </w:rPr>
              <w:t>；</w:t>
            </w:r>
            <w:r>
              <w:rPr>
                <w:sz w:val="14"/>
              </w:rPr>
              <w:t>P90=0.6353</w:t>
            </w:r>
            <w:r>
              <w:rPr>
                <w:sz w:val="14"/>
              </w:rPr>
              <w:t>；</w:t>
            </w:r>
            <w:r>
              <w:rPr>
                <w:sz w:val="14"/>
              </w:rPr>
              <w:t>ODI&gt;0.70</w:t>
            </w:r>
            <w:r>
              <w:rPr>
                <w:sz w:val="14"/>
              </w:rPr>
              <w:t>为</w:t>
            </w:r>
            <w:r>
              <w:rPr>
                <w:sz w:val="14"/>
              </w:rPr>
              <w:t>1.22%</w:t>
            </w:r>
          </w:p>
        </w:tc>
        <w:tc>
          <w:tcPr>
            <w:tcW w:w="1280" w:type="pct"/>
            <w:vAlign w:val="center"/>
          </w:tcPr>
          <w:p w14:paraId="33D118BD" w14:textId="77777777" w:rsidR="00600991" w:rsidRDefault="001E7D0D">
            <w:r>
              <w:rPr>
                <w:sz w:val="14"/>
              </w:rPr>
              <w:t>风险综合得分最低</w:t>
            </w:r>
          </w:p>
        </w:tc>
      </w:tr>
      <w:tr w:rsidR="00D007CE" w:rsidRPr="006A6807" w14:paraId="74C615B1" w14:textId="77777777" w:rsidTr="006A6807">
        <w:trPr>
          <w:jc w:val="center"/>
        </w:trPr>
        <w:tc>
          <w:tcPr>
            <w:tcW w:w="557" w:type="pct"/>
            <w:vAlign w:val="center"/>
          </w:tcPr>
          <w:p w14:paraId="0C894847" w14:textId="77777777" w:rsidR="00600991" w:rsidRDefault="001E7D0D">
            <w:r>
              <w:rPr>
                <w:sz w:val="14"/>
              </w:rPr>
              <w:t>C_old</w:t>
            </w:r>
          </w:p>
        </w:tc>
        <w:tc>
          <w:tcPr>
            <w:tcW w:w="1107" w:type="pct"/>
            <w:vAlign w:val="center"/>
          </w:tcPr>
          <w:p w14:paraId="09A68378" w14:textId="77777777" w:rsidR="00600991" w:rsidRDefault="001E7D0D">
            <w:r>
              <w:rPr>
                <w:sz w:val="14"/>
              </w:rPr>
              <w:t>旧</w:t>
            </w:r>
            <w:r>
              <w:rPr>
                <w:sz w:val="14"/>
              </w:rPr>
              <w:t>disturbance</w:t>
            </w:r>
            <w:r>
              <w:rPr>
                <w:sz w:val="14"/>
              </w:rPr>
              <w:t>保存候选</w:t>
            </w:r>
          </w:p>
        </w:tc>
        <w:tc>
          <w:tcPr>
            <w:tcW w:w="918" w:type="pct"/>
            <w:vAlign w:val="center"/>
          </w:tcPr>
          <w:p w14:paraId="540E447F" w14:textId="77777777" w:rsidR="00600991" w:rsidRDefault="001E7D0D">
            <w:r>
              <w:rPr>
                <w:sz w:val="14"/>
              </w:rPr>
              <w:t>工作面</w:t>
            </w:r>
            <w:r>
              <w:rPr>
                <w:sz w:val="14"/>
              </w:rPr>
              <w:t>13</w:t>
            </w:r>
            <w:r>
              <w:rPr>
                <w:sz w:val="14"/>
              </w:rPr>
              <w:t>个；覆盖率</w:t>
            </w:r>
            <w:r>
              <w:rPr>
                <w:sz w:val="14"/>
              </w:rPr>
              <w:t>75.06%</w:t>
            </w:r>
            <w:r>
              <w:rPr>
                <w:sz w:val="14"/>
              </w:rPr>
              <w:t>；工程效率评分</w:t>
            </w:r>
            <w:r>
              <w:rPr>
                <w:sz w:val="14"/>
              </w:rPr>
              <w:t>71.17</w:t>
            </w:r>
          </w:p>
        </w:tc>
        <w:tc>
          <w:tcPr>
            <w:tcW w:w="1139" w:type="pct"/>
            <w:vAlign w:val="center"/>
          </w:tcPr>
          <w:p w14:paraId="426694ED" w14:textId="77777777" w:rsidR="00600991" w:rsidRDefault="001E7D0D">
            <w:r>
              <w:rPr>
                <w:sz w:val="14"/>
              </w:rPr>
              <w:t>均值</w:t>
            </w:r>
            <w:r>
              <w:rPr>
                <w:sz w:val="14"/>
              </w:rPr>
              <w:t>0.4560</w:t>
            </w:r>
            <w:r>
              <w:rPr>
                <w:sz w:val="14"/>
              </w:rPr>
              <w:t>；</w:t>
            </w:r>
            <w:r>
              <w:rPr>
                <w:sz w:val="14"/>
              </w:rPr>
              <w:t>P90=0.6472</w:t>
            </w:r>
            <w:r>
              <w:rPr>
                <w:sz w:val="14"/>
              </w:rPr>
              <w:t>；</w:t>
            </w:r>
            <w:r>
              <w:rPr>
                <w:sz w:val="14"/>
              </w:rPr>
              <w:t>ODI&gt;0.70</w:t>
            </w:r>
            <w:r>
              <w:rPr>
                <w:sz w:val="14"/>
              </w:rPr>
              <w:t>为</w:t>
            </w:r>
            <w:r>
              <w:rPr>
                <w:sz w:val="14"/>
              </w:rPr>
              <w:t>0.80%</w:t>
            </w:r>
          </w:p>
        </w:tc>
        <w:tc>
          <w:tcPr>
            <w:tcW w:w="1280" w:type="pct"/>
            <w:vAlign w:val="center"/>
          </w:tcPr>
          <w:p w14:paraId="746C2B4D" w14:textId="77777777" w:rsidR="00600991" w:rsidRDefault="001E7D0D">
            <w:r>
              <w:rPr>
                <w:sz w:val="14"/>
              </w:rPr>
              <w:t>旧口径候选，不作为本文</w:t>
            </w:r>
            <w:r>
              <w:rPr>
                <w:sz w:val="14"/>
              </w:rPr>
              <w:t>C</w:t>
            </w:r>
            <w:r>
              <w:rPr>
                <w:sz w:val="14"/>
              </w:rPr>
              <w:t>方案</w:t>
            </w:r>
          </w:p>
        </w:tc>
      </w:tr>
    </w:tbl>
    <w:p w14:paraId="6E3B16B7" w14:textId="77777777" w:rsidR="00A046E0" w:rsidRDefault="00A046E0" w:rsidP="00A046E0">
      <w:pPr>
        <w:spacing w:after="40"/>
        <w:rPr>
          <w:rFonts w:ascii="宋体" w:hAnsi="宋体"/>
        </w:rPr>
      </w:pPr>
    </w:p>
    <w:p w14:paraId="6BE36E94" w14:textId="77777777" w:rsidR="00DE4743" w:rsidRPr="00DE4743" w:rsidRDefault="00DE4743" w:rsidP="00A046E0">
      <w:pPr>
        <w:pStyle w:val="12"/>
      </w:pPr>
      <w:r>
        <w:rPr>
          <w:sz w:val="21"/>
        </w:rPr>
        <w:t xml:space="preserve">3.2 </w:t>
      </w:r>
      <w:r>
        <w:rPr>
          <w:sz w:val="21"/>
        </w:rPr>
        <w:t>阈值与权重敏感性分析</w:t>
      </w:r>
    </w:p>
    <w:p w14:paraId="0F160699" w14:textId="77777777" w:rsidR="00DE4743" w:rsidRPr="00DE4743" w:rsidRDefault="00DE4743" w:rsidP="00DE4743">
      <w:pPr>
        <w:pStyle w:val="10"/>
        <w:spacing w:after="40"/>
        <w:ind w:firstLine="420"/>
        <w:rPr>
          <w:rFonts w:ascii="宋体" w:hAnsi="宋体"/>
        </w:rPr>
      </w:pPr>
      <w:r>
        <w:t>为检验</w:t>
      </w:r>
      <w:r>
        <w:t>ODI</w:t>
      </w:r>
      <w:r>
        <w:t>阈值设定对方案判读的影响，本文在</w:t>
      </w:r>
      <w:r>
        <w:t>0.65</w:t>
      </w:r>
      <w:r>
        <w:t>、</w:t>
      </w:r>
      <w:r>
        <w:t>0.70</w:t>
      </w:r>
      <w:r>
        <w:t>、</w:t>
      </w:r>
      <w:r>
        <w:t>0.75</w:t>
      </w:r>
      <w:r>
        <w:t>和</w:t>
      </w:r>
      <w:r>
        <w:t>0.80</w:t>
      </w:r>
      <w:r>
        <w:t>四组阈值下重新统计</w:t>
      </w:r>
      <w:r>
        <w:t>A</w:t>
      </w:r>
      <w:r>
        <w:t>、</w:t>
      </w:r>
      <w:r>
        <w:t>B</w:t>
      </w:r>
      <w:r>
        <w:t>、</w:t>
      </w:r>
      <w:r>
        <w:t>C</w:t>
      </w:r>
      <w:r>
        <w:t>方案的超阈值暴露比例。当阈值为</w:t>
      </w:r>
      <w:r>
        <w:t>0.65</w:t>
      </w:r>
      <w:r>
        <w:t>时，</w:t>
      </w:r>
      <w:r>
        <w:t>A</w:t>
      </w:r>
      <w:r>
        <w:t>、</w:t>
      </w:r>
      <w:r>
        <w:t>B</w:t>
      </w:r>
      <w:r>
        <w:t>、</w:t>
      </w:r>
      <w:r>
        <w:t>C</w:t>
      </w:r>
      <w:r>
        <w:t>方案超限比例分别为</w:t>
      </w:r>
      <w:r>
        <w:t>7.42%</w:t>
      </w:r>
      <w:r>
        <w:t>、</w:t>
      </w:r>
      <w:r>
        <w:t>9.09%</w:t>
      </w:r>
      <w:r>
        <w:t>和</w:t>
      </w:r>
      <w:r>
        <w:t>6.31%</w:t>
      </w:r>
      <w:r>
        <w:t>；当阈值为</w:t>
      </w:r>
      <w:r>
        <w:t>0.70</w:t>
      </w:r>
      <w:r>
        <w:t>时，三者分别为</w:t>
      </w:r>
      <w:r>
        <w:t>0.44%</w:t>
      </w:r>
      <w:r>
        <w:t>、</w:t>
      </w:r>
      <w:r>
        <w:t>0.56%</w:t>
      </w:r>
      <w:r>
        <w:t>和</w:t>
      </w:r>
      <w:r>
        <w:t>1.22%</w:t>
      </w:r>
      <w:r>
        <w:t>；当阈值提高至</w:t>
      </w:r>
      <w:r>
        <w:t>0.75</w:t>
      </w:r>
      <w:r>
        <w:t>和</w:t>
      </w:r>
      <w:r>
        <w:t>0.80</w:t>
      </w:r>
      <w:r>
        <w:t>时，各方案超限比例均明显下降。该结果说明，超限比例对阈值设定较敏感，不能脱离</w:t>
      </w:r>
      <w:r>
        <w:t>ODI</w:t>
      </w:r>
      <w:r>
        <w:t>均值和</w:t>
      </w:r>
      <w:r>
        <w:t>P90</w:t>
      </w:r>
      <w:r>
        <w:t>单独作为方案优选依据。</w:t>
      </w:r>
    </w:p>
    <w:p w14:paraId="5B07E589"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以及含水层专项权重条件下，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；在含水层专项权重</w:t>
      </w:r>
      <w:r>
        <w:t>0.15/0.25/0.60</w:t>
      </w:r>
      <w:r>
        <w:t>下，三者分别为</w:t>
      </w:r>
      <w:r>
        <w:t>0.4505</w:t>
      </w:r>
      <w:r>
        <w:t>、</w:t>
      </w:r>
      <w:r>
        <w:t>0.4564</w:t>
      </w:r>
      <w:r>
        <w:t>和</w:t>
      </w:r>
      <w:r>
        <w:t>0.4498</w:t>
      </w:r>
      <w:r>
        <w:t>。</w:t>
      </w:r>
    </w:p>
    <w:p w14:paraId="58FD9D52"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权重具有普适工程常数属性。因此，本文把敏感性分析作为方案排序可靠性的内部校核，用于回应权重和阈值人为设定可能导致结论波动的问题。</w:t>
      </w:r>
    </w:p>
    <w:p w14:paraId="148949DA"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lastRenderedPageBreak/>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71E2FBB8"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栅格统计，但仍不宜把单一样例结果表述为真实矿井条件下的最终优选结论。</w:t>
      </w:r>
    </w:p>
    <w:p w14:paraId="2BDFC5A5" w14:textId="77777777" w:rsidR="00DE4743" w:rsidRDefault="00DE4743" w:rsidP="00DE4743">
      <w:pPr>
        <w:pStyle w:val="10"/>
        <w:spacing w:after="40"/>
        <w:ind w:firstLine="420"/>
        <w:rPr>
          <w:rFonts w:ascii="宋体" w:hAnsi="宋体"/>
        </w:rPr>
      </w:pPr>
      <w:r>
        <w:t>因此，本案例的验证强度定位为</w:t>
      </w:r>
      <w:r>
        <w:t>“</w:t>
      </w:r>
      <w:r>
        <w:t>方法链可运行性与内部对照验证</w:t>
      </w:r>
      <w:r>
        <w:t>”</w:t>
      </w:r>
      <w:r>
        <w:t>：它表明离散钻孔、连续参数场、</w:t>
      </w:r>
      <w:r>
        <w:t>ODI</w:t>
      </w:r>
      <w:r>
        <w:t>风险场和候选方案对象可以在同一口径下完成计算与比较，并能揭示不同目标偏好下的风险</w:t>
      </w:r>
      <w:r>
        <w:t>-</w:t>
      </w:r>
      <w:r>
        <w:t>收益权衡；但它尚不能替代真实矿井条件下的人工经验方案对照、现场生产约束闭环和开采后实测反馈校核。</w:t>
      </w:r>
    </w:p>
    <w:p w14:paraId="42AE11E6"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0031F8DC" w14:textId="77777777" w:rsidTr="006A6807">
        <w:trPr>
          <w:jc w:val="center"/>
        </w:trPr>
        <w:tc>
          <w:tcPr>
            <w:tcW w:w="585" w:type="pct"/>
            <w:tcBorders>
              <w:top w:val="single" w:sz="8" w:space="0" w:color="000000"/>
              <w:bottom w:val="single" w:sz="6" w:space="0" w:color="000000"/>
            </w:tcBorders>
            <w:vAlign w:val="center"/>
          </w:tcPr>
          <w:p w14:paraId="2AF17EEB" w14:textId="77777777" w:rsidR="00600991" w:rsidRDefault="001E7D0D">
            <w:r>
              <w:rPr>
                <w:sz w:val="14"/>
              </w:rPr>
              <w:t>项目</w:t>
            </w:r>
          </w:p>
        </w:tc>
        <w:tc>
          <w:tcPr>
            <w:tcW w:w="1227" w:type="pct"/>
            <w:tcBorders>
              <w:top w:val="single" w:sz="8" w:space="0" w:color="000000"/>
              <w:bottom w:val="single" w:sz="6" w:space="0" w:color="000000"/>
            </w:tcBorders>
            <w:vAlign w:val="center"/>
          </w:tcPr>
          <w:p w14:paraId="0D9ED976" w14:textId="77777777" w:rsidR="00600991" w:rsidRDefault="001E7D0D">
            <w:r>
              <w:rPr>
                <w:sz w:val="14"/>
              </w:rPr>
              <w:t>结果</w:t>
            </w:r>
          </w:p>
        </w:tc>
        <w:tc>
          <w:tcPr>
            <w:tcW w:w="1345" w:type="pct"/>
            <w:tcBorders>
              <w:top w:val="single" w:sz="8" w:space="0" w:color="000000"/>
              <w:bottom w:val="single" w:sz="6" w:space="0" w:color="000000"/>
            </w:tcBorders>
            <w:vAlign w:val="center"/>
          </w:tcPr>
          <w:p w14:paraId="22094069" w14:textId="77777777" w:rsidR="00600991" w:rsidRDefault="001E7D0D">
            <w:r>
              <w:rPr>
                <w:sz w:val="14"/>
              </w:rPr>
              <w:t>用途</w:t>
            </w:r>
          </w:p>
        </w:tc>
        <w:tc>
          <w:tcPr>
            <w:tcW w:w="485" w:type="pct"/>
            <w:tcBorders>
              <w:top w:val="single" w:sz="8" w:space="0" w:color="000000"/>
              <w:bottom w:val="single" w:sz="6" w:space="0" w:color="000000"/>
            </w:tcBorders>
            <w:vAlign w:val="center"/>
          </w:tcPr>
          <w:p w14:paraId="57F8CCFE" w14:textId="77777777" w:rsidR="00600991" w:rsidRDefault="001E7D0D">
            <w:r>
              <w:rPr>
                <w:sz w:val="14"/>
              </w:rPr>
              <w:t>数据文件</w:t>
            </w:r>
          </w:p>
        </w:tc>
        <w:tc>
          <w:tcPr>
            <w:tcW w:w="1359" w:type="pct"/>
            <w:tcBorders>
              <w:top w:val="single" w:sz="8" w:space="0" w:color="000000"/>
              <w:bottom w:val="single" w:sz="6" w:space="0" w:color="000000"/>
            </w:tcBorders>
            <w:vAlign w:val="center"/>
          </w:tcPr>
          <w:p w14:paraId="7EDD05BC" w14:textId="77777777" w:rsidR="00600991" w:rsidRDefault="001E7D0D">
            <w:r>
              <w:rPr>
                <w:sz w:val="14"/>
              </w:rPr>
              <w:t>说明</w:t>
            </w:r>
          </w:p>
        </w:tc>
      </w:tr>
      <w:tr w:rsidR="00D007CE" w:rsidRPr="006A6807" w14:paraId="6F8A104C" w14:textId="77777777" w:rsidTr="006A6807">
        <w:trPr>
          <w:jc w:val="center"/>
        </w:trPr>
        <w:tc>
          <w:tcPr>
            <w:tcW w:w="585" w:type="pct"/>
            <w:vAlign w:val="center"/>
          </w:tcPr>
          <w:p w14:paraId="1824B145" w14:textId="77777777" w:rsidR="00600991" w:rsidRDefault="001E7D0D">
            <w:r>
              <w:rPr>
                <w:sz w:val="14"/>
              </w:rPr>
              <w:t>全域</w:t>
            </w:r>
            <w:r>
              <w:rPr>
                <w:sz w:val="14"/>
              </w:rPr>
              <w:t>ODI</w:t>
            </w:r>
            <w:r>
              <w:rPr>
                <w:sz w:val="14"/>
              </w:rPr>
              <w:t>场</w:t>
            </w:r>
          </w:p>
        </w:tc>
        <w:tc>
          <w:tcPr>
            <w:tcW w:w="1227" w:type="pct"/>
            <w:vAlign w:val="center"/>
          </w:tcPr>
          <w:p w14:paraId="52B15106" w14:textId="77777777" w:rsidR="00600991" w:rsidRDefault="001E7D0D">
            <w:r>
              <w:rPr>
                <w:sz w:val="14"/>
              </w:rPr>
              <w:t>80×56</w:t>
            </w:r>
            <w:r>
              <w:rPr>
                <w:sz w:val="14"/>
              </w:rPr>
              <w:t>；</w:t>
            </w:r>
            <w:r>
              <w:rPr>
                <w:sz w:val="14"/>
              </w:rPr>
              <w:t>4480</w:t>
            </w:r>
            <w:r>
              <w:rPr>
                <w:sz w:val="14"/>
              </w:rPr>
              <w:t>栅格；均值</w:t>
            </w:r>
            <w:r>
              <w:rPr>
                <w:sz w:val="14"/>
              </w:rPr>
              <w:t>0.4669</w:t>
            </w:r>
            <w:r>
              <w:rPr>
                <w:sz w:val="14"/>
              </w:rPr>
              <w:t>；</w:t>
            </w:r>
            <w:r>
              <w:rPr>
                <w:sz w:val="14"/>
              </w:rPr>
              <w:t>P90=0.7474</w:t>
            </w:r>
            <w:r>
              <w:rPr>
                <w:sz w:val="14"/>
              </w:rPr>
              <w:t>；</w:t>
            </w:r>
            <w:r>
              <w:rPr>
                <w:sz w:val="14"/>
              </w:rPr>
              <w:t>ODI&gt;0.70</w:t>
            </w:r>
            <w:r>
              <w:rPr>
                <w:sz w:val="14"/>
              </w:rPr>
              <w:t>为</w:t>
            </w:r>
            <w:r>
              <w:rPr>
                <w:sz w:val="14"/>
              </w:rPr>
              <w:t>15.89%</w:t>
            </w:r>
          </w:p>
        </w:tc>
        <w:tc>
          <w:tcPr>
            <w:tcW w:w="1345" w:type="pct"/>
            <w:vAlign w:val="center"/>
          </w:tcPr>
          <w:p w14:paraId="777E3AC9" w14:textId="77777777" w:rsidR="00600991" w:rsidRDefault="001E7D0D">
            <w:r>
              <w:rPr>
                <w:sz w:val="14"/>
              </w:rPr>
              <w:t>研究区风险背景</w:t>
            </w:r>
          </w:p>
        </w:tc>
        <w:tc>
          <w:tcPr>
            <w:tcW w:w="485" w:type="pct"/>
            <w:vAlign w:val="center"/>
          </w:tcPr>
          <w:p w14:paraId="40A21ABE" w14:textId="77777777" w:rsidR="00600991" w:rsidRDefault="001E7D0D">
            <w:r>
              <w:rPr>
                <w:sz w:val="14"/>
              </w:rPr>
              <w:t>000_mindong_layout_odi_field.json</w:t>
            </w:r>
          </w:p>
        </w:tc>
        <w:tc>
          <w:tcPr>
            <w:tcW w:w="1359" w:type="pct"/>
            <w:vAlign w:val="center"/>
          </w:tcPr>
          <w:p w14:paraId="25E8D041" w14:textId="77777777" w:rsidR="00600991" w:rsidRDefault="001E7D0D">
            <w:r>
              <w:rPr>
                <w:sz w:val="14"/>
              </w:rPr>
              <w:t>已复核</w:t>
            </w:r>
          </w:p>
        </w:tc>
      </w:tr>
      <w:tr w:rsidR="00D007CE" w:rsidRPr="006A6807" w14:paraId="37F5962C" w14:textId="77777777" w:rsidTr="006A6807">
        <w:trPr>
          <w:jc w:val="center"/>
        </w:trPr>
        <w:tc>
          <w:tcPr>
            <w:tcW w:w="585" w:type="pct"/>
            <w:vAlign w:val="center"/>
          </w:tcPr>
          <w:p w14:paraId="1EA026C7" w14:textId="77777777" w:rsidR="00600991" w:rsidRDefault="001E7D0D">
            <w:r>
              <w:rPr>
                <w:sz w:val="14"/>
              </w:rPr>
              <w:t>统一方案对比</w:t>
            </w:r>
          </w:p>
        </w:tc>
        <w:tc>
          <w:tcPr>
            <w:tcW w:w="1227" w:type="pct"/>
            <w:vAlign w:val="center"/>
          </w:tcPr>
          <w:p w14:paraId="00FC5AD1" w14:textId="77777777" w:rsidR="00600991" w:rsidRDefault="001E7D0D">
            <w:r>
              <w:rPr>
                <w:sz w:val="14"/>
              </w:rPr>
              <w:t>A/B/C</w:t>
            </w:r>
            <w:r>
              <w:rPr>
                <w:sz w:val="14"/>
              </w:rPr>
              <w:t>均值为</w:t>
            </w:r>
            <w:r>
              <w:rPr>
                <w:sz w:val="14"/>
              </w:rPr>
              <w:t>0.4463/0.4552/0.4416</w:t>
            </w:r>
            <w:r>
              <w:rPr>
                <w:sz w:val="14"/>
              </w:rPr>
              <w:t>；</w:t>
            </w:r>
            <w:r>
              <w:rPr>
                <w:sz w:val="14"/>
              </w:rPr>
              <w:t>P90</w:t>
            </w:r>
            <w:r>
              <w:rPr>
                <w:sz w:val="14"/>
              </w:rPr>
              <w:t>为</w:t>
            </w:r>
            <w:r>
              <w:rPr>
                <w:sz w:val="14"/>
              </w:rPr>
              <w:t>0.6407/0.6462/0.6353</w:t>
            </w:r>
          </w:p>
        </w:tc>
        <w:tc>
          <w:tcPr>
            <w:tcW w:w="1345" w:type="pct"/>
            <w:vAlign w:val="center"/>
          </w:tcPr>
          <w:p w14:paraId="6C34B214" w14:textId="77777777" w:rsidR="00600991" w:rsidRDefault="001E7D0D">
            <w:r>
              <w:rPr>
                <w:sz w:val="14"/>
              </w:rPr>
              <w:t>方案级风险比较</w:t>
            </w:r>
          </w:p>
        </w:tc>
        <w:tc>
          <w:tcPr>
            <w:tcW w:w="485" w:type="pct"/>
            <w:vAlign w:val="center"/>
          </w:tcPr>
          <w:p w14:paraId="3CA0A546" w14:textId="77777777" w:rsidR="00600991" w:rsidRDefault="001E7D0D">
            <w:r>
              <w:rPr>
                <w:sz w:val="14"/>
              </w:rPr>
              <w:t>coal_sci_abc_odi_unified_stats_20260418.csv</w:t>
            </w:r>
          </w:p>
        </w:tc>
        <w:tc>
          <w:tcPr>
            <w:tcW w:w="1359" w:type="pct"/>
            <w:vAlign w:val="center"/>
          </w:tcPr>
          <w:p w14:paraId="79F1451E" w14:textId="77777777" w:rsidR="00600991" w:rsidRDefault="001E7D0D">
            <w:r>
              <w:rPr>
                <w:sz w:val="14"/>
              </w:rPr>
              <w:t>同一</w:t>
            </w:r>
            <w:r>
              <w:rPr>
                <w:sz w:val="14"/>
              </w:rPr>
              <w:t>ODI</w:t>
            </w:r>
            <w:r>
              <w:rPr>
                <w:sz w:val="14"/>
              </w:rPr>
              <w:t>场采样</w:t>
            </w:r>
          </w:p>
        </w:tc>
      </w:tr>
      <w:tr w:rsidR="00D007CE" w:rsidRPr="006A6807" w14:paraId="1D3C7130" w14:textId="77777777" w:rsidTr="006A6807">
        <w:trPr>
          <w:jc w:val="center"/>
        </w:trPr>
        <w:tc>
          <w:tcPr>
            <w:tcW w:w="585" w:type="pct"/>
            <w:vAlign w:val="center"/>
          </w:tcPr>
          <w:p w14:paraId="638EDCA4" w14:textId="77777777" w:rsidR="00600991" w:rsidRDefault="001E7D0D">
            <w:r>
              <w:rPr>
                <w:sz w:val="14"/>
              </w:rPr>
              <w:t>阈值敏感性</w:t>
            </w:r>
          </w:p>
        </w:tc>
        <w:tc>
          <w:tcPr>
            <w:tcW w:w="1227" w:type="pct"/>
            <w:vAlign w:val="center"/>
          </w:tcPr>
          <w:p w14:paraId="7AB3646E" w14:textId="77777777" w:rsidR="00600991" w:rsidRDefault="001E7D0D">
            <w:r>
              <w:rPr>
                <w:sz w:val="14"/>
              </w:rPr>
              <w:t>阈值</w:t>
            </w:r>
            <w:r>
              <w:rPr>
                <w:sz w:val="14"/>
              </w:rPr>
              <w:t>0.65/0.70/0.75/0.80</w:t>
            </w:r>
            <w:r>
              <w:rPr>
                <w:sz w:val="14"/>
              </w:rPr>
              <w:t>下，</w:t>
            </w:r>
            <w:r>
              <w:rPr>
                <w:sz w:val="14"/>
              </w:rPr>
              <w:t>C</w:t>
            </w:r>
            <w:r>
              <w:rPr>
                <w:sz w:val="14"/>
              </w:rPr>
              <w:t>超限率为</w:t>
            </w:r>
            <w:r>
              <w:rPr>
                <w:sz w:val="14"/>
              </w:rPr>
              <w:t>6.31%/1.22%/0.13%/0.00%</w:t>
            </w:r>
          </w:p>
        </w:tc>
        <w:tc>
          <w:tcPr>
            <w:tcW w:w="1345" w:type="pct"/>
            <w:vAlign w:val="center"/>
          </w:tcPr>
          <w:p w14:paraId="4F20BC88" w14:textId="77777777" w:rsidR="00600991" w:rsidRDefault="001E7D0D">
            <w:r>
              <w:rPr>
                <w:sz w:val="14"/>
              </w:rPr>
              <w:t>检验阈值影响</w:t>
            </w:r>
          </w:p>
        </w:tc>
        <w:tc>
          <w:tcPr>
            <w:tcW w:w="485" w:type="pct"/>
            <w:vAlign w:val="center"/>
          </w:tcPr>
          <w:p w14:paraId="35ED8EE4" w14:textId="77777777" w:rsidR="00600991" w:rsidRDefault="001E7D0D">
            <w:r>
              <w:rPr>
                <w:sz w:val="14"/>
              </w:rPr>
              <w:t>coal_sci_threshold_sensitivity_candidates_20260418.csv</w:t>
            </w:r>
          </w:p>
        </w:tc>
        <w:tc>
          <w:tcPr>
            <w:tcW w:w="1359" w:type="pct"/>
            <w:vAlign w:val="center"/>
          </w:tcPr>
          <w:p w14:paraId="758F805D" w14:textId="77777777" w:rsidR="00600991" w:rsidRDefault="001E7D0D">
            <w:r>
              <w:rPr>
                <w:sz w:val="14"/>
              </w:rPr>
              <w:t>A</w:t>
            </w:r>
            <w:r>
              <w:rPr>
                <w:sz w:val="14"/>
              </w:rPr>
              <w:t>、</w:t>
            </w:r>
            <w:r>
              <w:rPr>
                <w:sz w:val="14"/>
              </w:rPr>
              <w:t>B</w:t>
            </w:r>
            <w:r>
              <w:rPr>
                <w:sz w:val="14"/>
              </w:rPr>
              <w:t>同步计算</w:t>
            </w:r>
          </w:p>
        </w:tc>
      </w:tr>
      <w:tr w:rsidR="00D007CE" w:rsidRPr="006A6807" w14:paraId="65DACD67" w14:textId="77777777" w:rsidTr="006A6807">
        <w:trPr>
          <w:jc w:val="center"/>
        </w:trPr>
        <w:tc>
          <w:tcPr>
            <w:tcW w:w="585" w:type="pct"/>
            <w:vAlign w:val="center"/>
          </w:tcPr>
          <w:p w14:paraId="32CF0C97" w14:textId="77777777" w:rsidR="00600991" w:rsidRDefault="001E7D0D">
            <w:r>
              <w:rPr>
                <w:sz w:val="14"/>
              </w:rPr>
              <w:t>权重敏感性</w:t>
            </w:r>
          </w:p>
        </w:tc>
        <w:tc>
          <w:tcPr>
            <w:tcW w:w="1227" w:type="pct"/>
            <w:vAlign w:val="center"/>
          </w:tcPr>
          <w:p w14:paraId="4C22C1A4" w14:textId="77777777" w:rsidR="00600991" w:rsidRDefault="001E7D0D">
            <w:r>
              <w:rPr>
                <w:sz w:val="14"/>
              </w:rPr>
              <w:t>基准、</w:t>
            </w:r>
            <w:r>
              <w:rPr>
                <w:sz w:val="14"/>
              </w:rPr>
              <w:t>±10%</w:t>
            </w:r>
            <w:r>
              <w:rPr>
                <w:sz w:val="14"/>
              </w:rPr>
              <w:t>扰动和含水层专项权重下，风险综合得分表现为</w:t>
            </w:r>
            <w:r>
              <w:rPr>
                <w:sz w:val="14"/>
              </w:rPr>
              <w:t>C</w:t>
            </w:r>
            <w:r>
              <w:rPr>
                <w:sz w:val="14"/>
              </w:rPr>
              <w:t>最低、</w:t>
            </w:r>
            <w:r>
              <w:rPr>
                <w:sz w:val="14"/>
              </w:rPr>
              <w:t>A</w:t>
            </w:r>
            <w:r>
              <w:rPr>
                <w:sz w:val="14"/>
              </w:rPr>
              <w:t>次之、</w:t>
            </w:r>
            <w:r>
              <w:rPr>
                <w:sz w:val="14"/>
              </w:rPr>
              <w:t>B</w:t>
            </w:r>
            <w:r>
              <w:rPr>
                <w:sz w:val="14"/>
              </w:rPr>
              <w:t>最高</w:t>
            </w:r>
          </w:p>
        </w:tc>
        <w:tc>
          <w:tcPr>
            <w:tcW w:w="1345" w:type="pct"/>
            <w:vAlign w:val="center"/>
          </w:tcPr>
          <w:p w14:paraId="6C6B80AD" w14:textId="77777777" w:rsidR="00600991" w:rsidRDefault="001E7D0D">
            <w:r>
              <w:rPr>
                <w:sz w:val="14"/>
              </w:rPr>
              <w:t>检验权重稳定性</w:t>
            </w:r>
          </w:p>
        </w:tc>
        <w:tc>
          <w:tcPr>
            <w:tcW w:w="485" w:type="pct"/>
            <w:vAlign w:val="center"/>
          </w:tcPr>
          <w:p w14:paraId="73344D5A" w14:textId="77777777" w:rsidR="00600991" w:rsidRDefault="001E7D0D">
            <w:r>
              <w:rPr>
                <w:sz w:val="14"/>
              </w:rPr>
              <w:t>coal_sci_weight_sensitivity_candidates_20260418.csv</w:t>
            </w:r>
          </w:p>
        </w:tc>
        <w:tc>
          <w:tcPr>
            <w:tcW w:w="1359" w:type="pct"/>
            <w:vAlign w:val="center"/>
          </w:tcPr>
          <w:p w14:paraId="3888741A" w14:textId="77777777" w:rsidR="00600991" w:rsidRDefault="001E7D0D">
            <w:r>
              <w:rPr>
                <w:sz w:val="14"/>
              </w:rPr>
              <w:t>风险得分越小越优</w:t>
            </w:r>
          </w:p>
        </w:tc>
      </w:tr>
      <w:tr w:rsidR="00D007CE" w:rsidRPr="006A6807" w14:paraId="54205D46" w14:textId="77777777" w:rsidTr="006A6807">
        <w:trPr>
          <w:jc w:val="center"/>
        </w:trPr>
        <w:tc>
          <w:tcPr>
            <w:tcW w:w="585" w:type="pct"/>
            <w:vAlign w:val="center"/>
          </w:tcPr>
          <w:p w14:paraId="1606DEF5" w14:textId="77777777" w:rsidR="00600991" w:rsidRDefault="001E7D0D">
            <w:r>
              <w:rPr>
                <w:sz w:val="14"/>
              </w:rPr>
              <w:t>经济评价</w:t>
            </w:r>
          </w:p>
        </w:tc>
        <w:tc>
          <w:tcPr>
            <w:tcW w:w="1227" w:type="pct"/>
            <w:vAlign w:val="center"/>
          </w:tcPr>
          <w:p w14:paraId="20A41E1E" w14:textId="77777777" w:rsidR="00600991" w:rsidRDefault="001E7D0D">
            <w:r>
              <w:rPr>
                <w:sz w:val="14"/>
              </w:rPr>
              <w:t>仅保留输入关系</w:t>
            </w:r>
          </w:p>
        </w:tc>
        <w:tc>
          <w:tcPr>
            <w:tcW w:w="1345" w:type="pct"/>
            <w:vAlign w:val="center"/>
          </w:tcPr>
          <w:p w14:paraId="532438D1" w14:textId="77777777" w:rsidR="00600991" w:rsidRDefault="001E7D0D">
            <w:r>
              <w:rPr>
                <w:sz w:val="14"/>
              </w:rPr>
              <w:t>下游接口说明</w:t>
            </w:r>
          </w:p>
        </w:tc>
        <w:tc>
          <w:tcPr>
            <w:tcW w:w="485" w:type="pct"/>
            <w:vAlign w:val="center"/>
          </w:tcPr>
          <w:p w14:paraId="2FA4948D" w14:textId="77777777" w:rsidR="00600991" w:rsidRDefault="001E7D0D">
            <w:r>
              <w:rPr>
                <w:sz w:val="14"/>
              </w:rPr>
              <w:t>规划对象与接续参数</w:t>
            </w:r>
          </w:p>
        </w:tc>
        <w:tc>
          <w:tcPr>
            <w:tcW w:w="1359" w:type="pct"/>
            <w:vAlign w:val="center"/>
          </w:tcPr>
          <w:p w14:paraId="57E3AAE8" w14:textId="77777777" w:rsidR="00600991" w:rsidRDefault="001E7D0D">
            <w:r>
              <w:rPr>
                <w:sz w:val="14"/>
              </w:rPr>
              <w:t>不写未经独立导出的</w:t>
            </w:r>
            <w:r>
              <w:rPr>
                <w:sz w:val="14"/>
              </w:rPr>
              <w:t>NPV</w:t>
            </w:r>
            <w:r>
              <w:rPr>
                <w:sz w:val="14"/>
              </w:rPr>
              <w:t>和回收期</w:t>
            </w:r>
          </w:p>
        </w:tc>
      </w:tr>
    </w:tbl>
    <w:p w14:paraId="78A71BD8" w14:textId="77777777" w:rsidR="007E22B6" w:rsidRDefault="00DE4743" w:rsidP="00A046E0">
      <w:pPr>
        <w:pStyle w:val="11"/>
      </w:pPr>
      <w:r>
        <w:lastRenderedPageBreak/>
        <w:t xml:space="preserve">3.3 </w:t>
      </w:r>
      <w:r>
        <w:t>规划结果传递与评价边界</w:t>
      </w:r>
    </w:p>
    <w:p w14:paraId="3DE4305E"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w:t>
      </w:r>
      <w:r>
        <w:t>[28,31-32]</w:t>
      </w:r>
      <w:r>
        <w:t>，煤矿地下水库储水空间、库容和调度研究也说明，采动空间对象可继续服务于后续水资源调控和风险管理</w:t>
      </w:r>
      <w:r>
        <w:t>[42-47]</w:t>
      </w:r>
      <w:r>
        <w:t>。在本样例中，工作面边界、巷道路径、推进长度、布置面积和</w:t>
      </w:r>
      <w:r>
        <w:t>ODI</w:t>
      </w:r>
      <w:r>
        <w:t>统计量均已形成可传递的规划结果，后续环节可据此组织生产顺序、产量核算和经济评价。</w:t>
      </w:r>
    </w:p>
    <w:p w14:paraId="76206C93"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54F228DB"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w:t>
      </w:r>
      <w:r>
        <w:rPr>
          <w:sz w:val="21"/>
        </w:rPr>
        <w:t>4500</w:t>
      </w:r>
      <w:r>
        <w:rPr>
          <w:sz w:val="21"/>
        </w:rPr>
        <w:t>个采样点形成方案级统计，其</w:t>
      </w:r>
      <w:r>
        <w:rPr>
          <w:sz w:val="21"/>
        </w:rPr>
        <w:t>ODI</w:t>
      </w:r>
      <w:r>
        <w:rPr>
          <w:sz w:val="21"/>
        </w:rPr>
        <w:t>均值、</w:t>
      </w:r>
      <w:r>
        <w:rPr>
          <w:sz w:val="21"/>
        </w:rPr>
        <w:t>P90</w:t>
      </w:r>
      <w:r>
        <w:rPr>
          <w:sz w:val="21"/>
        </w:rPr>
        <w:t>和超阈值暴露比例可作为后续采高、煤柱宽度、推进方向和工作面宽度调整的反馈指标。</w:t>
      </w:r>
    </w:p>
    <w:p w14:paraId="6916314C"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136E255A"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候选方案池</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039BA106" w14:textId="77777777" w:rsidR="007E22B6" w:rsidRDefault="00DE4743" w:rsidP="00A046E0">
      <w:pPr>
        <w:pStyle w:val="11"/>
      </w:pPr>
      <w:r>
        <w:rPr>
          <w:rFonts w:ascii="宋体" w:eastAsia="宋体" w:hAnsi="宋体"/>
          <w:sz w:val="21"/>
        </w:rPr>
        <w:t>4 讨论</w:t>
      </w:r>
    </w:p>
    <w:p w14:paraId="047D26EB" w14:textId="77777777" w:rsidR="007E22B6" w:rsidRDefault="00DE4743" w:rsidP="00A046E0">
      <w:pPr>
        <w:pStyle w:val="12"/>
      </w:pPr>
      <w:r>
        <w:rPr>
          <w:sz w:val="21"/>
        </w:rPr>
        <w:t xml:space="preserve">4.1 ODI </w:t>
      </w:r>
      <w:r>
        <w:rPr>
          <w:sz w:val="21"/>
        </w:rPr>
        <w:t>前置约束对采区规划的作用与边界</w:t>
      </w:r>
    </w:p>
    <w:p w14:paraId="504AC0A4" w14:textId="77777777" w:rsidR="007E22B6" w:rsidRDefault="00DE4743" w:rsidP="00A046E0">
      <w:pPr>
        <w:pStyle w:val="12"/>
      </w:pPr>
      <w:r>
        <w:t>传统采区规划多采用</w:t>
      </w:r>
      <w:r>
        <w:t>“</w:t>
      </w:r>
      <w:r>
        <w:t>先形成布局方案、再开展风险校核</w:t>
      </w:r>
      <w:r>
        <w:t>”</w:t>
      </w:r>
      <w:r>
        <w:t>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w:t>
      </w:r>
      <w:r>
        <w:t>[26,33-37,41,45,48-50]</w:t>
      </w:r>
      <w:r>
        <w:t>。本文将</w:t>
      </w:r>
      <w:r>
        <w:t>ODI</w:t>
      </w:r>
      <w:r>
        <w:t>转化为候选方案生成阶段即可调用的空间统计量，使风险控制从后验校核前移到候选池筛选与排序环节。</w:t>
      </w:r>
    </w:p>
    <w:p w14:paraId="5ECD210D" w14:textId="77777777" w:rsidR="007E22B6" w:rsidRDefault="00DE4743" w:rsidP="00A046E0">
      <w:pPr>
        <w:pStyle w:val="12"/>
      </w:pPr>
      <w:r>
        <w:rPr>
          <w:sz w:val="21"/>
        </w:rPr>
        <w:t>ODI</w:t>
      </w:r>
      <w:r>
        <w:rPr>
          <w:sz w:val="21"/>
        </w:rPr>
        <w:t>前置约束的优势不在于替代地表沉陷、含水层扰动或上行开采等专项分析，而在于为多源风险结果提供同一比较口径。在同一</w:t>
      </w:r>
      <w:r>
        <w:rPr>
          <w:sz w:val="21"/>
        </w:rPr>
        <w:t>ODI</w:t>
      </w:r>
      <w:r>
        <w:rPr>
          <w:sz w:val="21"/>
        </w:rPr>
        <w:t>场下，方案可以同时报告均值、</w:t>
      </w:r>
      <w:r>
        <w:rPr>
          <w:sz w:val="21"/>
        </w:rPr>
        <w:t>P90</w:t>
      </w:r>
      <w:r>
        <w:rPr>
          <w:sz w:val="21"/>
        </w:rPr>
        <w:t>和超阈值暴露比例，从而避免仅凭单一风险图或单一阈值判断方案优劣。本样例中</w:t>
      </w:r>
      <w:r>
        <w:rPr>
          <w:sz w:val="21"/>
        </w:rPr>
        <w:t>C</w:t>
      </w:r>
      <w:r>
        <w:rPr>
          <w:sz w:val="21"/>
        </w:rPr>
        <w:t>方案的超阈值比例并非在所有阈值下都最低，但其均值、</w:t>
      </w:r>
      <w:r>
        <w:rPr>
          <w:sz w:val="21"/>
        </w:rPr>
        <w:t>P90</w:t>
      </w:r>
      <w:r>
        <w:rPr>
          <w:sz w:val="21"/>
        </w:rPr>
        <w:t>和风险综合得分较低，说明方案风险需要用多统计量联合解释。</w:t>
      </w:r>
    </w:p>
    <w:p w14:paraId="7E79E8E1" w14:textId="77777777" w:rsidR="007E22B6" w:rsidRDefault="00DE4743" w:rsidP="00A046E0">
      <w:pPr>
        <w:pStyle w:val="12"/>
      </w:pPr>
      <w:r>
        <w:rPr>
          <w:sz w:val="21"/>
        </w:rPr>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25E7F4EE" w14:textId="77777777" w:rsidR="007E22B6" w:rsidRDefault="00DE4743" w:rsidP="00A046E0">
      <w:pPr>
        <w:pStyle w:val="12"/>
      </w:pPr>
      <w:r>
        <w:rPr>
          <w:rFonts w:ascii="宋体" w:eastAsia="宋体" w:hAnsi="宋体"/>
          <w:sz w:val="21"/>
        </w:rPr>
        <w:lastRenderedPageBreak/>
        <w:t>4.2 参数场驱动的规划方法相对于传统经验布置的意义</w:t>
      </w:r>
    </w:p>
    <w:p w14:paraId="4EAC053C"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w:t>
      </w:r>
      <w:r>
        <w:t>ODI</w:t>
      </w:r>
      <w:r>
        <w:t>场和工作面对象叠加的空间变量；这一认识与透明工作面、智能精准开采地质模型和采煤工作面动态修正技术中强调的</w:t>
      </w:r>
      <w:r>
        <w:t>“</w:t>
      </w:r>
      <w:r>
        <w:t>地质模型支撑开采决策</w:t>
      </w:r>
      <w:r>
        <w:t>”</w:t>
      </w:r>
      <w:r>
        <w:t>是一致的</w:t>
      </w:r>
      <w:r>
        <w:t>[30-32]</w:t>
      </w:r>
      <w:r>
        <w:t>。</w:t>
      </w:r>
    </w:p>
    <w:p w14:paraId="3851A02B" w14:textId="77777777" w:rsidR="007E22B6" w:rsidRDefault="00DE4743" w:rsidP="00A046E0">
      <w:pPr>
        <w:pStyle w:val="12"/>
      </w:pPr>
      <w:r>
        <w:rPr>
          <w:sz w:val="21"/>
        </w:rPr>
        <w:t>本样例中，煤厚样点由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。厚煤区在资源覆盖评价中具有更高权重，低厚度区则提示边界调整、煤柱保留或低优先级布置的必要性。由此可见，参数场不是单纯的制图结果，而是候选方案评分和资源回收评价的输入条件。</w:t>
      </w:r>
    </w:p>
    <w:p w14:paraId="2E7A7580"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w:t>
      </w:r>
      <w:r>
        <w:t>ODI</w:t>
      </w:r>
      <w:r>
        <w:t>统计。智能精准开采工作面地质模型研究强调，地面、井下、孔中和采掘过程信息需要逐级融合并动态更新，才能提高工作面尺度地质表达精度</w:t>
      </w:r>
      <w:r>
        <w:t>[31-32]</w:t>
      </w:r>
      <w:r>
        <w:t>。本文当前采用样例数据验证方法链路，尚未比较</w:t>
      </w:r>
      <w:r>
        <w:t>IDW</w:t>
      </w:r>
      <w:r>
        <w:t>、克里金等不同插值方法对方案排序的影响；后续若用于工程定案，应补充交叉验证、插值误差分析和网格尺度敏感性分析。</w:t>
      </w:r>
    </w:p>
    <w:p w14:paraId="2AFA8E36" w14:textId="77777777" w:rsidR="007E22B6" w:rsidRDefault="00DE4743" w:rsidP="00A046E0">
      <w:pPr>
        <w:pStyle w:val="12"/>
      </w:pPr>
      <w:r>
        <w:rPr>
          <w:rFonts w:ascii="宋体" w:eastAsia="宋体" w:hAnsi="宋体"/>
          <w:sz w:val="21"/>
        </w:rPr>
        <w:t>4.3 后续深化方向</w:t>
      </w:r>
    </w:p>
    <w:p w14:paraId="692E77DE" w14:textId="77777777" w:rsidR="007E22B6" w:rsidRDefault="00DE4743" w:rsidP="00A046E0">
      <w:pPr>
        <w:pStyle w:val="12"/>
      </w:pPr>
      <w:r>
        <w:t>本文当前结果主要表明，所提方法在样例条件下具备链路贯通能力，即能够实现采区边界、钻孔样点、连续参数场、</w:t>
      </w:r>
      <w:r>
        <w:t>ODI</w:t>
      </w:r>
      <w:r>
        <w:t>风险场、候选方案池和规划对象之间的连续组织与传递。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36B98014" w14:textId="77777777" w:rsidR="007E22B6" w:rsidRDefault="00DE4743" w:rsidP="00A046E0">
      <w:pPr>
        <w:pStyle w:val="12"/>
      </w:pPr>
      <w:r>
        <w:t>方法的适用边界主要包括三方面：第一，</w:t>
      </w:r>
      <w:r>
        <w:t>ODI</w:t>
      </w:r>
      <w:r>
        <w:t>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w:t>
      </w:r>
      <w:r>
        <w:t>[26,41-48,50]</w:t>
      </w:r>
      <w:r>
        <w:t>。</w:t>
      </w:r>
    </w:p>
    <w:p w14:paraId="05733F7C" w14:textId="77777777" w:rsidR="007E22B6" w:rsidRDefault="00DE4743" w:rsidP="00A046E0">
      <w:pPr>
        <w:pStyle w:val="12"/>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31571EB6" w14:textId="77777777" w:rsidR="007E22B6" w:rsidRDefault="00DE4743" w:rsidP="00A046E0">
      <w:pPr>
        <w:pStyle w:val="11"/>
      </w:pPr>
      <w:r>
        <w:rPr>
          <w:rFonts w:ascii="宋体" w:eastAsia="宋体" w:hAnsi="宋体"/>
          <w:sz w:val="21"/>
        </w:rPr>
        <w:t>5 结论</w:t>
      </w:r>
    </w:p>
    <w:p w14:paraId="7641FB77"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候选方案池</w:t>
      </w:r>
      <w:r>
        <w:t>—</w:t>
      </w:r>
      <w:r>
        <w:t>后续评价输入</w:t>
      </w:r>
      <w:r>
        <w:t>”</w:t>
      </w:r>
      <w:r>
        <w:t>的方法链路。</w:t>
      </w:r>
    </w:p>
    <w:p w14:paraId="5C58EBC8"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w:r>
        <w:t>P90</w:t>
      </w:r>
      <w:r>
        <w:t>、超阈值暴露比例等计算口径，为异构风险进入采区规划比选提供了统一表达。</w:t>
      </w:r>
    </w:p>
    <w:p w14:paraId="5A5A32B1"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，说明风险场能够转化为可复核的方案级统计量。</w:t>
      </w:r>
    </w:p>
    <w:p w14:paraId="5157A4BD"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w:t>
      </w:r>
      <w:r>
        <w:lastRenderedPageBreak/>
        <w:t>在当前样例和候选池范围内，基准权重、</w:t>
      </w:r>
      <w:r>
        <w:t>±10%</w:t>
      </w:r>
      <w:r>
        <w:t>相对扰动和含水层专项权重条件下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和超限比例共同识别。真实矿井条件下的工程优选结论仍需结合实矿案例检验。</w:t>
      </w:r>
    </w:p>
    <w:p w14:paraId="2A57CAD7" w14:textId="77777777" w:rsidR="007E22B6" w:rsidRDefault="00A249E2" w:rsidP="00A046E0">
      <w:pPr>
        <w:pStyle w:val="11"/>
      </w:pPr>
      <w:r>
        <w:rPr>
          <w:rFonts w:ascii="宋体" w:eastAsia="宋体" w:hAnsi="宋体"/>
          <w:sz w:val="21"/>
        </w:rPr>
        <w:t>参考文献</w:t>
      </w:r>
    </w:p>
    <w:p w14:paraId="050D6E54" w14:textId="77777777" w:rsidR="00600991" w:rsidRDefault="001E7D0D">
      <w:r>
        <w:t>[1]</w:t>
      </w:r>
      <w:r>
        <w:tab/>
        <w:t>WU Xuefei, LI Hongxia, WANG Baoli, et al. Review on improvements to the safety level of coal mines by applying intelligent coal mining[J]. Sustainability, 2022, 14(24): 16400. DOI: 10.3390/su142416400.</w:t>
      </w:r>
    </w:p>
    <w:p w14:paraId="6F4E4648" w14:textId="77777777" w:rsidR="00600991" w:rsidRDefault="001E7D0D">
      <w:r>
        <w:t>[2]</w:t>
      </w:r>
      <w:r>
        <w:tab/>
        <w:t>WANG Guofa, REN Huaiwei, ZHAO Guorui, et al. Research and practice of intelligent coal mine technology systems in China[J]. International Journal of Coal Science &amp; Technology, 2022, 9(1). DOI: 10.1007/s40789-022-00491-3.</w:t>
      </w:r>
    </w:p>
    <w:p w14:paraId="28EB3A15" w14:textId="77777777" w:rsidR="00600991" w:rsidRDefault="001E7D0D">
      <w:r>
        <w:t>[3]</w:t>
      </w:r>
      <w:r>
        <w:tab/>
        <w:t>ZHANG Kexue, KANG Lei, CHEN Xuexi, et al. A review of intelligent unmanned mining current situation and development trend[J]. Energies, 2022, 15(2): 513. DOI: 10.3390/en15020513.</w:t>
      </w:r>
    </w:p>
    <w:p w14:paraId="63201044" w14:textId="77777777" w:rsidR="00600991" w:rsidRDefault="001E7D0D">
      <w:r>
        <w:t>[4]</w:t>
      </w:r>
      <w:r>
        <w:tab/>
        <w:t>YANG Yi, LI Yingchun, WANG Lujun, et al. On strata damage and stress disturbance induced by coal mining based on physical similarity simulation experiments[J]. Scientific Reports, 2023, 13(1). DOI: 10.1038/s41598-023-42148-4.</w:t>
      </w:r>
    </w:p>
    <w:p w14:paraId="601CFC55" w14:textId="77777777" w:rsidR="00600991" w:rsidRDefault="001E7D0D">
      <w:r>
        <w:t>[5]</w:t>
      </w:r>
      <w:r>
        <w:tab/>
        <w:t xml:space="preserve">REN Yiwei, YUAN Qiang, CHEN Jie, et al. Evolution characteristics of mining-induced fractures in overburden strata under close-multi coal seams mining based on optical fiber monitoring[J]. </w:t>
      </w:r>
      <w:r>
        <w:lastRenderedPageBreak/>
        <w:t>Engineering Geology, 2024, 343: 107802. DOI: 10.1016/j.enggeo.2024.107802.</w:t>
      </w:r>
    </w:p>
    <w:p w14:paraId="53093DD7" w14:textId="77777777" w:rsidR="00600991" w:rsidRDefault="001E7D0D">
      <w:r>
        <w:t>[6]</w:t>
      </w:r>
      <w:r>
        <w:tab/>
        <w:t>YANG Xiao, SHI Longqing, QIU Mei, et al. Spatiotemporal evolution patterns of mining-induced overburden damage based on microseismic event response analysis[J]. Journal of Applied Geophysics, 2025, 242: 105876. DOI: 10.1016/j.jappgeo.2025.105876.</w:t>
      </w:r>
    </w:p>
    <w:p w14:paraId="24964FB4" w14:textId="77777777" w:rsidR="00600991" w:rsidRDefault="001E7D0D">
      <w:r>
        <w:t>[7]</w:t>
      </w:r>
      <w:r>
        <w:tab/>
        <w:t>ZHANG Jie, WANG Li, YANG Tao, et al. Study on overburden failure characteristics and ground pressure behavior in shallow coal seam mining underneath the gully[J]. Frontiers in Earth Science, 2024, 12. DOI: 10.3389/feart.2024.1375979.</w:t>
      </w:r>
    </w:p>
    <w:p w14:paraId="357C63C3" w14:textId="77777777" w:rsidR="00600991" w:rsidRDefault="001E7D0D">
      <w:r>
        <w:t>[8]</w:t>
      </w:r>
      <w:r>
        <w:tab/>
        <w:t>CAO Jian, HUANG Qingxiang, GUO Lingfei. Subsidence prediction of overburden strata and ground surface in shallow coal seam mining[J]. Scientific Reports, 2021, 11(1). DOI: 10.1038/s41598-021-98520-9.</w:t>
      </w:r>
    </w:p>
    <w:p w14:paraId="000C1299" w14:textId="77777777" w:rsidR="00600991" w:rsidRDefault="001E7D0D">
      <w:r>
        <w:t>[9]</w:t>
      </w:r>
      <w:r>
        <w:tab/>
        <w:t>PRAKASH Amar, BHARTI Abhay Kumar, VERMA Aniket. Unearthing underground mining-induced strata disturbance by electrical resistivity tomography interpretation[J]. Environmental &amp; Engineering Geoscience, 2022, 28(4): 361-369. DOI: 10.2113/eeg-d-21-00073.</w:t>
      </w:r>
    </w:p>
    <w:p w14:paraId="6A323A7E" w14:textId="77777777" w:rsidR="00600991" w:rsidRDefault="001E7D0D">
      <w:r>
        <w:t>[10]</w:t>
      </w:r>
      <w:r>
        <w:tab/>
        <w:t xml:space="preserve">SHI Xiuchang, ZHANG Jixing. Characteristics of overburden failure and fracture </w:t>
      </w:r>
      <w:r>
        <w:lastRenderedPageBreak/>
        <w:t>evolution in shallow buried working face with large mining height[J]. Sustainability, 2021, 13(24): 13775. DOI: 10.3390/su132413775.</w:t>
      </w:r>
    </w:p>
    <w:p w14:paraId="23FAD57C" w14:textId="77777777" w:rsidR="00600991" w:rsidRDefault="001E7D0D">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68DCB1C3" w14:textId="77777777" w:rsidR="00600991" w:rsidRDefault="001E7D0D">
      <w:r>
        <w:t>[12]</w:t>
      </w:r>
      <w:r>
        <w:tab/>
      </w:r>
      <w:r>
        <w:t>SHAN Yang, KE Li, XIANG Jun, et al. Multi-objective optimisation based on NSGA-II of mine cut-off grade from the perspective of resource security[J]. International Journal of Mining, Reclamation and Environment, 2025: 1-20. DOI: 10.1080/17480930.2025.2532460.</w:t>
      </w:r>
    </w:p>
    <w:p w14:paraId="759C7D1F" w14:textId="77777777" w:rsidR="00600991" w:rsidRDefault="001E7D0D">
      <w:r>
        <w:t>[13]</w:t>
      </w:r>
      <w:r>
        <w:tab/>
        <w:t>GU Xiaowei, WANG Xunhong, LIU Zaobao, et al. A multi-objective optimization model using improved NSGA-II for optimizing metal mines production process[J]. IEEE Access, 2020, 8: 28847-28858. DOI: 10.1109/access.2020.2972018.</w:t>
      </w:r>
    </w:p>
    <w:p w14:paraId="0F791510" w14:textId="77777777" w:rsidR="00600991" w:rsidRDefault="001E7D0D">
      <w:r>
        <w:t>[14]</w:t>
      </w:r>
      <w:r>
        <w:tab/>
        <w:t>NESBITT Peter, BLAKE Lewis R., LAMAS Patricio, et al. Underground mine scheduling under uncertainty[J]. European Journal of Operational Research, 2021, 294(1): 340-352. DOI: 10.1016/j.ejor.2021.01.011.</w:t>
      </w:r>
    </w:p>
    <w:p w14:paraId="3329B199" w14:textId="77777777" w:rsidR="00600991" w:rsidRDefault="001E7D0D">
      <w:r>
        <w:lastRenderedPageBreak/>
        <w:t>[15]</w:t>
      </w:r>
      <w:r>
        <w:tab/>
        <w:t>PATHIRANAGE Ishara Hewa, NEUMANN Aneta. Multi-objective evolutionary optimization for large-scale open pit mine scheduling[C]//2024 IEEE Congress on Evolutionary Computation (CEC). 2024: 1-8. DOI: 10.1109/CEC60901.2024.10612008.</w:t>
      </w:r>
    </w:p>
    <w:p w14:paraId="618F098E" w14:textId="77777777" w:rsidR="00600991" w:rsidRDefault="001E7D0D">
      <w:r>
        <w:t>[16]</w:t>
      </w:r>
      <w:r>
        <w:tab/>
        <w:t>ZHANG Xuhui, LV Xinyuan, WANG Yan, et al. Production process management for intelligent coal mining based on digital twin[M]//Digital Twin Driven Service. 2022: 251-277. DOI: 10.1016/B978-0-323-91300-3.00008-5.</w:t>
      </w:r>
    </w:p>
    <w:p w14:paraId="476E77A9" w14:textId="77777777" w:rsidR="00600991" w:rsidRDefault="001E7D0D">
      <w:r>
        <w:t>[17]</w:t>
      </w:r>
      <w:r>
        <w:tab/>
        <w:t>QU Juncong, KIZIL Mehmet S., YAHYAEI Mohsen, et al. Digital twins in the minerals industry: a comprehensive review[J]. Mining Technology, 2023, 132(4): 267-289. DOI: 10.1080/25726668.2023.2257479.</w:t>
      </w:r>
    </w:p>
    <w:p w14:paraId="73F15786" w14:textId="77777777" w:rsidR="00600991" w:rsidRDefault="001E7D0D">
      <w:r>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0CB79450" w14:textId="77777777" w:rsidR="00600991" w:rsidRDefault="001E7D0D">
      <w:r>
        <w:t>[19]</w:t>
      </w:r>
      <w:r>
        <w:tab/>
        <w:t xml:space="preserve">AHMED Haitham M., ADEWUYI Sefiu, AHMED Hussin M. A. Continuous cash flow modeling for economic evaluation and risk analysis in mine planning using Monte Carlo simulation[J]. Journal of King Abdulaziz University: Engineering </w:t>
      </w:r>
      <w:r>
        <w:lastRenderedPageBreak/>
        <w:t>Sciences, 2024, 34(2). DOI: 10.4197/eng.34-2.6.</w:t>
      </w:r>
    </w:p>
    <w:p w14:paraId="79C17270" w14:textId="77777777" w:rsidR="00600991" w:rsidRDefault="001E7D0D">
      <w:r>
        <w:t>[20]</w:t>
      </w:r>
      <w:r>
        <w:tab/>
        <w:t>LI Jiaoqun, WU Tong, LU Zengxiang, et al. Investigation into mining economic evaluation approaches based on the Rosenblueth point estimate method[J]. Applied Sciences, 2023, 13(15): 9011. DOI: 10.3390/app13159011.</w:t>
      </w:r>
    </w:p>
    <w:p w14:paraId="0D50276E" w14:textId="77777777" w:rsidR="00600991" w:rsidRDefault="001E7D0D">
      <w:r>
        <w:t>[21]</w:t>
      </w:r>
      <w:r>
        <w:tab/>
        <w:t>DEHGHANI Hesam, ATAEE-POUR Majid, ESFAHANIPOUR Akbar. Evaluation of the mining projects under economic uncertainties using multidimensional binomial tree[J]. Resources Policy, 2014, 39: 124-133. DOI: 10.1016/j.resourpol.2014.01.003.</w:t>
      </w:r>
    </w:p>
    <w:p w14:paraId="57055A70" w14:textId="77777777" w:rsidR="00600991" w:rsidRDefault="001E7D0D">
      <w:r>
        <w:t>[22]</w:t>
      </w:r>
      <w:r>
        <w:tab/>
        <w:t>LIU Xiong, ZHENG Lulin, LIU Hao, et al. Evolution of overburden fractures and the water-conducting fracture zone in closely spaced coal mine seams under highly water-rich aquifers[J]. ACS Omega, 2025. DOI: 10.1021/acsomega.5c09774.</w:t>
      </w:r>
    </w:p>
    <w:p w14:paraId="036B4C5D" w14:textId="77777777" w:rsidR="00600991" w:rsidRDefault="001E7D0D">
      <w:r>
        <w:t>[23]</w:t>
      </w:r>
      <w:r>
        <w:tab/>
        <w:t>XUE Sen, WANG Qiqing, SONG Zhen. Analysis of water-permeable fractured zone in weakly cemented overburden considering rock strain-softening[J]. Scientific Reports, 2026, 16(1). DOI: 10.1038/s41598-026-45413-4.</w:t>
      </w:r>
    </w:p>
    <w:p w14:paraId="465D3ED0" w14:textId="77777777" w:rsidR="00600991" w:rsidRDefault="001E7D0D">
      <w:r>
        <w:t>[24]</w:t>
      </w:r>
      <w:r>
        <w:tab/>
        <w:t xml:space="preserve">ZHU Xiaojun, ZHA Feng, GUO Guangli, et al. Mechanical prediction method of strata movement and surface subsidence in backfill-strip mining[J]. Scientific Reports, 2024, 14(1). DOI: </w:t>
      </w:r>
      <w:r>
        <w:lastRenderedPageBreak/>
        <w:t>10.1038/s41598-024-82761-5.</w:t>
      </w:r>
    </w:p>
    <w:p w14:paraId="023F7FCB" w14:textId="77777777" w:rsidR="00600991" w:rsidRDefault="001E7D0D">
      <w:r>
        <w:t>[25]</w:t>
      </w:r>
      <w:r>
        <w:tab/>
        <w:t>KRATZSCH Helmut. Strata movement at the mining horizon[M]//Mining Subsidence Engineering. Berlin, , Heidelberg: Springer, 1983: 7-40. DOI: 10.1007/978-3-642-81923-0_2.</w:t>
      </w:r>
    </w:p>
    <w:p w14:paraId="59163422" w14:textId="77777777" w:rsidR="00600991" w:rsidRDefault="001E7D0D">
      <w:r>
        <w:t>[26]</w:t>
      </w:r>
      <w:r>
        <w:tab/>
      </w:r>
      <w:r>
        <w:t>许家林</w:t>
      </w:r>
      <w:r>
        <w:t xml:space="preserve">. </w:t>
      </w:r>
      <w:r>
        <w:t>煤矿绿色开采</w:t>
      </w:r>
      <w:r>
        <w:t>20</w:t>
      </w:r>
      <w:r>
        <w:t>年研究及进展</w:t>
      </w:r>
      <w:r>
        <w:t xml:space="preserve">[J]. </w:t>
      </w:r>
      <w:r>
        <w:t>煤炭科学技术</w:t>
      </w:r>
      <w:r>
        <w:t>, 2020, 48(9): 1-15. DOI: 10.13199/j.cnki.cst.2020.09.001.</w:t>
      </w:r>
    </w:p>
    <w:p w14:paraId="43DAEEB2" w14:textId="77777777" w:rsidR="00600991" w:rsidRDefault="001E7D0D">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4103F430" w14:textId="77777777" w:rsidR="00600991" w:rsidRDefault="001E7D0D">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4FBBA0E4" w14:textId="77777777" w:rsidR="00600991" w:rsidRDefault="001E7D0D">
      <w:r>
        <w:t>[29]</w:t>
      </w:r>
      <w:r>
        <w:tab/>
      </w:r>
      <w:r>
        <w:t>李首滨</w:t>
      </w:r>
      <w:r>
        <w:t xml:space="preserve">. </w:t>
      </w:r>
      <w:r>
        <w:t>智能化开采研究进展与发展趋势</w:t>
      </w:r>
      <w:r>
        <w:t xml:space="preserve">[J]. </w:t>
      </w:r>
      <w:r>
        <w:t>煤炭科学技术</w:t>
      </w:r>
      <w:r>
        <w:t>, 2019, 47(10): 102-110. DOI: 10.13199/j.cnki.cst.2019.10.012.</w:t>
      </w:r>
    </w:p>
    <w:p w14:paraId="6C18214B" w14:textId="77777777" w:rsidR="00600991" w:rsidRDefault="001E7D0D">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74C22B9C" w14:textId="77777777" w:rsidR="00600991" w:rsidRDefault="001E7D0D">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xml:space="preserve">, 2019, 44(8): 2285-2295. DOI: </w:t>
      </w:r>
      <w:r>
        <w:lastRenderedPageBreak/>
        <w:t>10.13225/j.cnki.jccs.KJ19.0510.</w:t>
      </w:r>
    </w:p>
    <w:p w14:paraId="580FF921" w14:textId="77777777" w:rsidR="00600991" w:rsidRDefault="001E7D0D">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77D551C2" w14:textId="77777777" w:rsidR="00600991" w:rsidRDefault="001E7D0D">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4DAE7976" w14:textId="77777777" w:rsidR="00600991" w:rsidRDefault="001E7D0D">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3976729E" w14:textId="77777777" w:rsidR="00600991" w:rsidRDefault="001E7D0D">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1017ED92" w14:textId="77777777" w:rsidR="00600991" w:rsidRDefault="001E7D0D">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0101A92C" w14:textId="77777777" w:rsidR="00600991" w:rsidRDefault="001E7D0D">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37C3BA20" w14:textId="77777777" w:rsidR="00600991" w:rsidRDefault="001E7D0D">
      <w:r>
        <w:t>[38]</w:t>
      </w:r>
      <w:r>
        <w:tab/>
      </w:r>
      <w:r>
        <w:t>王苏健</w:t>
      </w:r>
      <w:r>
        <w:t xml:space="preserve">, </w:t>
      </w:r>
      <w:r>
        <w:t>金声尧</w:t>
      </w:r>
      <w:r>
        <w:t xml:space="preserve">. </w:t>
      </w:r>
      <w:r>
        <w:t>类孤岛工作面复采方案优</w:t>
      </w:r>
      <w:r>
        <w:lastRenderedPageBreak/>
        <w:t>选分析研究</w:t>
      </w:r>
      <w:r>
        <w:t xml:space="preserve">[J]. </w:t>
      </w:r>
      <w:r>
        <w:t>煤炭科学技术</w:t>
      </w:r>
      <w:r>
        <w:t>, 2021, 49(9): 9-16. DOI: 10.13199/j.cnki.cst.2021.09.002.</w:t>
      </w:r>
    </w:p>
    <w:p w14:paraId="6AC83FDB" w14:textId="77777777" w:rsidR="00600991" w:rsidRDefault="001E7D0D">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1F469EE2" w14:textId="77777777" w:rsidR="00600991" w:rsidRDefault="001E7D0D">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734A1459" w14:textId="77777777" w:rsidR="00600991" w:rsidRDefault="001E7D0D">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7BFB88C6" w14:textId="77777777" w:rsidR="00600991" w:rsidRDefault="001E7D0D">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7BBB0A3D" w14:textId="77777777" w:rsidR="00600991" w:rsidRDefault="001E7D0D">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5184BF2B" w14:textId="77777777" w:rsidR="00600991" w:rsidRDefault="001E7D0D">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6CA6BBF2" w14:textId="77777777" w:rsidR="00600991" w:rsidRDefault="001E7D0D">
      <w:r>
        <w:lastRenderedPageBreak/>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53851F42" w14:textId="77777777" w:rsidR="00600991" w:rsidRDefault="001E7D0D">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350D19FE" w14:textId="77777777" w:rsidR="00600991" w:rsidRDefault="001E7D0D">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52AAF825" w14:textId="77777777" w:rsidR="00600991" w:rsidRDefault="001E7D0D">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03FE793D" w14:textId="77777777" w:rsidR="00600991" w:rsidRDefault="001E7D0D">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547DCBD0" w14:textId="77777777" w:rsidR="00600991" w:rsidRDefault="001E7D0D">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sectPr w:rsidR="00600991"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B5115" w14:textId="77777777" w:rsidR="001E7D0D" w:rsidRDefault="001E7D0D" w:rsidP="00A31ACE">
      <w:pPr>
        <w:spacing w:after="0"/>
      </w:pPr>
      <w:r>
        <w:separator/>
      </w:r>
    </w:p>
  </w:endnote>
  <w:endnote w:type="continuationSeparator" w:id="0">
    <w:p w14:paraId="230FD57B" w14:textId="77777777" w:rsidR="001E7D0D" w:rsidRDefault="001E7D0D"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8679" w14:textId="77777777" w:rsidR="001E7D0D" w:rsidRDefault="001E7D0D" w:rsidP="00A31ACE">
      <w:pPr>
        <w:spacing w:after="0"/>
      </w:pPr>
      <w:r>
        <w:separator/>
      </w:r>
    </w:p>
  </w:footnote>
  <w:footnote w:type="continuationSeparator" w:id="0">
    <w:p w14:paraId="6EA1DA5E" w14:textId="77777777" w:rsidR="001E7D0D" w:rsidRDefault="001E7D0D"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1E7D0D"/>
    <w:rsid w:val="0024227F"/>
    <w:rsid w:val="00283D3A"/>
    <w:rsid w:val="0029639D"/>
    <w:rsid w:val="002D5CF2"/>
    <w:rsid w:val="003244EB"/>
    <w:rsid w:val="00326F90"/>
    <w:rsid w:val="003C20E3"/>
    <w:rsid w:val="0040007B"/>
    <w:rsid w:val="004D2816"/>
    <w:rsid w:val="00532DB1"/>
    <w:rsid w:val="0059553B"/>
    <w:rsid w:val="00600991"/>
    <w:rsid w:val="00633AE9"/>
    <w:rsid w:val="006A6807"/>
    <w:rsid w:val="006B0BC3"/>
    <w:rsid w:val="00737432"/>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38E20B"/>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24</Pages>
  <Words>11709</Words>
  <Characters>18853</Characters>
  <Application>Microsoft Office Word</Application>
  <DocSecurity>0</DocSecurity>
  <Lines>673</Lines>
  <Paragraphs>424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11</cp:revision>
  <dcterms:created xsi:type="dcterms:W3CDTF">2013-12-23T23:15:00Z</dcterms:created>
  <dcterms:modified xsi:type="dcterms:W3CDTF">2026-04-18T13:15:00Z</dcterms:modified>
  <cp:category/>
</cp:coreProperties>
</file>