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ABECA" w14:textId="77777777" w:rsidR="007E22B6" w:rsidRDefault="00D76BC3">
      <w:pPr>
        <w:pStyle w:val="02"/>
      </w:pPr>
      <w:r>
        <w:rPr>
          <w:rFonts w:ascii="宋体" w:eastAsia="宋体" w:hAnsi="宋体"/>
        </w:rPr>
        <w:t>覆岩扰动约束下采区协同规划方法</w:t>
      </w:r>
    </w:p>
    <w:p w14:paraId="0986370F" w14:textId="77777777" w:rsidR="007E22B6" w:rsidRDefault="00A249E2">
      <w:pPr>
        <w:pStyle w:val="03"/>
      </w:pPr>
      <w:r>
        <w:rPr>
          <w:rFonts w:ascii="宋体" w:eastAsia="宋体" w:hAnsi="宋体"/>
        </w:rPr>
        <w:t>李杨</w:t>
      </w:r>
      <w:r>
        <w:rPr>
          <w:rFonts w:ascii="宋体" w:eastAsia="宋体" w:hAnsi="宋体"/>
          <w:vertAlign w:val="superscript"/>
        </w:rPr>
        <w:t>1</w:t>
      </w:r>
      <w:r>
        <w:rPr>
          <w:rFonts w:ascii="宋体" w:eastAsia="宋体" w:hAnsi="宋体"/>
        </w:rPr>
        <w:t>，王楠</w:t>
      </w:r>
      <w:r>
        <w:rPr>
          <w:rFonts w:ascii="宋体" w:eastAsia="宋体" w:hAnsi="宋体"/>
          <w:vertAlign w:val="superscript"/>
        </w:rPr>
        <w:t>1</w:t>
      </w:r>
      <w:r>
        <w:rPr>
          <w:rFonts w:ascii="宋体" w:eastAsia="宋体" w:hAnsi="宋体"/>
        </w:rPr>
        <w:t>，刘浩天</w:t>
      </w:r>
      <w:r>
        <w:rPr>
          <w:rFonts w:ascii="宋体" w:eastAsia="宋体" w:hAnsi="宋体"/>
          <w:vertAlign w:val="superscript"/>
        </w:rPr>
        <w:t>1</w:t>
      </w:r>
    </w:p>
    <w:p w14:paraId="7CFAEEAC" w14:textId="77777777" w:rsidR="007E22B6" w:rsidRDefault="00A249E2">
      <w:pPr>
        <w:pStyle w:val="04"/>
        <w:ind w:firstLine="300"/>
      </w:pPr>
      <w:r>
        <w:rPr>
          <w:rFonts w:ascii="宋体" w:eastAsia="宋体" w:hAnsi="宋体"/>
        </w:rPr>
        <w:t>（1. 中国矿业大学（北京） 能源与矿业学院，北京 100083）</w:t>
      </w:r>
    </w:p>
    <w:p w14:paraId="41A32D7A" w14:textId="77777777" w:rsidR="007E22B6" w:rsidRDefault="00A249E2">
      <w:pPr>
        <w:pStyle w:val="05"/>
        <w:spacing w:after="60"/>
      </w:pPr>
      <w:r>
        <w:t>摘要：针对采区规划中离散地质信息难以连续参与空间布置、多场景覆岩扰动风险约束口径不统一以及规划结果难以向采掘接续和经济评价传递等问题，提出一种基于覆岩扰动指数（</w:t>
      </w:r>
      <w:r>
        <w:t>overburden disturbance index</w:t>
      </w:r>
      <w:r>
        <w:t>，</w:t>
      </w:r>
      <w:r>
        <w:t>ODI</w:t>
      </w:r>
      <w:r>
        <w:t>）约束的采区候选方案生成与多目标比选方法。该方法以采区边界、钻孔样点和设计参数为输入，先构建有效布置域与连续参数场，再将地表沉陷、含水层扰动和上行开采等风险分量归一化并加权为统一</w:t>
      </w:r>
      <w:r>
        <w:t>ODI</w:t>
      </w:r>
      <w:r>
        <w:t>场，进一步以</w:t>
      </w:r>
      <w:r>
        <w:t>ODI</w:t>
      </w:r>
      <w:r>
        <w:t>均值、</w:t>
      </w:r>
      <w:r>
        <w:t>90%</w:t>
      </w:r>
      <w:r>
        <w:t>分位数和超阈值暴露比例刻画候选方案风险水平。在此基础上，建立包含工作面数量、推进方向、煤柱宽度、工作面宽度和方案选择变量的候选方案池，并采用工程效率、资源回收和扰动控制目标进行非支配排序与综合筛选。样例中复核得到</w:t>
      </w:r>
      <w:r>
        <w:t>80×56</w:t>
      </w:r>
      <w:r>
        <w:t>栅格</w:t>
      </w:r>
      <w:r>
        <w:t>ODI</w:t>
      </w:r>
      <w:r>
        <w:t>场，共</w:t>
      </w:r>
      <w:r>
        <w:t>4480</w:t>
      </w:r>
      <w:r>
        <w:t>个栅格，均值为</w:t>
      </w:r>
      <w:r>
        <w:t>0.4669</w:t>
      </w:r>
      <w:r>
        <w:t>，</w:t>
      </w:r>
      <w:r>
        <w:t>P90</w:t>
      </w:r>
      <w:r>
        <w:t>为</w:t>
      </w:r>
      <w:r>
        <w:t>0.7474</w:t>
      </w:r>
      <w:r>
        <w:t>，</w:t>
      </w:r>
      <w:r>
        <w:t>ODI&gt;0.70</w:t>
      </w:r>
      <w:r>
        <w:t>比例为</w:t>
      </w:r>
      <w:r>
        <w:t>15.89%</w:t>
      </w:r>
      <w:r>
        <w:t>。在同一</w:t>
      </w:r>
      <w:r>
        <w:t>ODI</w:t>
      </w:r>
      <w:r>
        <w:t>场下，工程效率优先方案</w:t>
      </w:r>
      <w:r>
        <w:t>A</w:t>
      </w:r>
      <w:r>
        <w:t>、资源回收优先方案</w:t>
      </w:r>
      <w:r>
        <w:t>B</w:t>
      </w:r>
      <w:r>
        <w:t>和</w:t>
      </w:r>
      <w:r>
        <w:t>ODI</w:t>
      </w:r>
      <w:r>
        <w:t>筛选方案</w:t>
      </w:r>
      <w:r>
        <w:t>C</w:t>
      </w:r>
      <w:r>
        <w:t>的</w:t>
      </w:r>
      <w:r>
        <w:t>ODI</w:t>
      </w:r>
      <w:r>
        <w:t>均值分别为</w:t>
      </w:r>
      <w:r>
        <w:t>0.4463</w:t>
      </w:r>
      <w:r>
        <w:t>、</w:t>
      </w:r>
      <w:r>
        <w:t>0.4552</w:t>
      </w:r>
      <w:r>
        <w:t>和</w:t>
      </w:r>
      <w:r>
        <w:t>0.4416</w:t>
      </w:r>
      <w:r>
        <w:t>，</w:t>
      </w:r>
      <w:r>
        <w:t>P90</w:t>
      </w:r>
      <w:r>
        <w:t>分别为</w:t>
      </w:r>
      <w:r>
        <w:t>0.6407</w:t>
      </w:r>
      <w:r>
        <w:t>、</w:t>
      </w:r>
      <w:r>
        <w:t>0.6462</w:t>
      </w:r>
      <w:r>
        <w:t>和</w:t>
      </w:r>
      <w:r>
        <w:t>0.6353</w:t>
      </w:r>
      <w:r>
        <w:t>，</w:t>
      </w:r>
      <w:r>
        <w:t>ODI&gt;0.70</w:t>
      </w:r>
      <w:r>
        <w:t>比例分别为</w:t>
      </w:r>
      <w:r>
        <w:t>0.44%</w:t>
      </w:r>
      <w:r>
        <w:t>、</w:t>
      </w:r>
      <w:r>
        <w:t>0.56%</w:t>
      </w:r>
      <w:r>
        <w:t>和</w:t>
      </w:r>
      <w:r>
        <w:t>1.22%</w:t>
      </w:r>
      <w:r>
        <w:t>。权重和阈值敏感性结果表明，在当前样例和候选池范围内，</w:t>
      </w:r>
      <w:r>
        <w:t>C</w:t>
      </w:r>
      <w:r>
        <w:t>方案风险综合得分均低于</w:t>
      </w:r>
      <w:r>
        <w:t>A</w:t>
      </w:r>
      <w:r>
        <w:t>、</w:t>
      </w:r>
      <w:r>
        <w:t>B</w:t>
      </w:r>
      <w:r>
        <w:t>方案。样例结果表明，</w:t>
      </w:r>
      <w:r>
        <w:t>ODI</w:t>
      </w:r>
      <w:r>
        <w:t>前置约束可将风险图层转化为可复核的方案级统计指标，为采区规划阶段的多目标比选和后续对象传递提供方法支撑；真实矿井条件下的工程优选仍需结合现场约束和多案例验证。</w:t>
      </w:r>
    </w:p>
    <w:p w14:paraId="2C1477DD" w14:textId="77777777" w:rsidR="007E22B6" w:rsidRDefault="00A249E2">
      <w:pPr>
        <w:pStyle w:val="05"/>
        <w:spacing w:after="60"/>
      </w:pPr>
      <w:r>
        <w:t>关键词：覆岩扰动指数；采区规划；多目标优化；候选方案池；风险前置约束；连续参数场</w:t>
      </w:r>
    </w:p>
    <w:p w14:paraId="28472B42" w14:textId="77777777" w:rsidR="007E22B6" w:rsidRDefault="00A249E2">
      <w:pPr>
        <w:pStyle w:val="05"/>
        <w:spacing w:after="60"/>
      </w:pPr>
      <w:r>
        <w:rPr>
          <w:rFonts w:ascii="宋体" w:eastAsia="宋体" w:hAnsi="宋体"/>
        </w:rPr>
        <w:t>中图分类号：TD822    文献标志码：A</w:t>
      </w:r>
    </w:p>
    <w:p w14:paraId="4D5351E0" w14:textId="77777777" w:rsidR="007E22B6" w:rsidRDefault="00A249E2">
      <w:pPr>
        <w:pStyle w:val="06"/>
        <w:spacing w:after="60"/>
      </w:pPr>
      <w:r>
        <w:rPr>
          <w:rFonts w:eastAsia="宋体"/>
        </w:rPr>
        <w:t>Collaborative planning method for mining districts constrained by overburden disturbance</w:t>
      </w:r>
    </w:p>
    <w:p w14:paraId="1078E27C" w14:textId="77777777" w:rsidR="007E22B6" w:rsidRDefault="00DE4743">
      <w:pPr>
        <w:pStyle w:val="07"/>
        <w:spacing w:before="40" w:after="40"/>
      </w:pPr>
      <w:r>
        <w:rPr>
          <w:rFonts w:eastAsia="宋体"/>
        </w:rPr>
        <w:t>LI Yang</w:t>
      </w:r>
      <w:r>
        <w:rPr>
          <w:rFonts w:eastAsia="宋体"/>
          <w:vertAlign w:val="superscript"/>
        </w:rPr>
        <w:t>1</w:t>
      </w:r>
      <w:r>
        <w:rPr>
          <w:rFonts w:eastAsia="宋体"/>
        </w:rPr>
        <w:t>，</w:t>
      </w:r>
      <w:r>
        <w:rPr>
          <w:rFonts w:eastAsia="宋体"/>
        </w:rPr>
        <w:t>WANG Nan</w:t>
      </w:r>
      <w:r>
        <w:rPr>
          <w:rFonts w:eastAsia="宋体"/>
          <w:vertAlign w:val="superscript"/>
        </w:rPr>
        <w:t>1</w:t>
      </w:r>
      <w:r>
        <w:rPr>
          <w:rFonts w:eastAsia="宋体"/>
        </w:rPr>
        <w:t>，</w:t>
      </w:r>
      <w:r>
        <w:rPr>
          <w:rFonts w:eastAsia="宋体"/>
        </w:rPr>
        <w:t>LIU Haotian</w:t>
      </w:r>
      <w:r>
        <w:rPr>
          <w:rFonts w:eastAsia="宋体"/>
          <w:vertAlign w:val="superscript"/>
        </w:rPr>
        <w:t>1</w:t>
      </w:r>
    </w:p>
    <w:p w14:paraId="089555F0" w14:textId="77777777" w:rsidR="007E22B6" w:rsidRDefault="00A249E2">
      <w:pPr>
        <w:pStyle w:val="08"/>
        <w:spacing w:after="40"/>
        <w:ind w:firstLine="300"/>
      </w:pPr>
      <w:r>
        <w:rPr>
          <w:rFonts w:eastAsia="宋体"/>
        </w:rPr>
        <w:t>(1. School of Energy and Mining Engineering, China University of Mining and Technology-Beijing, Beijing 100083, China)</w:t>
      </w:r>
    </w:p>
    <w:p w14:paraId="640E9614" w14:textId="77777777" w:rsidR="007E22B6" w:rsidRDefault="00A249E2">
      <w:pPr>
        <w:pStyle w:val="09"/>
        <w:spacing w:after="40"/>
        <w:jc w:val="center"/>
      </w:pPr>
      <w:r>
        <w:t>Abstract: To address the difficulty of using discrete geological information in continuous mining-district layout, the inconsistent expression of multi-scenario overburden disturbance risks, and the weak linkage between planning outputs and downstream evaluation, this study proposes an ODI-constrained candidate generation and multi-objective selection method for mining-district planning. The method constructs an effective layout domain and continuous parameter fields from boundary, borehole and design inputs, normalizes surface subsidence, aquifer disturbance and upward-mining risk components into a unified overburden disturbance index (ODI) field, and describes candidate-level risk exposure using mean ODI, the 90th percentile and exceedance ratio. A constrained candidate pool is then ranked by engineering-efficiency, resource-recovery and disturbance-control objectives. The verified ODI field contains 80×56 grids, with a mean of 0.4669, P90 of 0.7474 and ODI&gt;0.70 ratio of 15.89%. Under the same ODI field, the mean ODI values of the engineering-efficiency scheme A, resource-recovery scheme B and ODI-screened scheme C are 0.4463, 0.4552 and 0.4416, respectively; their P90 values are 0.6407, 0.6462 and 0.6353, and their ODI&gt;0.70 ratios are 0.44%, 0.56% and 1.22%. For the present sample and candidate pool, weight and threshold sensitivity analyses show that scheme C has a lower composite risk score than schemes A and B under ±10% weight perturbations and the aquifer-special weight setting. The sample results indicate that ODI pre-constraint can transform risk layers into reproducible scheme-level statistics for multi-objective comparison in mining-district planning, whereas engineering scheme selection under real mine conditions still requires site-specific constraints and multi-case validation.</w:t>
      </w:r>
    </w:p>
    <w:p w14:paraId="1EA05875" w14:textId="77777777" w:rsidR="00DE4743" w:rsidRDefault="00A249E2">
      <w:pPr>
        <w:pStyle w:val="09"/>
        <w:spacing w:after="60"/>
      </w:pPr>
      <w:r>
        <w:t>Keywords: overburden disturbance index; mining district planning; multi-objective optimization; candidate pool; risk pre-constraint; continuous parameter field</w:t>
      </w:r>
    </w:p>
    <w:p w14:paraId="086E3628" w14:textId="77777777" w:rsidR="006B0BC3" w:rsidRDefault="00A249E2" w:rsidP="00DE4743">
      <w:pPr>
        <w:pStyle w:val="18"/>
        <w:spacing w:after="60"/>
        <w:ind w:left="600" w:hanging="600"/>
        <w:sectPr w:rsidR="006B0BC3" w:rsidSect="009330B5">
          <w:pgSz w:w="11906" w:h="16838"/>
          <w:pgMar w:top="1417" w:right="1134" w:bottom="1417" w:left="1134" w:header="720" w:footer="720" w:gutter="0"/>
          <w:cols w:space="425"/>
          <w:docGrid w:linePitch="360"/>
        </w:sectPr>
      </w:pPr>
      <w:r>
        <w:t>收稿日期：</w:t>
      </w:r>
      <w:r>
        <w:t xml:space="preserve">    </w:t>
      </w:r>
      <w:r>
        <w:t>修回日期：</w:t>
      </w:r>
      <w:r>
        <w:t xml:space="preserve">    </w:t>
      </w:r>
      <w:r>
        <w:t>责任编辑：</w:t>
      </w:r>
      <w:r>
        <w:br/>
      </w:r>
      <w:r>
        <w:t>基金项目：无。</w:t>
      </w:r>
      <w:r>
        <w:br/>
      </w:r>
      <w:r>
        <w:lastRenderedPageBreak/>
        <w:t>作者简介：李杨（</w:t>
      </w:r>
      <w:r>
        <w:t>1982—</w:t>
      </w:r>
      <w:r>
        <w:t>），男，河北唐山人，教授，博士，研究方向为矿业工程。</w:t>
      </w:r>
      <w:r>
        <w:br/>
      </w:r>
      <w:r>
        <w:t>通信作者：刘浩天（</w:t>
      </w:r>
      <w:r>
        <w:t>2001—</w:t>
      </w:r>
      <w:r>
        <w:t>），男，河北唐山人，博士研究生，研究方向为矿业工程。</w:t>
      </w:r>
      <w:r>
        <w:t>Tel</w:t>
      </w:r>
      <w:r>
        <w:t>：</w:t>
      </w:r>
      <w:r>
        <w:t>17692508100</w:t>
      </w:r>
      <w:r>
        <w:t>，</w:t>
      </w:r>
      <w:r>
        <w:t>E-mail</w:t>
      </w:r>
      <w:r>
        <w:t>：</w:t>
      </w:r>
      <w:r>
        <w:t>gqt2500103011@student.cumtb.edu.cn</w:t>
      </w:r>
      <w:r>
        <w:t>。</w:t>
      </w:r>
    </w:p>
    <w:p w14:paraId="0720521C" w14:textId="77777777" w:rsidR="007E22B6" w:rsidRDefault="007E22B6"/>
    <w:p w14:paraId="7DFAAAC6" w14:textId="77777777" w:rsidR="007E22B6" w:rsidRPr="00A046E0" w:rsidRDefault="00A249E2" w:rsidP="00A046E0">
      <w:pPr>
        <w:pStyle w:val="11"/>
        <w:rPr>
          <w:rFonts w:ascii="宋体" w:hAnsi="宋体"/>
        </w:rPr>
      </w:pPr>
      <w:r>
        <w:rPr>
          <w:rFonts w:ascii="宋体" w:eastAsia="宋体" w:hAnsi="宋体"/>
          <w:sz w:val="21"/>
        </w:rPr>
        <w:t>0 引言</w:t>
      </w:r>
    </w:p>
    <w:p w14:paraId="14766D63" w14:textId="77777777" w:rsidR="00D76BC3" w:rsidRDefault="00D76BC3" w:rsidP="00D76BC3">
      <w:pPr>
        <w:pStyle w:val="10"/>
        <w:spacing w:after="40"/>
        <w:ind w:firstLine="420"/>
      </w:pPr>
      <w:r>
        <w:t>采区规划位于煤矿生产决策链前端，其结果直接影响工作面布置、巷道工程量、资源回收率、采掘接续组织以及工程经济效益。随着煤矿智能化建设由单机装备升级逐步转向多源数据协同、业务流程联动和平台化决策，采区规划已不再是单纯的平面布置问题，而成为同时涉及地质建模、风险约束、方案生成、生产组织与经济评价的复合决策问题</w:t>
      </w:r>
      <w:r>
        <w:t>[1-3,26-32]</w:t>
      </w:r>
      <w:r>
        <w:t>。在现有工程实践中，采区边界、钻孔、分层、参数场、风险分析与方案评价往往分散在不同软件、表格和人工处理环节中，同一批基础数据需要反复整理、重复转换和多次校核，不仅拉长了方案迭代周期，也削弱了中间成果在后续环节中的复用价值。</w:t>
      </w:r>
    </w:p>
    <w:p w14:paraId="1E4F2165" w14:textId="77777777" w:rsidR="00D76BC3" w:rsidRDefault="00D76BC3" w:rsidP="00D76BC3">
      <w:pPr>
        <w:pStyle w:val="10"/>
        <w:spacing w:after="40"/>
        <w:ind w:firstLine="420"/>
      </w:pPr>
      <w:r>
        <w:t>围绕采动覆岩响应、地表沉陷、导水裂隙带发育、含水层受扰及上行开采可行性等问题，已有研究从采动应力重分布、裂隙演化规律、覆岩失稳机理、保水采煤、顶板水害防控和沉陷预测等方面开展了大量探索，为采区规划中的风险识别与安全控制提供了重要理论基础</w:t>
      </w:r>
      <w:r>
        <w:t>[4-10,22-25,33-37,39-41,45,48-50]</w:t>
      </w:r>
      <w:r>
        <w:t>。与此同时，地下矿山布置优化、多目标规划及生产调度研究表明，候选方案生成、目标排序和多方案比较能够提升规划决策质量</w:t>
      </w:r>
      <w:r>
        <w:t>[11-15,38]</w:t>
      </w:r>
      <w:r>
        <w:t>。近年来，数字孪生、透明工作面、矿山地质建模和过程管理技术的发展，也使采区边界、钻孔、分层和生产状态在统一数据空间中的组织与维护成为可能</w:t>
      </w:r>
      <w:r>
        <w:t>[16-18,27-32]</w:t>
      </w:r>
      <w:r>
        <w:t>；矿山经济评价方法则由静态收益测算逐步转向动态现金流、风险成本和多方案比较</w:t>
      </w:r>
      <w:r>
        <w:t>[19-21]</w:t>
      </w:r>
      <w:r>
        <w:t>。</w:t>
      </w:r>
    </w:p>
    <w:p w14:paraId="5CC0DC88" w14:textId="77777777" w:rsidR="00D76BC3" w:rsidRDefault="00D76BC3" w:rsidP="00D76BC3">
      <w:pPr>
        <w:pStyle w:val="10"/>
        <w:spacing w:after="40"/>
        <w:ind w:firstLine="420"/>
      </w:pPr>
      <w:r>
        <w:t>然而，现有工作在采区规划应用层面仍存在明显不足。其一，钻孔和分层信息本质上属于离散样本和属性集合，如何将其转化为可直接参与空间布置和方案筛选的连续参数场，现有研究讨论仍不充分</w:t>
      </w:r>
      <w:r>
        <w:t>[31-32]</w:t>
      </w:r>
      <w:r>
        <w:t>。其二，地表沉陷、含水层扰动、导水裂隙带发育和上行开采等风险场景具有不同量纲、不同判据和不同分析尺度，多数研究仍聚焦于单一风险场景或单一判据，尚难形成可在规划阶段统一参与方案比较的约束表达</w:t>
      </w:r>
      <w:r>
        <w:t>[33-37,45,49-50]</w:t>
      </w:r>
      <w:r>
        <w:t>。其三，已有布局优化研究多强调某一阶段的几何求解或算法排序，对于规划结果如何继续进入采掘接续组织、参数调控和工程经济评价环节讨论不足，导致</w:t>
      </w:r>
      <w:r>
        <w:t>“</w:t>
      </w:r>
      <w:r>
        <w:t>规划</w:t>
      </w:r>
      <w:r>
        <w:t>—</w:t>
      </w:r>
      <w:r>
        <w:t>校核</w:t>
      </w:r>
      <w:r>
        <w:t>—</w:t>
      </w:r>
      <w:r>
        <w:t>评价</w:t>
      </w:r>
      <w:r>
        <w:t>”</w:t>
      </w:r>
      <w:r>
        <w:t>之间仍存在明显割裂</w:t>
      </w:r>
      <w:r>
        <w:t>[28,46-47]</w:t>
      </w:r>
      <w:r>
        <w:t>。</w:t>
      </w:r>
    </w:p>
    <w:p w14:paraId="6DD93A20" w14:textId="77777777" w:rsidR="00D76BC3" w:rsidRDefault="00D76BC3" w:rsidP="00D76BC3">
      <w:pPr>
        <w:pStyle w:val="10"/>
        <w:spacing w:after="40"/>
        <w:ind w:firstLine="420"/>
      </w:pPr>
      <w:r>
        <w:rPr>
          <w:rFonts w:ascii="宋体" w:eastAsia="宋体" w:hAnsi="宋体"/>
        </w:rPr>
        <w:t>从采区规划的工程语境看，规划对象并不是孤立存在的几何图形，而是受地质条件、保护约束、资源价值和覆岩扰动共同制约的空间决策对象。若仅依据几何可布置性或局部经验进行方案生成，虽然能够快速形成初始布局，但可能忽视高扰动敏感区、资源分布差异和后续接续组织约束，导致规划结果在实施阶段频繁调整；反之，若在布局完成后再进行风险校核和经济评价，又容易造成方案重复迭代、评价口径不一致和中间结果难复用。因此，采区规划亟需一种能够把有效布置域、连续参数场、多场景风险约束和后续评价链路统一起来的方法，使风险控制由事后解释转向前置约束，使布局结果由单阶段输出转变为可持续传递的上游决策对象。</w:t>
      </w:r>
    </w:p>
    <w:p w14:paraId="4197CCF8" w14:textId="77777777" w:rsidR="00D76BC3" w:rsidRDefault="00D76BC3" w:rsidP="00D76BC3">
      <w:pPr>
        <w:pStyle w:val="10"/>
        <w:spacing w:after="40"/>
        <w:ind w:firstLine="420"/>
      </w:pPr>
      <w:r>
        <w:t>基于上述问题，本文提出一种基于覆岩扰动指数（</w:t>
      </w:r>
      <w:r>
        <w:t>overburden disturbance index</w:t>
      </w:r>
      <w:r>
        <w:t>，</w:t>
      </w:r>
      <w:r>
        <w:t>ODI</w:t>
      </w:r>
      <w:r>
        <w:t>）约束的采区候选方案生成与多目标比选方法。与在布局完成后再进行风险校核的串行流程不同，本文将地表沉陷、含水层扰动和上行开采等异构风险前置转化为统一</w:t>
      </w:r>
      <w:r>
        <w:t>ODI</w:t>
      </w:r>
      <w:r>
        <w:t>约束，并在有效布置域、连续参数场和工作面布置对象之间建立可计算映射关系，使风险控制能够参与候选方案生成、筛选和排序过程。</w:t>
      </w:r>
    </w:p>
    <w:p w14:paraId="779F1CEF" w14:textId="77777777" w:rsidR="009330B5" w:rsidRDefault="00D76BC3" w:rsidP="00D76BC3">
      <w:pPr>
        <w:pStyle w:val="10"/>
        <w:spacing w:after="40"/>
        <w:ind w:firstLine="420"/>
      </w:pPr>
      <w:r>
        <w:t>本文的主要贡献为：</w:t>
      </w:r>
      <w:r>
        <w:t>1</w:t>
      </w:r>
      <w:r>
        <w:t>）构建面向采区规划的</w:t>
      </w:r>
      <w:r>
        <w:t>ODI</w:t>
      </w:r>
      <w:r>
        <w:t>统一风险表征方法，明确风险分量归一化、权重聚合、阈值统计和方案级指标计算口径；</w:t>
      </w:r>
      <w:r>
        <w:t>2</w:t>
      </w:r>
      <w:r>
        <w:t>）建立离散钻孔、连续参数场与工作面布局对象之间的规划映射机制，使地质参数能够从点状样本转化为可参与方案生成和评价的空间变量；</w:t>
      </w:r>
      <w:r>
        <w:t>3</w:t>
      </w:r>
      <w:r>
        <w:t>）构建包含工程效率、资源回收与扰动控制目标的候选方案池和排序流程，并通过工程效率优先、资源回收优先、扰动控制优先等方案对比说明</w:t>
      </w:r>
      <w:r>
        <w:t>ODI</w:t>
      </w:r>
      <w:r>
        <w:t>前置约束在方案比选中的作用。本文结果主要用于验证方法链路和对象传递的可行性，不将单一样例扩展为真实矿井条件下的普适最优结论。</w:t>
      </w:r>
    </w:p>
    <w:p w14:paraId="2E25EAAC" w14:textId="77777777" w:rsidR="009330B5" w:rsidRDefault="009330B5">
      <w:pPr>
        <w:spacing w:after="60"/>
        <w:rPr>
          <w:rFonts w:ascii="黑体" w:eastAsia="黑体" w:hAnsi="黑体" w:hint="eastAsia"/>
          <w:b/>
          <w:sz w:val="26"/>
        </w:rPr>
      </w:pPr>
    </w:p>
    <w:p w14:paraId="7FA8870C" w14:textId="77777777" w:rsidR="007E22B6" w:rsidRDefault="00A249E2" w:rsidP="00A046E0">
      <w:pPr>
        <w:pStyle w:val="11"/>
      </w:pPr>
      <w:r>
        <w:rPr>
          <w:rFonts w:ascii="宋体" w:eastAsia="宋体" w:hAnsi="宋体"/>
          <w:sz w:val="21"/>
        </w:rPr>
        <w:t>1 基于覆岩扰动指数约束的采区多目标协同规划方法</w:t>
      </w:r>
    </w:p>
    <w:p w14:paraId="7F51CAE5" w14:textId="77777777" w:rsidR="007E22B6" w:rsidRDefault="00A249E2" w:rsidP="00A046E0">
      <w:pPr>
        <w:pStyle w:val="12"/>
      </w:pPr>
      <w:r>
        <w:rPr>
          <w:sz w:val="21"/>
        </w:rPr>
        <w:t xml:space="preserve">1.1 </w:t>
      </w:r>
      <w:r>
        <w:rPr>
          <w:sz w:val="21"/>
        </w:rPr>
        <w:t>面向采区规划的</w:t>
      </w:r>
      <w:r>
        <w:rPr>
          <w:sz w:val="21"/>
        </w:rPr>
        <w:t xml:space="preserve"> ODI </w:t>
      </w:r>
      <w:r>
        <w:rPr>
          <w:sz w:val="21"/>
        </w:rPr>
        <w:t>风险约束定义</w:t>
      </w:r>
    </w:p>
    <w:p w14:paraId="7FE1B6FD" w14:textId="77777777" w:rsidR="00E05130" w:rsidRPr="00E05130" w:rsidRDefault="009330B5" w:rsidP="00E05130">
      <w:pPr>
        <w:pStyle w:val="10"/>
        <w:spacing w:after="40"/>
        <w:ind w:firstLine="420"/>
      </w:pPr>
      <w:r>
        <w:t>采区规划中的覆岩扰动风险并非由单一物理量决定，而是由地表沉陷、含水层扰动、上行开采安全性以及局部地质采矿条件共同作用形成。已有关于导水裂隙带高度、关键层控制、覆岩破坏充分采动程度、含水层富水性和保水采煤的研究表明，风险判据往往与岩层结构、采高、工作面尺度、含水层位置及水文地质条件共同相关</w:t>
      </w:r>
      <w:r>
        <w:t>[33-37,41,45,49-50]</w:t>
      </w:r>
      <w:r>
        <w:t>。不同风险场景的原始量纲、判据和空间尺度存在差异，若分别以各自阈值进入规划过程，容易造成约束口径不统一和方案比较困难。本文不把</w:t>
      </w:r>
      <w:r>
        <w:t>ODI</w:t>
      </w:r>
      <w:r>
        <w:t>定义为新的覆岩力学机理参数，而将其作为面向采区规划的统一风险表征指标，用于把多场景风险转化为可参与候选方案筛选和排序的无量纲统计量。</w:t>
      </w:r>
    </w:p>
    <w:p w14:paraId="1135F53C" w14:textId="77777777" w:rsidR="00195275" w:rsidRDefault="00DC435D">
      <w:pPr>
        <w:jc w:val="center"/>
      </w:pPr>
      <w:r>
        <w:rPr>
          <w:rFonts w:ascii="宋体" w:eastAsia="宋体" w:hAnsi="宋体"/>
          <w:noProof/>
        </w:rPr>
        <w:drawing>
          <wp:inline distT="0" distB="0" distL="0" distR="0" wp14:anchorId="391C9EBB" wp14:editId="60147B32">
            <wp:extent cx="2788920" cy="1367898"/>
            <wp:effectExtent l="0" t="0" r="0" b="3810"/>
            <wp:docPr id="246318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88920" cy="1367898"/>
                    </a:xfrm>
                    <a:prstGeom prst="rect">
                      <a:avLst/>
                    </a:prstGeom>
                    <a:noFill/>
                    <a:ln>
                      <a:noFill/>
                    </a:ln>
                  </pic:spPr>
                </pic:pic>
              </a:graphicData>
            </a:graphic>
          </wp:inline>
        </w:drawing>
      </w:r>
    </w:p>
    <w:p w14:paraId="5E0DB2DF" w14:textId="77777777" w:rsidR="00195275" w:rsidRDefault="00A249E2">
      <w:pPr>
        <w:pStyle w:val="14"/>
      </w:pPr>
      <w:r>
        <w:t>图</w:t>
      </w:r>
      <w:r>
        <w:t>1 ODI</w:t>
      </w:r>
      <w:r>
        <w:t>风险约束逻辑示意图</w:t>
      </w:r>
      <w:r>
        <w:br/>
        <w:t>Fig.1 Schematic diagram of the ODI risk-constraint logic</w:t>
      </w:r>
    </w:p>
    <w:p w14:paraId="4E93F811" w14:textId="77777777" w:rsidR="00E05130" w:rsidRDefault="009330B5" w:rsidP="00E05130">
      <w:pPr>
        <w:pStyle w:val="10"/>
        <w:spacing w:after="40"/>
        <w:ind w:firstLine="420"/>
      </w:pPr>
      <w:r>
        <w:t>设规划域为</w:t>
      </w:r>
      <w:r>
        <w:t>Ω</w:t>
      </w:r>
      <w:r>
        <w:t>，任意位置</w:t>
      </w:r>
      <w:r>
        <w:t>x</w:t>
      </w:r>
      <w:r>
        <w:t>处的风险分量包括地表沉陷扰动</w:t>
      </w:r>
      <w:r>
        <w:t>D_s(x)</w:t>
      </w:r>
      <w:r>
        <w:t>、含水层扰动</w:t>
      </w:r>
      <w:r>
        <w:t>D_a(x)</w:t>
      </w:r>
      <w:r>
        <w:t>和上行开采扰动</w:t>
      </w:r>
      <w:r>
        <w:t>D_u(x)</w:t>
      </w:r>
      <w:r>
        <w:t>。各分量均归一化到</w:t>
      </w:r>
      <w:r>
        <w:t>[0,1]</w:t>
      </w:r>
      <w:r>
        <w:t>区间，数值越大表示扰动风险越高，则</w:t>
      </w:r>
      <w:r>
        <w:t>ODI</w:t>
      </w:r>
      <w:r>
        <w:t>定义为</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04"/>
        <w:gridCol w:w="7992"/>
        <w:gridCol w:w="936"/>
      </w:tblGrid>
      <w:tr w:rsidR="00D24CB0" w14:paraId="33BB7F10" w14:textId="77777777">
        <w:trPr>
          <w:jc w:val="center"/>
        </w:trPr>
        <w:tc>
          <w:tcPr>
            <w:tcW w:w="504" w:type="dxa"/>
            <w:vAlign w:val="center"/>
          </w:tcPr>
          <w:p w14:paraId="1DA082F6" w14:textId="77777777" w:rsidR="00D24CB0" w:rsidRDefault="00D24CB0">
            <w:pPr>
              <w:spacing w:before="0" w:after="0"/>
            </w:pPr>
          </w:p>
        </w:tc>
        <w:tc>
          <w:tcPr>
            <w:tcW w:w="7992" w:type="dxa"/>
            <w:vAlign w:val="center"/>
          </w:tcPr>
          <w:p w14:paraId="31CCE897" w14:textId="46A489D5" w:rsidR="00D24CB0" w:rsidRDefault="0034260F">
            <w:pPr>
              <w:spacing w:before="0" w:after="0"/>
              <w:jc w:val="center"/>
            </w:pPr>
            <m:oMathPara>
              <m:oMath>
                <m:r>
                  <w:rPr>
                    <w:rFonts w:ascii="Cambria Math" w:eastAsia="Cambria Math" w:hAnsi="Cambria Math"/>
                    <w:sz w:val="21"/>
                  </w:rPr>
                  <m:t>ODI</m:t>
                </m:r>
                <m:d>
                  <m:dPr>
                    <m:ctrlPr>
                      <w:rPr>
                        <w:rFonts w:ascii="Cambria Math" w:eastAsia="Cambria Math" w:hAnsi="Cambria Math"/>
                        <w:i/>
                        <w:sz w:val="21"/>
                      </w:rPr>
                    </m:ctrlPr>
                  </m:dPr>
                  <m:e>
                    <m:r>
                      <w:rPr>
                        <w:rFonts w:ascii="Cambria Math" w:eastAsia="Cambria Math" w:hAnsi="Cambria Math"/>
                        <w:sz w:val="21"/>
                      </w:rPr>
                      <m:t>x</m:t>
                    </m:r>
                  </m:e>
                </m:d>
                <m:r>
                  <w:rPr>
                    <w:rFonts w:ascii="Cambria Math" w:eastAsia="Cambria Math" w:hAnsi="Cambria Math"/>
                    <w:sz w:val="21"/>
                  </w:rPr>
                  <m:t>=</m:t>
                </m:r>
                <m:sSub>
                  <m:sSubPr>
                    <m:ctrlPr>
                      <w:rPr>
                        <w:rFonts w:ascii="Cambria Math" w:eastAsia="Cambria Math" w:hAnsi="Cambria Math"/>
                        <w:i/>
                        <w:sz w:val="21"/>
                      </w:rPr>
                    </m:ctrlPr>
                  </m:sSubPr>
                  <m:e>
                    <m:r>
                      <w:rPr>
                        <w:rFonts w:ascii="Cambria Math" w:eastAsia="Cambria Math" w:hAnsi="Cambria Math"/>
                        <w:sz w:val="21"/>
                      </w:rPr>
                      <m:t>w</m:t>
                    </m:r>
                  </m:e>
                  <m:sub>
                    <m:r>
                      <w:rPr>
                        <w:rFonts w:ascii="Cambria Math" w:eastAsia="Cambria Math" w:hAnsi="Cambria Math"/>
                        <w:sz w:val="21"/>
                      </w:rPr>
                      <m:t>s</m:t>
                    </m:r>
                    <m:sSub>
                      <m:sSubPr>
                        <m:ctrlPr>
                          <w:rPr>
                            <w:rFonts w:ascii="Cambria Math" w:eastAsia="Cambria Math" w:hAnsi="Cambria Math"/>
                            <w:i/>
                            <w:sz w:val="21"/>
                          </w:rPr>
                        </m:ctrlPr>
                      </m:sSubPr>
                      <m:e>
                        <m:r>
                          <w:rPr>
                            <w:rFonts w:ascii="Cambria Math" w:eastAsia="Cambria Math" w:hAnsi="Cambria Math"/>
                            <w:sz w:val="21"/>
                          </w:rPr>
                          <m:t>D</m:t>
                        </m:r>
                      </m:e>
                      <m:sub>
                        <m:r>
                          <w:rPr>
                            <w:rFonts w:ascii="Cambria Math" w:eastAsia="Cambria Math" w:hAnsi="Cambria Math"/>
                            <w:sz w:val="21"/>
                          </w:rPr>
                          <m:t>s</m:t>
                        </m:r>
                        <m:d>
                          <m:dPr>
                            <m:ctrlPr>
                              <w:rPr>
                                <w:rFonts w:ascii="Cambria Math" w:eastAsia="Cambria Math" w:hAnsi="Cambria Math"/>
                                <w:i/>
                                <w:sz w:val="21"/>
                              </w:rPr>
                            </m:ctrlPr>
                          </m:dPr>
                          <m:e>
                            <m:r>
                              <w:rPr>
                                <w:rFonts w:ascii="Cambria Math" w:eastAsia="Cambria Math" w:hAnsi="Cambria Math"/>
                                <w:sz w:val="21"/>
                              </w:rPr>
                              <m:t>x</m:t>
                            </m:r>
                          </m:e>
                        </m:d>
                      </m:sub>
                    </m:sSub>
                  </m:sub>
                </m:sSub>
                <m:r>
                  <w:rPr>
                    <w:rFonts w:ascii="Cambria Math" w:eastAsia="Cambria Math" w:hAnsi="Cambria Math"/>
                    <w:sz w:val="21"/>
                  </w:rPr>
                  <m:t>+</m:t>
                </m:r>
                <m:sSub>
                  <m:sSubPr>
                    <m:ctrlPr>
                      <w:rPr>
                        <w:rFonts w:ascii="Cambria Math" w:eastAsia="Cambria Math" w:hAnsi="Cambria Math"/>
                        <w:i/>
                        <w:sz w:val="21"/>
                      </w:rPr>
                    </m:ctrlPr>
                  </m:sSubPr>
                  <m:e>
                    <m:r>
                      <w:rPr>
                        <w:rFonts w:ascii="Cambria Math" w:eastAsia="Cambria Math" w:hAnsi="Cambria Math"/>
                        <w:sz w:val="21"/>
                      </w:rPr>
                      <m:t>w</m:t>
                    </m:r>
                  </m:e>
                  <m:sub>
                    <m:r>
                      <w:rPr>
                        <w:rFonts w:ascii="Cambria Math" w:eastAsia="Cambria Math" w:hAnsi="Cambria Math"/>
                        <w:sz w:val="21"/>
                      </w:rPr>
                      <m:t>a</m:t>
                    </m:r>
                    <m:sSub>
                      <m:sSubPr>
                        <m:ctrlPr>
                          <w:rPr>
                            <w:rFonts w:ascii="Cambria Math" w:eastAsia="Cambria Math" w:hAnsi="Cambria Math"/>
                            <w:i/>
                            <w:sz w:val="21"/>
                          </w:rPr>
                        </m:ctrlPr>
                      </m:sSubPr>
                      <m:e>
                        <m:r>
                          <w:rPr>
                            <w:rFonts w:ascii="Cambria Math" w:eastAsia="Cambria Math" w:hAnsi="Cambria Math"/>
                            <w:sz w:val="21"/>
                          </w:rPr>
                          <m:t>D</m:t>
                        </m:r>
                      </m:e>
                      <m:sub>
                        <m:r>
                          <w:rPr>
                            <w:rFonts w:ascii="Cambria Math" w:eastAsia="Cambria Math" w:hAnsi="Cambria Math"/>
                            <w:sz w:val="21"/>
                          </w:rPr>
                          <m:t>a</m:t>
                        </m:r>
                        <m:d>
                          <m:dPr>
                            <m:ctrlPr>
                              <w:rPr>
                                <w:rFonts w:ascii="Cambria Math" w:eastAsia="Cambria Math" w:hAnsi="Cambria Math"/>
                                <w:i/>
                                <w:sz w:val="21"/>
                              </w:rPr>
                            </m:ctrlPr>
                          </m:dPr>
                          <m:e>
                            <m:r>
                              <w:rPr>
                                <w:rFonts w:ascii="Cambria Math" w:eastAsia="Cambria Math" w:hAnsi="Cambria Math"/>
                                <w:sz w:val="21"/>
                              </w:rPr>
                              <m:t>x</m:t>
                            </m:r>
                          </m:e>
                        </m:d>
                      </m:sub>
                    </m:sSub>
                  </m:sub>
                </m:sSub>
                <m:r>
                  <w:rPr>
                    <w:rFonts w:ascii="Cambria Math" w:eastAsia="Cambria Math" w:hAnsi="Cambria Math"/>
                    <w:sz w:val="21"/>
                  </w:rPr>
                  <m:t>+</m:t>
                </m:r>
                <m:sSub>
                  <m:sSubPr>
                    <m:ctrlPr>
                      <w:rPr>
                        <w:rFonts w:ascii="Cambria Math" w:eastAsia="Cambria Math" w:hAnsi="Cambria Math"/>
                        <w:i/>
                        <w:sz w:val="21"/>
                      </w:rPr>
                    </m:ctrlPr>
                  </m:sSubPr>
                  <m:e>
                    <m:r>
                      <w:rPr>
                        <w:rFonts w:ascii="Cambria Math" w:eastAsia="Cambria Math" w:hAnsi="Cambria Math"/>
                        <w:sz w:val="21"/>
                      </w:rPr>
                      <m:t>w</m:t>
                    </m:r>
                  </m:e>
                  <m:sub>
                    <m:r>
                      <w:rPr>
                        <w:rFonts w:ascii="Cambria Math" w:eastAsia="Cambria Math" w:hAnsi="Cambria Math"/>
                        <w:sz w:val="21"/>
                      </w:rPr>
                      <m:t>u</m:t>
                    </m:r>
                    <m:sSub>
                      <m:sSubPr>
                        <m:ctrlPr>
                          <w:rPr>
                            <w:rFonts w:ascii="Cambria Math" w:eastAsia="Cambria Math" w:hAnsi="Cambria Math"/>
                            <w:i/>
                            <w:sz w:val="21"/>
                          </w:rPr>
                        </m:ctrlPr>
                      </m:sSubPr>
                      <m:e>
                        <m:r>
                          <w:rPr>
                            <w:rFonts w:ascii="Cambria Math" w:eastAsia="Cambria Math" w:hAnsi="Cambria Math"/>
                            <w:sz w:val="21"/>
                          </w:rPr>
                          <m:t>D</m:t>
                        </m:r>
                      </m:e>
                      <m:sub>
                        <m:r>
                          <w:rPr>
                            <w:rFonts w:ascii="Cambria Math" w:eastAsia="Cambria Math" w:hAnsi="Cambria Math"/>
                            <w:sz w:val="21"/>
                          </w:rPr>
                          <m:t>u</m:t>
                        </m:r>
                        <m:d>
                          <m:dPr>
                            <m:ctrlPr>
                              <w:rPr>
                                <w:rFonts w:ascii="Cambria Math" w:eastAsia="Cambria Math" w:hAnsi="Cambria Math"/>
                                <w:i/>
                                <w:sz w:val="21"/>
                              </w:rPr>
                            </m:ctrlPr>
                          </m:dPr>
                          <m:e>
                            <m:r>
                              <w:rPr>
                                <w:rFonts w:ascii="Cambria Math" w:eastAsia="Cambria Math" w:hAnsi="Cambria Math"/>
                                <w:sz w:val="21"/>
                              </w:rPr>
                              <m:t>x</m:t>
                            </m:r>
                          </m:e>
                        </m:d>
                      </m:sub>
                    </m:sSub>
                  </m:sub>
                </m:sSub>
              </m:oMath>
            </m:oMathPara>
          </w:p>
        </w:tc>
        <w:tc>
          <w:tcPr>
            <w:tcW w:w="936" w:type="dxa"/>
            <w:vAlign w:val="center"/>
          </w:tcPr>
          <w:p w14:paraId="1D03BECD" w14:textId="77777777" w:rsidR="00D24CB0" w:rsidRDefault="00691361">
            <w:pPr>
              <w:spacing w:before="0" w:after="0"/>
              <w:jc w:val="right"/>
            </w:pPr>
            <w:r>
              <w:rPr>
                <w:rFonts w:eastAsia="Times New Roman"/>
                <w:sz w:val="21"/>
              </w:rPr>
              <w:t>（1）</w:t>
            </w:r>
          </w:p>
        </w:tc>
      </w:tr>
    </w:tbl>
    <w:p w14:paraId="3B065251" w14:textId="77777777" w:rsidR="00E05130" w:rsidRDefault="00E05130" w:rsidP="009330B5">
      <w:pPr>
        <w:pStyle w:val="10"/>
        <w:spacing w:after="40"/>
        <w:ind w:firstLine="420"/>
      </w:pPr>
      <w:r>
        <w:t>其中权重满足</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04"/>
        <w:gridCol w:w="7992"/>
        <w:gridCol w:w="936"/>
      </w:tblGrid>
      <w:tr w:rsidR="00D24CB0" w14:paraId="0DA78378" w14:textId="77777777">
        <w:trPr>
          <w:jc w:val="center"/>
        </w:trPr>
        <w:tc>
          <w:tcPr>
            <w:tcW w:w="504" w:type="dxa"/>
            <w:vAlign w:val="center"/>
          </w:tcPr>
          <w:p w14:paraId="7C90CE88" w14:textId="77777777" w:rsidR="00D24CB0" w:rsidRDefault="00D24CB0">
            <w:pPr>
              <w:spacing w:before="0" w:after="0"/>
            </w:pPr>
          </w:p>
        </w:tc>
        <w:tc>
          <w:tcPr>
            <w:tcW w:w="7992" w:type="dxa"/>
            <w:vAlign w:val="center"/>
          </w:tcPr>
          <w:p w14:paraId="5A5020D4" w14:textId="3AB0EC9C" w:rsidR="00D24CB0" w:rsidRDefault="0034260F">
            <w:pPr>
              <w:spacing w:before="0" w:after="0"/>
              <w:jc w:val="center"/>
            </w:pPr>
            <m:oMathPara>
              <m:oMath>
                <m:sSub>
                  <m:sSubPr>
                    <m:ctrlPr>
                      <w:rPr>
                        <w:rFonts w:ascii="Cambria Math" w:eastAsia="Cambria Math" w:hAnsi="Cambria Math"/>
                        <w:i/>
                        <w:sz w:val="21"/>
                      </w:rPr>
                    </m:ctrlPr>
                  </m:sSubPr>
                  <m:e>
                    <m:r>
                      <w:rPr>
                        <w:rFonts w:ascii="Cambria Math" w:eastAsia="Cambria Math" w:hAnsi="Cambria Math"/>
                        <w:sz w:val="21"/>
                      </w:rPr>
                      <m:t>w</m:t>
                    </m:r>
                  </m:e>
                  <m:sub>
                    <m:r>
                      <w:rPr>
                        <w:rFonts w:ascii="Cambria Math" w:eastAsia="Cambria Math" w:hAnsi="Cambria Math"/>
                        <w:sz w:val="21"/>
                      </w:rPr>
                      <m:t>s</m:t>
                    </m:r>
                  </m:sub>
                </m:sSub>
                <m:r>
                  <w:rPr>
                    <w:rFonts w:ascii="Cambria Math" w:eastAsia="Cambria Math" w:hAnsi="Cambria Math"/>
                    <w:sz w:val="21"/>
                  </w:rPr>
                  <m:t>+</m:t>
                </m:r>
                <m:sSub>
                  <m:sSubPr>
                    <m:ctrlPr>
                      <w:rPr>
                        <w:rFonts w:ascii="Cambria Math" w:eastAsia="Cambria Math" w:hAnsi="Cambria Math"/>
                        <w:i/>
                        <w:sz w:val="21"/>
                      </w:rPr>
                    </m:ctrlPr>
                  </m:sSubPr>
                  <m:e>
                    <m:r>
                      <w:rPr>
                        <w:rFonts w:ascii="Cambria Math" w:eastAsia="Cambria Math" w:hAnsi="Cambria Math"/>
                        <w:sz w:val="21"/>
                      </w:rPr>
                      <m:t>w</m:t>
                    </m:r>
                  </m:e>
                  <m:sub>
                    <m:r>
                      <w:rPr>
                        <w:rFonts w:ascii="Cambria Math" w:eastAsia="Cambria Math" w:hAnsi="Cambria Math"/>
                        <w:sz w:val="21"/>
                      </w:rPr>
                      <m:t>a</m:t>
                    </m:r>
                  </m:sub>
                </m:sSub>
                <m:r>
                  <w:rPr>
                    <w:rFonts w:ascii="Cambria Math" w:eastAsia="Cambria Math" w:hAnsi="Cambria Math"/>
                    <w:sz w:val="21"/>
                  </w:rPr>
                  <m:t>+</m:t>
                </m:r>
                <m:sSub>
                  <m:sSubPr>
                    <m:ctrlPr>
                      <w:rPr>
                        <w:rFonts w:ascii="Cambria Math" w:eastAsia="Cambria Math" w:hAnsi="Cambria Math"/>
                        <w:i/>
                        <w:sz w:val="21"/>
                      </w:rPr>
                    </m:ctrlPr>
                  </m:sSubPr>
                  <m:e>
                    <m:r>
                      <w:rPr>
                        <w:rFonts w:ascii="Cambria Math" w:eastAsia="Cambria Math" w:hAnsi="Cambria Math"/>
                        <w:sz w:val="21"/>
                      </w:rPr>
                      <m:t>w</m:t>
                    </m:r>
                  </m:e>
                  <m:sub>
                    <m:r>
                      <w:rPr>
                        <w:rFonts w:ascii="Cambria Math" w:eastAsia="Cambria Math" w:hAnsi="Cambria Math"/>
                        <w:sz w:val="21"/>
                      </w:rPr>
                      <m:t>u</m:t>
                    </m:r>
                  </m:sub>
                </m:sSub>
                <m:r>
                  <w:rPr>
                    <w:rFonts w:ascii="Cambria Math" w:eastAsia="Cambria Math" w:hAnsi="Cambria Math"/>
                    <w:sz w:val="21"/>
                  </w:rPr>
                  <m:t>=1</m:t>
                </m:r>
                <m:r>
                  <w:rPr>
                    <w:rFonts w:ascii="宋体" w:eastAsia="宋体" w:hAnsi="宋体" w:cs="宋体" w:hint="eastAsia"/>
                    <w:sz w:val="21"/>
                  </w:rPr>
                  <m:t>，</m:t>
                </m:r>
                <m:sSub>
                  <m:sSubPr>
                    <m:ctrlPr>
                      <w:rPr>
                        <w:rFonts w:ascii="Cambria Math" w:eastAsia="Cambria Math" w:hAnsi="Cambria Math"/>
                        <w:i/>
                        <w:sz w:val="21"/>
                      </w:rPr>
                    </m:ctrlPr>
                  </m:sSubPr>
                  <m:e>
                    <m:r>
                      <w:rPr>
                        <w:rFonts w:ascii="Cambria Math" w:eastAsia="Cambria Math" w:hAnsi="Cambria Math"/>
                        <w:sz w:val="21"/>
                      </w:rPr>
                      <m:t>w</m:t>
                    </m:r>
                    <m:ctrlPr>
                      <w:rPr>
                        <w:rFonts w:ascii="Cambria Math" w:eastAsia="宋体" w:hAnsi="Cambria Math" w:cs="宋体"/>
                        <w:i/>
                        <w:sz w:val="21"/>
                      </w:rPr>
                    </m:ctrlPr>
                  </m:e>
                  <m:sub>
                    <m:r>
                      <w:rPr>
                        <w:rFonts w:ascii="Cambria Math" w:eastAsia="Cambria Math" w:hAnsi="Cambria Math"/>
                        <w:sz w:val="21"/>
                      </w:rPr>
                      <m:t>s</m:t>
                    </m:r>
                  </m:sub>
                </m:sSub>
                <m:r>
                  <w:rPr>
                    <w:rFonts w:ascii="Cambria Math" w:eastAsia="Cambria Math" w:hAnsi="Cambria Math"/>
                    <w:sz w:val="21"/>
                  </w:rPr>
                  <m:t>≥0</m:t>
                </m:r>
                <m:r>
                  <w:rPr>
                    <w:rFonts w:ascii="宋体" w:eastAsia="宋体" w:hAnsi="宋体" w:cs="宋体" w:hint="eastAsia"/>
                    <w:sz w:val="21"/>
                  </w:rPr>
                  <m:t>，</m:t>
                </m:r>
                <m:sSub>
                  <m:sSubPr>
                    <m:ctrlPr>
                      <w:rPr>
                        <w:rFonts w:ascii="Cambria Math" w:eastAsia="Cambria Math" w:hAnsi="Cambria Math"/>
                        <w:i/>
                        <w:sz w:val="21"/>
                      </w:rPr>
                    </m:ctrlPr>
                  </m:sSubPr>
                  <m:e>
                    <m:r>
                      <w:rPr>
                        <w:rFonts w:ascii="Cambria Math" w:eastAsia="Cambria Math" w:hAnsi="Cambria Math"/>
                        <w:sz w:val="21"/>
                      </w:rPr>
                      <m:t>w</m:t>
                    </m:r>
                    <m:ctrlPr>
                      <w:rPr>
                        <w:rFonts w:ascii="Cambria Math" w:eastAsia="宋体" w:hAnsi="Cambria Math" w:cs="宋体"/>
                        <w:i/>
                        <w:sz w:val="21"/>
                      </w:rPr>
                    </m:ctrlPr>
                  </m:e>
                  <m:sub>
                    <m:r>
                      <w:rPr>
                        <w:rFonts w:ascii="Cambria Math" w:eastAsia="Cambria Math" w:hAnsi="Cambria Math"/>
                        <w:sz w:val="21"/>
                      </w:rPr>
                      <m:t>a</m:t>
                    </m:r>
                  </m:sub>
                </m:sSub>
                <m:r>
                  <w:rPr>
                    <w:rFonts w:ascii="Cambria Math" w:eastAsia="Cambria Math" w:hAnsi="Cambria Math"/>
                    <w:sz w:val="21"/>
                  </w:rPr>
                  <m:t>≥0</m:t>
                </m:r>
                <m:r>
                  <w:rPr>
                    <w:rFonts w:ascii="宋体" w:eastAsia="宋体" w:hAnsi="宋体" w:cs="宋体" w:hint="eastAsia"/>
                    <w:sz w:val="21"/>
                  </w:rPr>
                  <m:t>，</m:t>
                </m:r>
                <m:sSub>
                  <m:sSubPr>
                    <m:ctrlPr>
                      <w:rPr>
                        <w:rFonts w:ascii="Cambria Math" w:eastAsia="Cambria Math" w:hAnsi="Cambria Math"/>
                        <w:i/>
                        <w:sz w:val="21"/>
                      </w:rPr>
                    </m:ctrlPr>
                  </m:sSubPr>
                  <m:e>
                    <m:r>
                      <w:rPr>
                        <w:rFonts w:ascii="Cambria Math" w:eastAsia="Cambria Math" w:hAnsi="Cambria Math"/>
                        <w:sz w:val="21"/>
                      </w:rPr>
                      <m:t>w</m:t>
                    </m:r>
                    <m:ctrlPr>
                      <w:rPr>
                        <w:rFonts w:ascii="Cambria Math" w:eastAsia="宋体" w:hAnsi="Cambria Math" w:cs="宋体"/>
                        <w:i/>
                        <w:sz w:val="21"/>
                      </w:rPr>
                    </m:ctrlPr>
                  </m:e>
                  <m:sub>
                    <m:r>
                      <w:rPr>
                        <w:rFonts w:ascii="Cambria Math" w:eastAsia="Cambria Math" w:hAnsi="Cambria Math"/>
                        <w:sz w:val="21"/>
                      </w:rPr>
                      <m:t>u</m:t>
                    </m:r>
                  </m:sub>
                </m:sSub>
                <m:r>
                  <w:rPr>
                    <w:rFonts w:ascii="Cambria Math" w:eastAsia="Cambria Math" w:hAnsi="Cambria Math"/>
                    <w:sz w:val="21"/>
                  </w:rPr>
                  <m:t>≥0</m:t>
                </m:r>
              </m:oMath>
            </m:oMathPara>
          </w:p>
        </w:tc>
        <w:tc>
          <w:tcPr>
            <w:tcW w:w="936" w:type="dxa"/>
            <w:vAlign w:val="center"/>
          </w:tcPr>
          <w:p w14:paraId="4F0854BC" w14:textId="77777777" w:rsidR="00D24CB0" w:rsidRDefault="00691361">
            <w:pPr>
              <w:spacing w:before="0" w:after="0"/>
              <w:jc w:val="right"/>
            </w:pPr>
            <w:r>
              <w:rPr>
                <w:rFonts w:eastAsia="Times New Roman"/>
                <w:sz w:val="21"/>
              </w:rPr>
              <w:t>（2）</w:t>
            </w:r>
          </w:p>
        </w:tc>
      </w:tr>
    </w:tbl>
    <w:p w14:paraId="6E6B5DE5" w14:textId="77777777" w:rsidR="009330B5" w:rsidRPr="009330B5" w:rsidRDefault="009330B5" w:rsidP="009330B5">
      <w:pPr>
        <w:pStyle w:val="10"/>
        <w:spacing w:after="40"/>
        <w:ind w:firstLine="420"/>
      </w:pPr>
      <w:r>
        <w:t>式中，</w:t>
      </w:r>
      <w:r>
        <w:t>w_s</w:t>
      </w:r>
      <w:r>
        <w:t>、</w:t>
      </w:r>
      <w:r>
        <w:t>w_a</w:t>
      </w:r>
      <w:r>
        <w:t>和</w:t>
      </w:r>
      <w:r>
        <w:t>w_u</w:t>
      </w:r>
      <w:r>
        <w:t>分别为地表沉陷、含水层扰动和上行开采分量权重。本文采用</w:t>
      </w:r>
      <w:r>
        <w:t>“</w:t>
      </w:r>
      <w:r>
        <w:t>场景目标驱动的专家规则赋权</w:t>
      </w:r>
      <w:r>
        <w:t>+</w:t>
      </w:r>
      <w:r>
        <w:t>敏感性校核</w:t>
      </w:r>
      <w:r>
        <w:t>”</w:t>
      </w:r>
      <w:r>
        <w:t>的确定方式，而不把权重解释为已完成现场统计标定的经验常数。综合规划基准权重取</w:t>
      </w:r>
      <w:r>
        <w:t>0.45/0.30/0.25</w:t>
      </w:r>
      <w:r>
        <w:t>，强调一般采区规划中地表沉陷控制、含水层扰动控制和上行开采扰动控制的综合平衡；含水层专项场景权重取</w:t>
      </w:r>
      <w:r>
        <w:t>0.15/0.25/0.60</w:t>
      </w:r>
      <w:r>
        <w:t>，用于检验当覆岩导水裂隙带发育及含水层保护约束被强化时，方案排序是否发生方向性改变。为避免</w:t>
      </w:r>
      <w:r>
        <w:t>“ODI”</w:t>
      </w:r>
      <w:r>
        <w:t>与子项语义重叠，本文不再使用</w:t>
      </w:r>
      <w:r>
        <w:t>“</w:t>
      </w:r>
      <w:r>
        <w:t>覆岩扰动分量</w:t>
      </w:r>
      <w:r>
        <w:t>”</w:t>
      </w:r>
      <w:r>
        <w:t>作为子指标名称，而以具体风险场景命名各分量。因此，本文给出的权重属于规划阶段的可复核假设，后续工程应用需结合矿区历史沉陷、水文地质观测和保护对象等级重新标定。</w:t>
      </w:r>
    </w:p>
    <w:p w14:paraId="27FE0916" w14:textId="77777777" w:rsidR="009330B5" w:rsidRDefault="009330B5" w:rsidP="009330B5">
      <w:pPr>
        <w:pStyle w:val="10"/>
        <w:spacing w:after="40"/>
        <w:ind w:firstLine="420"/>
      </w:pPr>
      <w:r>
        <w:t>对原始指标</w:t>
      </w:r>
      <w:r>
        <w:t>X_i(x)</w:t>
      </w:r>
      <w:r>
        <w:t>，正向风险指标按式（</w:t>
      </w:r>
      <w:r>
        <w:t>3</w:t>
      </w:r>
      <w:r>
        <w:t>）归一化，逆向风险指标按式（</w:t>
      </w:r>
      <w:r>
        <w:t>4</w:t>
      </w:r>
      <w:r>
        <w:t>）归一化；当工程经验或规范给出上下限时，优先采用工程阈值作为</w:t>
      </w:r>
      <w:r>
        <w:t>X_i,min</w:t>
      </w:r>
      <w:r>
        <w:t>和</w:t>
      </w:r>
      <w:r>
        <w:t>X_i,max</w:t>
      </w:r>
      <w:r>
        <w:t>，否则采用同一研究区同一场景下的样本范围。</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04"/>
        <w:gridCol w:w="7992"/>
        <w:gridCol w:w="936"/>
      </w:tblGrid>
      <w:tr w:rsidR="00D24CB0" w14:paraId="7F6427FD" w14:textId="77777777">
        <w:trPr>
          <w:jc w:val="center"/>
        </w:trPr>
        <w:tc>
          <w:tcPr>
            <w:tcW w:w="504" w:type="dxa"/>
            <w:vAlign w:val="center"/>
          </w:tcPr>
          <w:p w14:paraId="57AF643D" w14:textId="77777777" w:rsidR="00D24CB0" w:rsidRDefault="00D24CB0">
            <w:pPr>
              <w:spacing w:before="0" w:after="0"/>
            </w:pPr>
          </w:p>
        </w:tc>
        <w:tc>
          <w:tcPr>
            <w:tcW w:w="7992" w:type="dxa"/>
            <w:vAlign w:val="center"/>
          </w:tcPr>
          <w:p w14:paraId="7EA54A6E" w14:textId="77777777" w:rsidR="00D24CB0" w:rsidRDefault="00691361">
            <w:pPr>
              <w:spacing w:before="0" w:after="0"/>
              <w:jc w:val="center"/>
            </w:pPr>
            <w:r>
              <w:rPr>
                <w:rFonts w:ascii="Cambria Math" w:eastAsia="Cambria Math" w:hAnsi="Cambria Math"/>
                <w:sz w:val="21"/>
              </w:rPr>
              <w:t>X_i'(x)=[X_i(x)-X_i,min]/[X_i,max-X_i,min]</w:t>
            </w:r>
          </w:p>
        </w:tc>
        <w:tc>
          <w:tcPr>
            <w:tcW w:w="936" w:type="dxa"/>
            <w:vAlign w:val="center"/>
          </w:tcPr>
          <w:p w14:paraId="262548BC" w14:textId="77777777" w:rsidR="00D24CB0" w:rsidRDefault="00691361">
            <w:pPr>
              <w:spacing w:before="0" w:after="0"/>
              <w:jc w:val="right"/>
            </w:pPr>
            <w:r>
              <w:rPr>
                <w:rFonts w:eastAsia="Times New Roman"/>
                <w:sz w:val="21"/>
              </w:rPr>
              <w:t>（3）</w:t>
            </w:r>
          </w:p>
        </w:tc>
      </w:tr>
      <w:tr w:rsidR="00D24CB0" w14:paraId="6E091203" w14:textId="77777777">
        <w:trPr>
          <w:jc w:val="center"/>
        </w:trPr>
        <w:tc>
          <w:tcPr>
            <w:tcW w:w="504" w:type="dxa"/>
            <w:vAlign w:val="center"/>
          </w:tcPr>
          <w:p w14:paraId="405F10FE" w14:textId="77777777" w:rsidR="00D24CB0" w:rsidRDefault="00D24CB0">
            <w:pPr>
              <w:spacing w:before="0" w:after="0"/>
            </w:pPr>
          </w:p>
        </w:tc>
        <w:tc>
          <w:tcPr>
            <w:tcW w:w="7992" w:type="dxa"/>
            <w:vAlign w:val="center"/>
          </w:tcPr>
          <w:p w14:paraId="1A1BB253" w14:textId="77777777" w:rsidR="00D24CB0" w:rsidRDefault="00691361">
            <w:pPr>
              <w:spacing w:before="0" w:after="0"/>
              <w:jc w:val="center"/>
            </w:pPr>
            <w:r>
              <w:rPr>
                <w:rFonts w:ascii="Cambria Math" w:eastAsia="Cambria Math" w:hAnsi="Cambria Math"/>
                <w:sz w:val="21"/>
              </w:rPr>
              <w:t>X_i'(x)=[X_i,max-X_i(x)]/[X_i,max-X_i,min]</w:t>
            </w:r>
          </w:p>
        </w:tc>
        <w:tc>
          <w:tcPr>
            <w:tcW w:w="936" w:type="dxa"/>
            <w:vAlign w:val="center"/>
          </w:tcPr>
          <w:p w14:paraId="3394C9A8" w14:textId="77777777" w:rsidR="00D24CB0" w:rsidRDefault="00691361">
            <w:pPr>
              <w:spacing w:before="0" w:after="0"/>
              <w:jc w:val="right"/>
            </w:pPr>
            <w:r>
              <w:rPr>
                <w:rFonts w:eastAsia="Times New Roman"/>
                <w:sz w:val="21"/>
              </w:rPr>
              <w:t>（4）</w:t>
            </w:r>
          </w:p>
        </w:tc>
      </w:tr>
    </w:tbl>
    <w:p w14:paraId="6D04F114" w14:textId="77777777" w:rsidR="009330B5" w:rsidRDefault="009330B5" w:rsidP="009330B5">
      <w:pPr>
        <w:spacing w:after="40"/>
        <w:ind w:firstLine="420"/>
      </w:pP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04"/>
        <w:gridCol w:w="7992"/>
        <w:gridCol w:w="936"/>
      </w:tblGrid>
      <w:tr w:rsidR="00D24CB0" w14:paraId="30106E8B" w14:textId="77777777">
        <w:trPr>
          <w:jc w:val="center"/>
        </w:trPr>
        <w:tc>
          <w:tcPr>
            <w:tcW w:w="504" w:type="dxa"/>
            <w:vAlign w:val="center"/>
          </w:tcPr>
          <w:p w14:paraId="71A16CFF" w14:textId="77777777" w:rsidR="00D24CB0" w:rsidRDefault="00D24CB0">
            <w:pPr>
              <w:spacing w:before="0" w:after="0"/>
            </w:pPr>
          </w:p>
        </w:tc>
        <w:tc>
          <w:tcPr>
            <w:tcW w:w="7992" w:type="dxa"/>
            <w:vAlign w:val="center"/>
          </w:tcPr>
          <w:p w14:paraId="58DF5FA8" w14:textId="40B6D656" w:rsidR="00D24CB0" w:rsidRDefault="0034260F">
            <w:pPr>
              <w:spacing w:before="0" w:after="0"/>
              <w:jc w:val="center"/>
            </w:pPr>
            <m:oMathPara>
              <m:oMath>
                <m:sSub>
                  <m:sSubPr>
                    <m:ctrlPr>
                      <w:rPr>
                        <w:rFonts w:ascii="Cambria Math" w:eastAsia="Cambria Math" w:hAnsi="Cambria Math"/>
                        <w:i/>
                        <w:sz w:val="21"/>
                      </w:rPr>
                    </m:ctrlPr>
                  </m:sSubPr>
                  <m:e>
                    <m:r>
                      <w:rPr>
                        <w:rFonts w:ascii="Cambria Math" w:eastAsia="Cambria Math" w:hAnsi="Cambria Math"/>
                        <w:sz w:val="21"/>
                      </w:rPr>
                      <m:t>E</m:t>
                    </m:r>
                  </m:e>
                  <m:sub>
                    <m:r>
                      <w:rPr>
                        <w:rFonts w:ascii="Cambria Math" w:eastAsia="Cambria Math" w:hAnsi="Cambria Math"/>
                        <w:sz w:val="21"/>
                      </w:rPr>
                      <m:t>π</m:t>
                    </m:r>
                  </m:sub>
                </m:sSub>
                <m:r>
                  <w:rPr>
                    <w:rFonts w:ascii="Cambria Math" w:eastAsia="Cambria Math" w:hAnsi="Cambria Math"/>
                    <w:sz w:val="21"/>
                  </w:rPr>
                  <m:t>=</m:t>
                </m:r>
                <m:f>
                  <m:fPr>
                    <m:ctrlPr>
                      <w:rPr>
                        <w:rFonts w:ascii="Cambria Math" w:eastAsia="Cambria Math" w:hAnsi="Cambria Math"/>
                        <w:i/>
                        <w:sz w:val="21"/>
                      </w:rPr>
                    </m:ctrlPr>
                  </m:fPr>
                  <m:num>
                    <m:sSub>
                      <m:sSubPr>
                        <m:ctrlPr>
                          <w:rPr>
                            <w:rFonts w:ascii="Cambria Math" w:eastAsia="Cambria Math" w:hAnsi="Cambria Math"/>
                            <w:i/>
                            <w:sz w:val="21"/>
                          </w:rPr>
                        </m:ctrlPr>
                      </m:sSubPr>
                      <m:e>
                        <m:r>
                          <w:rPr>
                            <w:rFonts w:ascii="Cambria Math" w:eastAsia="Cambria Math" w:hAnsi="Cambria Math"/>
                            <w:sz w:val="21"/>
                          </w:rPr>
                          <m:t>N</m:t>
                        </m:r>
                      </m:e>
                      <m:sub>
                        <m:r>
                          <w:rPr>
                            <w:rFonts w:ascii="Cambria Math" w:eastAsia="Cambria Math" w:hAnsi="Cambria Math"/>
                            <w:sz w:val="21"/>
                          </w:rPr>
                          <m:t>π</m:t>
                        </m:r>
                        <m:d>
                          <m:dPr>
                            <m:ctrlPr>
                              <w:rPr>
                                <w:rFonts w:ascii="Cambria Math" w:eastAsia="Cambria Math" w:hAnsi="Cambria Math"/>
                                <w:i/>
                                <w:sz w:val="21"/>
                              </w:rPr>
                            </m:ctrlPr>
                          </m:dPr>
                          <m:e>
                            <m:r>
                              <w:rPr>
                                <w:rFonts w:ascii="Cambria Math" w:eastAsia="Cambria Math" w:hAnsi="Cambria Math"/>
                                <w:sz w:val="21"/>
                              </w:rPr>
                              <m:t>ODI&gt;</m:t>
                            </m:r>
                            <m:sSub>
                              <m:sSubPr>
                                <m:ctrlPr>
                                  <w:rPr>
                                    <w:rFonts w:ascii="Cambria Math" w:eastAsia="Cambria Math" w:hAnsi="Cambria Math"/>
                                    <w:i/>
                                    <w:sz w:val="21"/>
                                  </w:rPr>
                                </m:ctrlPr>
                              </m:sSubPr>
                              <m:e>
                                <m:r>
                                  <w:rPr>
                                    <w:rFonts w:ascii="Cambria Math" w:eastAsia="Cambria Math" w:hAnsi="Cambria Math"/>
                                    <w:sz w:val="21"/>
                                  </w:rPr>
                                  <m:t>T</m:t>
                                </m:r>
                              </m:e>
                              <m:sub>
                                <m:r>
                                  <w:rPr>
                                    <w:rFonts w:ascii="Cambria Math" w:eastAsia="Cambria Math" w:hAnsi="Cambria Math"/>
                                    <w:sz w:val="21"/>
                                  </w:rPr>
                                  <m:t>ODI</m:t>
                                </m:r>
                              </m:sub>
                            </m:sSub>
                          </m:e>
                        </m:d>
                      </m:sub>
                    </m:sSub>
                  </m:num>
                  <m:den>
                    <m:sSub>
                      <m:sSubPr>
                        <m:ctrlPr>
                          <w:rPr>
                            <w:rFonts w:ascii="Cambria Math" w:eastAsia="Cambria Math" w:hAnsi="Cambria Math"/>
                            <w:i/>
                            <w:sz w:val="21"/>
                          </w:rPr>
                        </m:ctrlPr>
                      </m:sSubPr>
                      <m:e>
                        <m:r>
                          <w:rPr>
                            <w:rFonts w:ascii="Cambria Math" w:eastAsia="Cambria Math" w:hAnsi="Cambria Math"/>
                            <w:sz w:val="21"/>
                          </w:rPr>
                          <m:t>N</m:t>
                        </m:r>
                      </m:e>
                      <m:sub>
                        <m:r>
                          <w:rPr>
                            <w:rFonts w:ascii="Cambria Math" w:eastAsia="Cambria Math" w:hAnsi="Cambria Math"/>
                            <w:sz w:val="21"/>
                          </w:rPr>
                          <m:t>π</m:t>
                        </m:r>
                      </m:sub>
                    </m:sSub>
                  </m:den>
                </m:f>
                <m:r>
                  <w:rPr>
                    <w:rFonts w:ascii="Cambria Math" w:eastAsia="Cambria Math" w:hAnsi="Cambria Math"/>
                    <w:sz w:val="21"/>
                  </w:rPr>
                  <m:t>×100%</m:t>
                </m:r>
              </m:oMath>
            </m:oMathPara>
          </w:p>
        </w:tc>
        <w:tc>
          <w:tcPr>
            <w:tcW w:w="936" w:type="dxa"/>
            <w:vAlign w:val="center"/>
          </w:tcPr>
          <w:p w14:paraId="0C6594F7" w14:textId="77777777" w:rsidR="00D24CB0" w:rsidRDefault="00691361">
            <w:pPr>
              <w:spacing w:before="0" w:after="0"/>
              <w:jc w:val="right"/>
            </w:pPr>
            <w:r>
              <w:rPr>
                <w:rFonts w:eastAsia="Times New Roman"/>
                <w:sz w:val="21"/>
              </w:rPr>
              <w:t>（5）</w:t>
            </w:r>
          </w:p>
        </w:tc>
      </w:tr>
    </w:tbl>
    <w:p w14:paraId="016DA7C9" w14:textId="77777777" w:rsidR="009330B5" w:rsidRDefault="009330B5" w:rsidP="009330B5">
      <w:pPr>
        <w:pStyle w:val="10"/>
        <w:spacing w:after="40"/>
        <w:ind w:firstLine="420"/>
      </w:pPr>
      <w:r>
        <w:lastRenderedPageBreak/>
        <w:t>式中，</w:t>
      </w:r>
      <w:r>
        <w:t>π</w:t>
      </w:r>
      <w:r>
        <w:t>为候选规划方案，</w:t>
      </w:r>
      <w:r>
        <w:t>A_π</w:t>
      </w:r>
      <w:r>
        <w:t>为方案</w:t>
      </w:r>
      <w:r>
        <w:t>π</w:t>
      </w:r>
      <w:r>
        <w:t>对应的布置区域，</w:t>
      </w:r>
      <w:r>
        <w:t>N_π</w:t>
      </w:r>
      <w:r>
        <w:t>为方案区域内参与统计的采样或栅格数量，</w:t>
      </w:r>
      <w:r>
        <w:t>T_ODI</w:t>
      </w:r>
      <w:r>
        <w:t>为扰动控制阈值。本文以</w:t>
      </w:r>
      <w:r>
        <w:t>ODI</w:t>
      </w:r>
      <w:r>
        <w:t>均值、</w:t>
      </w:r>
      <w:r>
        <w:t>Q_0.90</w:t>
      </w:r>
      <w:r>
        <w:t>和超阈值暴露比例</w:t>
      </w:r>
      <w:r>
        <w:t>E_π</w:t>
      </w:r>
      <w:r>
        <w:t>共同描述方案级风险，其中</w:t>
      </w:r>
      <w:r>
        <w:t>ODI</w:t>
      </w:r>
      <w:r>
        <w:t>均值反映方案区域的总体扰动水平，</w:t>
      </w:r>
      <w:r>
        <w:t>Q_0.90</w:t>
      </w:r>
      <w:r>
        <w:t>反映高值尾部风险，</w:t>
      </w:r>
      <w:r>
        <w:t>E_π</w:t>
      </w:r>
      <w:r>
        <w:t>反映超过统计阈值的空间暴露比例，不把单一</w:t>
      </w:r>
      <w:r>
        <w:t>ODI</w:t>
      </w:r>
      <w:r>
        <w:t>均值或单一超限比例作为唯一判据。阈值</w:t>
      </w:r>
      <w:r>
        <w:t>0.70</w:t>
      </w:r>
      <w:r>
        <w:t>和</w:t>
      </w:r>
      <w:r>
        <w:t>0.80</w:t>
      </w:r>
      <w:r>
        <w:t>分别作为预警统计线和高扰动统计线，用于样例内部的相对比较，而非行业安全红线或法规阈值。为降低自定义阈值带来的结论依赖，本文进一步设置</w:t>
      </w:r>
      <w:r>
        <w:t>0.65</w:t>
      </w:r>
      <w:r>
        <w:t>、</w:t>
      </w:r>
      <w:r>
        <w:t>0.70</w:t>
      </w:r>
      <w:r>
        <w:t>、</w:t>
      </w:r>
      <w:r>
        <w:t>0.75</w:t>
      </w:r>
      <w:r>
        <w:t>和</w:t>
      </w:r>
      <w:r>
        <w:t>0.80</w:t>
      </w:r>
      <w:r>
        <w:t>四组阈值进行敏感性分析；在真实矿井应用中，上述阈值仍应结合历史观测、含水层保护等级、地表建构筑物敏感性和现场安全制度重新标定。</w:t>
      </w:r>
    </w:p>
    <w:p w14:paraId="66CA82F7" w14:textId="77777777" w:rsidR="009330B5" w:rsidRDefault="009330B5">
      <w:pPr>
        <w:spacing w:after="60"/>
        <w:rPr>
          <w:rFonts w:ascii="宋体" w:hAnsi="宋体"/>
          <w:b/>
          <w:sz w:val="22"/>
        </w:rPr>
      </w:pPr>
    </w:p>
    <w:p w14:paraId="020F195F" w14:textId="77777777" w:rsidR="007E22B6" w:rsidRDefault="00A249E2" w:rsidP="00A046E0">
      <w:pPr>
        <w:pStyle w:val="12"/>
      </w:pPr>
      <w:r>
        <w:rPr>
          <w:rFonts w:ascii="宋体" w:eastAsia="宋体" w:hAnsi="宋体"/>
          <w:sz w:val="21"/>
        </w:rPr>
        <w:t>1.2 有效布置域与连续参数场构建</w:t>
      </w:r>
    </w:p>
    <w:p w14:paraId="184D1613" w14:textId="77777777" w:rsidR="009330B5" w:rsidRPr="009330B5" w:rsidRDefault="009330B5" w:rsidP="009330B5">
      <w:pPr>
        <w:pStyle w:val="10"/>
        <w:spacing w:after="40"/>
        <w:ind w:firstLine="420"/>
      </w:pPr>
      <w:r>
        <w:t>采区规划首先面临输入对象异构的问题。采区边界属于几何约束对象，钻孔数据具有离散采样特征，分层信息和设计参数则表现为具有工程语义的属性集合。透明工作面和智能精准开采研究已经强调，工作面地质模型需要从静态、粗粒度表达转向多源数据融合和动态修正，才能为智能开采和规划决策提供可靠底图</w:t>
      </w:r>
      <w:r>
        <w:t>[30-32]</w:t>
      </w:r>
      <w:r>
        <w:t>。若缺少统一组织方式，这些对象很难同时进入同一套规划流程。为此，本文以研究区边界、钻孔、分层和设计参数为基础，构建采区规划参数体系，并在统一空间参照下完成几何边界处理、参数映射和候选方案生成。表</w:t>
      </w:r>
      <w:r>
        <w:t>1</w:t>
      </w:r>
      <w:r>
        <w:t>汇总了</w:t>
      </w:r>
      <w:r>
        <w:t>“</w:t>
      </w:r>
      <w:r>
        <w:t>数据输入</w:t>
      </w:r>
      <w:r>
        <w:t>—</w:t>
      </w:r>
      <w:r>
        <w:t>参数体系构建</w:t>
      </w:r>
      <w:r>
        <w:t>—</w:t>
      </w:r>
      <w:r>
        <w:t>采区规划输出</w:t>
      </w:r>
      <w:r>
        <w:t>”</w:t>
      </w:r>
      <w:r>
        <w:t>的主要参数与约束条件，说明采区规划并不是直接对原始边界做简单布置，而是需要经过边界合法性校核、有效布置域提取、尺度参数输入和评价指标联动等环节。</w:t>
      </w:r>
    </w:p>
    <w:p w14:paraId="60549219" w14:textId="77777777" w:rsidR="009330B5" w:rsidRDefault="009330B5" w:rsidP="009330B5">
      <w:pPr>
        <w:pStyle w:val="10"/>
        <w:spacing w:after="40"/>
        <w:ind w:firstLine="420"/>
      </w:pPr>
      <w:r>
        <w:rPr>
          <w:rFonts w:ascii="宋体" w:eastAsia="宋体" w:hAnsi="宋体"/>
        </w:rPr>
        <w:t>设原始采区边界为Ω_0，边界煤柱约束、区段煤柱约束及保护对象约束对应的缓冲集合分别为B_b、B_s和D_p，则有效布置域可写为</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04"/>
        <w:gridCol w:w="7992"/>
        <w:gridCol w:w="936"/>
      </w:tblGrid>
      <w:tr w:rsidR="00D24CB0" w14:paraId="7CE12424" w14:textId="77777777">
        <w:trPr>
          <w:jc w:val="center"/>
        </w:trPr>
        <w:tc>
          <w:tcPr>
            <w:tcW w:w="504" w:type="dxa"/>
            <w:vAlign w:val="center"/>
          </w:tcPr>
          <w:p w14:paraId="2775A698" w14:textId="77777777" w:rsidR="00D24CB0" w:rsidRDefault="00D24CB0">
            <w:pPr>
              <w:spacing w:before="0" w:after="0"/>
            </w:pPr>
          </w:p>
        </w:tc>
        <w:tc>
          <w:tcPr>
            <w:tcW w:w="7992" w:type="dxa"/>
            <w:vAlign w:val="center"/>
          </w:tcPr>
          <w:p w14:paraId="6784E311" w14:textId="46FF0565" w:rsidR="00D24CB0" w:rsidRDefault="0034260F">
            <w:pPr>
              <w:spacing w:before="0" w:after="0"/>
              <w:jc w:val="center"/>
            </w:pPr>
            <m:oMathPara>
              <m:oMath>
                <m:r>
                  <w:rPr>
                    <w:rFonts w:ascii="Cambria Math" w:eastAsia="Cambria Math" w:hAnsi="Cambria Math"/>
                    <w:sz w:val="21"/>
                  </w:rPr>
                  <m:t>Ω_e=Ω_0</m:t>
                </m:r>
                <m:r>
                  <m:rPr>
                    <m:lit/>
                  </m:rPr>
                  <w:rPr>
                    <w:rFonts w:ascii="Cambria Math" w:eastAsia="Cambria Math" w:hAnsi="Cambria Math"/>
                    <w:sz w:val="21"/>
                  </w:rPr>
                  <m:t>(</m:t>
                </m:r>
                <m:r>
                  <w:rPr>
                    <w:rFonts w:ascii="Cambria Math" w:eastAsia="Cambria Math" w:hAnsi="Cambria Math"/>
                    <w:sz w:val="21"/>
                  </w:rPr>
                  <m:t>B_b∪B_s∪D_p)</m:t>
                </m:r>
              </m:oMath>
            </m:oMathPara>
          </w:p>
        </w:tc>
        <w:tc>
          <w:tcPr>
            <w:tcW w:w="936" w:type="dxa"/>
            <w:vAlign w:val="center"/>
          </w:tcPr>
          <w:p w14:paraId="7007F8D0" w14:textId="77777777" w:rsidR="00D24CB0" w:rsidRDefault="00691361">
            <w:pPr>
              <w:spacing w:before="0" w:after="0"/>
              <w:jc w:val="right"/>
            </w:pPr>
            <w:r>
              <w:rPr>
                <w:rFonts w:eastAsia="Times New Roman"/>
                <w:sz w:val="21"/>
              </w:rPr>
              <w:t>（6）</w:t>
            </w:r>
          </w:p>
        </w:tc>
      </w:tr>
    </w:tbl>
    <w:p w14:paraId="64347E86" w14:textId="77777777" w:rsidR="009330B5" w:rsidRPr="009330B5" w:rsidRDefault="009330B5" w:rsidP="009330B5">
      <w:pPr>
        <w:pStyle w:val="10"/>
        <w:spacing w:after="40"/>
        <w:ind w:firstLine="420"/>
      </w:pPr>
      <w:r>
        <w:t>式中，</w:t>
      </w:r>
      <w:r>
        <w:t>Ω_0</w:t>
      </w:r>
      <w:r>
        <w:t>为原始采区边界，</w:t>
      </w:r>
      <w:r>
        <w:t>B_b</w:t>
      </w:r>
      <w:r>
        <w:t>为边界煤柱宽度，</w:t>
      </w:r>
      <w:r>
        <w:t>B_s</w:t>
      </w:r>
      <w:r>
        <w:t>为区段煤柱宽度，</w:t>
      </w:r>
      <w:r>
        <w:t>D_p</w:t>
      </w:r>
      <w:r>
        <w:t>为局部保护距离，</w:t>
      </w:r>
      <w:r>
        <w:t>Ω_e</w:t>
      </w:r>
      <w:r>
        <w:t>为经约束内缩和几何合法性处理后的有效布置域。若内缩后出现多连通域或局部狭长畸变，则保留主连通区域并采用降级内缩策略，以保证后续工作面布置具有几何可解性。</w:t>
      </w:r>
    </w:p>
    <w:p w14:paraId="4CE6C7DA" w14:textId="77777777" w:rsidR="009330B5" w:rsidRPr="009330B5" w:rsidRDefault="009330B5" w:rsidP="009330B5">
      <w:pPr>
        <w:pStyle w:val="10"/>
        <w:spacing w:after="40"/>
        <w:ind w:firstLine="420"/>
      </w:pPr>
      <w:r>
        <w:rPr>
          <w:rFonts w:ascii="宋体" w:eastAsia="宋体" w:hAnsi="宋体"/>
        </w:rPr>
        <w:t>对给定样点集合，煤层厚度等参数场可表示为</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04"/>
        <w:gridCol w:w="7992"/>
        <w:gridCol w:w="936"/>
      </w:tblGrid>
      <w:tr w:rsidR="00D24CB0" w14:paraId="34883FA2" w14:textId="77777777">
        <w:trPr>
          <w:jc w:val="center"/>
        </w:trPr>
        <w:tc>
          <w:tcPr>
            <w:tcW w:w="504" w:type="dxa"/>
            <w:vAlign w:val="center"/>
          </w:tcPr>
          <w:p w14:paraId="4C8DC29F" w14:textId="77777777" w:rsidR="00D24CB0" w:rsidRDefault="00D24CB0">
            <w:pPr>
              <w:spacing w:before="0" w:after="0"/>
            </w:pPr>
          </w:p>
        </w:tc>
        <w:tc>
          <w:tcPr>
            <w:tcW w:w="7992" w:type="dxa"/>
            <w:vAlign w:val="center"/>
          </w:tcPr>
          <w:p w14:paraId="75703216" w14:textId="0A2CDCEA" w:rsidR="00D24CB0" w:rsidRDefault="0034260F">
            <w:pPr>
              <w:spacing w:before="0" w:after="0"/>
              <w:jc w:val="center"/>
            </w:pPr>
            <m:oMathPara>
              <m:oMath>
                <m:r>
                  <w:rPr>
                    <w:rFonts w:ascii="Cambria Math" w:eastAsia="Cambria Math" w:hAnsi="Cambria Math"/>
                    <w:sz w:val="21"/>
                  </w:rPr>
                  <m:t>z</m:t>
                </m:r>
                <m:d>
                  <m:dPr>
                    <m:ctrlPr>
                      <w:rPr>
                        <w:rFonts w:ascii="Cambria Math" w:eastAsia="Cambria Math" w:hAnsi="Cambria Math"/>
                        <w:i/>
                        <w:sz w:val="21"/>
                      </w:rPr>
                    </m:ctrlPr>
                  </m:dPr>
                  <m:e>
                    <m:r>
                      <w:rPr>
                        <w:rFonts w:ascii="Cambria Math" w:eastAsia="Cambria Math" w:hAnsi="Cambria Math"/>
                        <w:sz w:val="21"/>
                      </w:rPr>
                      <m:t>x</m:t>
                    </m:r>
                  </m:e>
                </m:d>
                <m:r>
                  <w:rPr>
                    <w:rFonts w:ascii="Cambria Math" w:eastAsia="Cambria Math" w:hAnsi="Cambria Math"/>
                    <w:sz w:val="21"/>
                  </w:rPr>
                  <m:t>=</m:t>
                </m:r>
                <m:f>
                  <m:fPr>
                    <m:ctrlPr>
                      <w:rPr>
                        <w:rFonts w:ascii="Cambria Math" w:eastAsia="Cambria Math" w:hAnsi="Cambria Math"/>
                        <w:i/>
                        <w:sz w:val="21"/>
                      </w:rPr>
                    </m:ctrlPr>
                  </m:fPr>
                  <m:num>
                    <m:r>
                      <w:rPr>
                        <w:rFonts w:ascii="Cambria Math" w:eastAsia="Cambria Math" w:hAnsi="Cambria Math"/>
                        <w:sz w:val="21"/>
                      </w:rPr>
                      <m:t>Σ</m:t>
                    </m:r>
                    <m:d>
                      <m:dPr>
                        <m:begChr m:val="["/>
                        <m:endChr m:val="]"/>
                        <m:ctrlPr>
                          <w:rPr>
                            <w:rFonts w:ascii="Cambria Math" w:eastAsia="Cambria Math" w:hAnsi="Cambria Math"/>
                            <w:i/>
                            <w:sz w:val="21"/>
                          </w:rPr>
                        </m:ctrlPr>
                      </m:dPr>
                      <m:e>
                        <m:sSub>
                          <m:sSubPr>
                            <m:ctrlPr>
                              <w:rPr>
                                <w:rFonts w:ascii="Cambria Math" w:eastAsia="Cambria Math" w:hAnsi="Cambria Math"/>
                                <w:i/>
                                <w:sz w:val="21"/>
                              </w:rPr>
                            </m:ctrlPr>
                          </m:sSubPr>
                          <m:e>
                            <m:r>
                              <w:rPr>
                                <w:rFonts w:ascii="Cambria Math" w:eastAsia="Cambria Math" w:hAnsi="Cambria Math"/>
                                <w:sz w:val="21"/>
                              </w:rPr>
                              <m:t>z</m:t>
                            </m:r>
                          </m:e>
                          <m:sub>
                            <m:r>
                              <w:rPr>
                                <w:rFonts w:ascii="Cambria Math" w:eastAsia="Cambria Math" w:hAnsi="Cambria Math"/>
                                <w:sz w:val="21"/>
                              </w:rPr>
                              <m:t>i</m:t>
                            </m:r>
                          </m:sub>
                        </m:sSub>
                        <m:sSubSup>
                          <m:sSubSupPr>
                            <m:ctrlPr>
                              <w:rPr>
                                <w:rFonts w:ascii="Cambria Math" w:eastAsia="Cambria Math" w:hAnsi="Cambria Math"/>
                                <w:i/>
                                <w:sz w:val="21"/>
                              </w:rPr>
                            </m:ctrlPr>
                          </m:sSubSupPr>
                          <m:e>
                            <m:r>
                              <w:rPr>
                                <w:rFonts w:ascii="Cambria Math" w:eastAsia="Cambria Math" w:hAnsi="Cambria Math"/>
                                <w:sz w:val="21"/>
                              </w:rPr>
                              <m:t>d</m:t>
                            </m:r>
                          </m:e>
                          <m:sub>
                            <m:r>
                              <w:rPr>
                                <w:rFonts w:ascii="Cambria Math" w:eastAsia="Cambria Math" w:hAnsi="Cambria Math"/>
                                <w:sz w:val="21"/>
                              </w:rPr>
                              <m:t>i</m:t>
                            </m:r>
                            <m:d>
                              <m:dPr>
                                <m:ctrlPr>
                                  <w:rPr>
                                    <w:rFonts w:ascii="Cambria Math" w:eastAsia="Cambria Math" w:hAnsi="Cambria Math"/>
                                    <w:i/>
                                    <w:sz w:val="21"/>
                                  </w:rPr>
                                </m:ctrlPr>
                              </m:dPr>
                              <m:e>
                                <m:r>
                                  <w:rPr>
                                    <w:rFonts w:ascii="Cambria Math" w:eastAsia="Cambria Math" w:hAnsi="Cambria Math"/>
                                    <w:sz w:val="21"/>
                                  </w:rPr>
                                  <m:t>x</m:t>
                                </m:r>
                              </m:e>
                            </m:d>
                          </m:sub>
                          <m:sup>
                            <m:r>
                              <w:rPr>
                                <w:rFonts w:ascii="Cambria Math" w:eastAsia="Cambria Math" w:hAnsi="Cambria Math"/>
                                <w:sz w:val="21"/>
                              </w:rPr>
                              <m:t>-p</m:t>
                            </m:r>
                          </m:sup>
                        </m:sSubSup>
                      </m:e>
                    </m:d>
                  </m:num>
                  <m:den/>
                </m:f>
                <m:r>
                  <w:rPr>
                    <w:rFonts w:ascii="Cambria Math" w:eastAsia="Cambria Math" w:hAnsi="Cambria Math"/>
                    <w:sz w:val="21"/>
                  </w:rPr>
                  <m:t>Σ</m:t>
                </m:r>
                <m:d>
                  <m:dPr>
                    <m:begChr m:val="["/>
                    <m:endChr m:val="]"/>
                    <m:ctrlPr>
                      <w:rPr>
                        <w:rFonts w:ascii="Cambria Math" w:eastAsia="Cambria Math" w:hAnsi="Cambria Math"/>
                        <w:i/>
                        <w:sz w:val="21"/>
                      </w:rPr>
                    </m:ctrlPr>
                  </m:dPr>
                  <m:e>
                    <m:sSubSup>
                      <m:sSubSupPr>
                        <m:ctrlPr>
                          <w:rPr>
                            <w:rFonts w:ascii="Cambria Math" w:eastAsia="Cambria Math" w:hAnsi="Cambria Math"/>
                            <w:i/>
                            <w:sz w:val="21"/>
                          </w:rPr>
                        </m:ctrlPr>
                      </m:sSubSupPr>
                      <m:e>
                        <m:r>
                          <w:rPr>
                            <w:rFonts w:ascii="Cambria Math" w:eastAsia="Cambria Math" w:hAnsi="Cambria Math"/>
                            <w:sz w:val="21"/>
                          </w:rPr>
                          <m:t>d</m:t>
                        </m:r>
                      </m:e>
                      <m:sub>
                        <m:r>
                          <w:rPr>
                            <w:rFonts w:ascii="Cambria Math" w:eastAsia="Cambria Math" w:hAnsi="Cambria Math"/>
                            <w:sz w:val="21"/>
                          </w:rPr>
                          <m:t>i</m:t>
                        </m:r>
                        <m:d>
                          <m:dPr>
                            <m:ctrlPr>
                              <w:rPr>
                                <w:rFonts w:ascii="Cambria Math" w:eastAsia="Cambria Math" w:hAnsi="Cambria Math"/>
                                <w:i/>
                                <w:sz w:val="21"/>
                              </w:rPr>
                            </m:ctrlPr>
                          </m:dPr>
                          <m:e>
                            <m:r>
                              <w:rPr>
                                <w:rFonts w:ascii="Cambria Math" w:eastAsia="Cambria Math" w:hAnsi="Cambria Math"/>
                                <w:sz w:val="21"/>
                              </w:rPr>
                              <m:t>x</m:t>
                            </m:r>
                          </m:e>
                        </m:d>
                      </m:sub>
                      <m:sup>
                        <m:r>
                          <w:rPr>
                            <w:rFonts w:ascii="Cambria Math" w:eastAsia="Cambria Math" w:hAnsi="Cambria Math"/>
                            <w:sz w:val="21"/>
                          </w:rPr>
                          <m:t>-p</m:t>
                        </m:r>
                      </m:sup>
                    </m:sSubSup>
                  </m:e>
                </m:d>
              </m:oMath>
            </m:oMathPara>
          </w:p>
        </w:tc>
        <w:tc>
          <w:tcPr>
            <w:tcW w:w="936" w:type="dxa"/>
            <w:vAlign w:val="center"/>
          </w:tcPr>
          <w:p w14:paraId="6C3E7E82" w14:textId="77777777" w:rsidR="00D24CB0" w:rsidRDefault="00691361">
            <w:pPr>
              <w:spacing w:before="0" w:after="0"/>
              <w:jc w:val="right"/>
            </w:pPr>
            <w:r>
              <w:rPr>
                <w:rFonts w:eastAsia="Times New Roman"/>
                <w:sz w:val="21"/>
              </w:rPr>
              <w:t>（7）</w:t>
            </w:r>
          </w:p>
        </w:tc>
      </w:tr>
    </w:tbl>
    <w:p w14:paraId="69FDEDCF" w14:textId="77777777" w:rsidR="009330B5" w:rsidRPr="009330B5" w:rsidRDefault="009330B5" w:rsidP="009330B5">
      <w:pPr>
        <w:pStyle w:val="10"/>
        <w:spacing w:after="40"/>
        <w:ind w:firstLine="420"/>
      </w:pPr>
      <w:r>
        <w:t>式中，</w:t>
      </w:r>
      <w:r>
        <w:t>z(x)</w:t>
      </w:r>
      <w:r>
        <w:t>为规划位置</w:t>
      </w:r>
      <w:r>
        <w:t>x</w:t>
      </w:r>
      <w:r>
        <w:t>处的参数估计值，</w:t>
      </w:r>
      <w:r>
        <w:t>z_i</w:t>
      </w:r>
      <w:r>
        <w:t>为第</w:t>
      </w:r>
      <w:r>
        <w:t>i</w:t>
      </w:r>
      <w:r>
        <w:t>个钻孔样点的观测值，</w:t>
      </w:r>
      <w:r>
        <w:t>d_i(x)</w:t>
      </w:r>
      <w:r>
        <w:t>为位置</w:t>
      </w:r>
      <w:r>
        <w:t>x</w:t>
      </w:r>
      <w:r>
        <w:t>与第</w:t>
      </w:r>
      <w:r>
        <w:t>i</w:t>
      </w:r>
      <w:r>
        <w:t>个钻孔之间的距离，</w:t>
      </w:r>
      <w:r>
        <w:t>p</w:t>
      </w:r>
      <w:r>
        <w:t>为距离衰减指数。本文采用反距离加权插值，是因为当前样例钻孔数量有限且目标在于形成规划可用的连续约束场，而非证明复杂地质统计模型的优越性。插值前应统一坐标、剔除明显异常值并限定插值边界；插值后应记录网格尺寸、样点范围和边界裁剪规则。若后续进入实矿验证阶段，应补充留一交叉验证或与克里金插值结果对比，以量化参数场误差对规划结果的影响。</w:t>
      </w:r>
    </w:p>
    <w:p w14:paraId="4D9914BC" w14:textId="77777777" w:rsidR="009330B5" w:rsidRPr="009330B5" w:rsidRDefault="009330B5" w:rsidP="009330B5">
      <w:pPr>
        <w:pStyle w:val="10"/>
        <w:spacing w:after="40"/>
        <w:ind w:firstLine="420"/>
      </w:pPr>
      <w:r>
        <w:t>为保证不同图层能够进入同一规划计算，煤层厚度、岩石硬度、瓦斯含量和涌水量等参数原则上应分别插值并统一到相同坐标、边界裁剪和网格参照下。本文样例中以煤层厚度场作为连续参数场的主要展示对象，其他属性作为同一流程下的可扩展输入保留；当某一属性样点缺失或异常时，不直接参与该属性场插值，而应记录缺失状态并在方案评分中降级为不确定输入。本轮复核的</w:t>
      </w:r>
      <w:r>
        <w:t>ODI</w:t>
      </w:r>
      <w:r>
        <w:t>风险场采用</w:t>
      </w:r>
      <w:r>
        <w:t>80×56</w:t>
      </w:r>
      <w:r>
        <w:t>网格、共</w:t>
      </w:r>
      <w:r>
        <w:t>4480</w:t>
      </w:r>
      <w:r>
        <w:t>个栅格，该网格用于样例内部风险统计和方案叠加，不被解释为不同矿区的固定网格尺度。</w:t>
      </w:r>
    </w:p>
    <w:p w14:paraId="04BD57C7" w14:textId="77777777" w:rsidR="009330B5" w:rsidRPr="009330B5" w:rsidRDefault="009330B5" w:rsidP="009330B5">
      <w:pPr>
        <w:pStyle w:val="10"/>
        <w:spacing w:after="40"/>
        <w:ind w:firstLine="420"/>
      </w:pPr>
      <w:r>
        <w:rPr>
          <w:rFonts w:ascii="宋体" w:eastAsia="宋体" w:hAnsi="宋体"/>
        </w:rPr>
        <w:t>由此，采区规划的基础输入可归纳为4类：其一为几何边界与有效布置域；其二为钻孔、分层与厚度场等连续参数表达；其三为边界煤柱、区段煤柱、工作面宽度、推进长度和推进方向等设计参数；其四为 ODI 约束、资源评价与工程效率评价等指标体系。上述4类输入并不是彼此割裂的静态信息，而是在同一空间域、同一参数口径和同一评价框架下共同作用于候选方案生成过程。</w:t>
      </w:r>
    </w:p>
    <w:p w14:paraId="6EDD1AD9" w14:textId="77777777" w:rsidR="007E22B6" w:rsidRDefault="00A249E2" w:rsidP="00A046E0">
      <w:pPr>
        <w:pStyle w:val="12"/>
      </w:pPr>
      <w:r>
        <w:rPr>
          <w:sz w:val="21"/>
        </w:rPr>
        <w:t xml:space="preserve">1.3 </w:t>
      </w:r>
      <w:r>
        <w:rPr>
          <w:sz w:val="21"/>
        </w:rPr>
        <w:t>候选方案生成与多目标比选模型</w:t>
      </w:r>
    </w:p>
    <w:p w14:paraId="335BE175" w14:textId="77777777" w:rsidR="009330B5" w:rsidRPr="009330B5" w:rsidRDefault="009330B5" w:rsidP="009330B5">
      <w:pPr>
        <w:pStyle w:val="10"/>
        <w:spacing w:after="40"/>
        <w:ind w:firstLine="420"/>
        <w:rPr>
          <w:rFonts w:ascii="宋体" w:hAnsi="宋体"/>
        </w:rPr>
      </w:pPr>
      <w:r>
        <w:t>在满足几何可实施性和安全隔离要求的前提下，采区规划需要在工程效率、资源回收和覆岩扰动控制之间进行权衡。本文将规划问题定义为</w:t>
      </w:r>
      <w:r>
        <w:t>“</w:t>
      </w:r>
      <w:r>
        <w:t>候选方案池生成</w:t>
      </w:r>
      <w:r>
        <w:t>—</w:t>
      </w:r>
      <w:r>
        <w:t>硬约束过滤</w:t>
      </w:r>
      <w:r>
        <w:t>—</w:t>
      </w:r>
      <w:r>
        <w:t>多目标排序</w:t>
      </w:r>
      <w:r>
        <w:t>—</w:t>
      </w:r>
      <w:r>
        <w:t>工程复核</w:t>
      </w:r>
      <w:r>
        <w:t>”</w:t>
      </w:r>
      <w:r>
        <w:t>的组合</w:t>
      </w:r>
      <w:r>
        <w:lastRenderedPageBreak/>
        <w:t>优化过程，而不是单一程序输出结果。</w:t>
      </w:r>
    </w:p>
    <w:p w14:paraId="66E50B43" w14:textId="77777777" w:rsidR="009330B5" w:rsidRPr="009330B5" w:rsidRDefault="009330B5" w:rsidP="009330B5">
      <w:pPr>
        <w:pStyle w:val="10"/>
        <w:spacing w:after="40"/>
        <w:ind w:firstLine="420"/>
        <w:rPr>
          <w:rFonts w:ascii="宋体" w:hAnsi="宋体"/>
        </w:rPr>
      </w:pPr>
      <w:r>
        <w:t>设候选方案集合为</w:t>
      </w:r>
      <w:r>
        <w:t>Π</w:t>
      </w:r>
      <w:r>
        <w:t>，候选方案</w:t>
      </w:r>
      <w:r>
        <w:t>π</w:t>
      </w:r>
      <w:r>
        <w:t>由工作面数量</w:t>
      </w:r>
      <w:r>
        <w:t>N</w:t>
      </w:r>
      <w:r>
        <w:t>、工作面宽度</w:t>
      </w:r>
      <w:r>
        <w:t>W_f</w:t>
      </w:r>
      <w:r>
        <w:t>、推进方向</w:t>
      </w:r>
      <w:r>
        <w:t>θ</w:t>
      </w:r>
      <w:r>
        <w:t>、边界煤柱宽度</w:t>
      </w:r>
      <w:r>
        <w:t>B_b</w:t>
      </w:r>
      <w:r>
        <w:t>、区段煤柱宽度</w:t>
      </w:r>
      <w:r>
        <w:t>B_s</w:t>
      </w:r>
      <w:r>
        <w:t>、工作面起止边界、巷道连接关系和方案选择变量</w:t>
      </w:r>
      <w:r>
        <w:t>y_π</w:t>
      </w:r>
      <w:r>
        <w:t>共同描述，可写为</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04"/>
        <w:gridCol w:w="7992"/>
        <w:gridCol w:w="936"/>
      </w:tblGrid>
      <w:tr w:rsidR="00D24CB0" w14:paraId="37A0B699" w14:textId="77777777">
        <w:trPr>
          <w:jc w:val="center"/>
        </w:trPr>
        <w:tc>
          <w:tcPr>
            <w:tcW w:w="504" w:type="dxa"/>
            <w:vAlign w:val="center"/>
          </w:tcPr>
          <w:p w14:paraId="7BEDE74C" w14:textId="77777777" w:rsidR="00D24CB0" w:rsidRDefault="00D24CB0">
            <w:pPr>
              <w:spacing w:before="0" w:after="0"/>
            </w:pPr>
          </w:p>
        </w:tc>
        <w:tc>
          <w:tcPr>
            <w:tcW w:w="7992" w:type="dxa"/>
            <w:vAlign w:val="center"/>
          </w:tcPr>
          <w:p w14:paraId="70CF4644" w14:textId="015D0DF6" w:rsidR="00D24CB0" w:rsidRDefault="0034260F">
            <w:pPr>
              <w:spacing w:before="0" w:after="0"/>
              <w:jc w:val="center"/>
            </w:pPr>
            <m:oMathPara>
              <m:oMath>
                <m:r>
                  <w:rPr>
                    <w:rFonts w:ascii="Cambria Math" w:eastAsia="Cambria Math" w:hAnsi="Cambria Math"/>
                    <w:sz w:val="21"/>
                  </w:rPr>
                  <m:t>π=</m:t>
                </m:r>
                <m:d>
                  <m:dPr>
                    <m:begChr m:val="{"/>
                    <m:endChr m:val="}"/>
                    <m:ctrlPr>
                      <w:rPr>
                        <w:rFonts w:ascii="Cambria Math" w:eastAsia="Cambria Math" w:hAnsi="Cambria Math"/>
                        <w:i/>
                        <w:sz w:val="21"/>
                      </w:rPr>
                    </m:ctrlPr>
                  </m:dPr>
                  <m:e>
                    <m:r>
                      <w:rPr>
                        <w:rFonts w:ascii="Cambria Math" w:eastAsia="Cambria Math" w:hAnsi="Cambria Math"/>
                        <w:sz w:val="21"/>
                      </w:rPr>
                      <m:t>N,</m:t>
                    </m:r>
                    <m:sSub>
                      <m:sSubPr>
                        <m:ctrlPr>
                          <w:rPr>
                            <w:rFonts w:ascii="Cambria Math" w:eastAsia="Cambria Math" w:hAnsi="Cambria Math"/>
                            <w:i/>
                            <w:sz w:val="21"/>
                          </w:rPr>
                        </m:ctrlPr>
                      </m:sSubPr>
                      <m:e>
                        <m:r>
                          <w:rPr>
                            <w:rFonts w:ascii="Cambria Math" w:eastAsia="Cambria Math" w:hAnsi="Cambria Math"/>
                            <w:sz w:val="21"/>
                          </w:rPr>
                          <m:t>W</m:t>
                        </m:r>
                      </m:e>
                      <m:sub>
                        <m:r>
                          <w:rPr>
                            <w:rFonts w:ascii="Cambria Math" w:eastAsia="Cambria Math" w:hAnsi="Cambria Math"/>
                            <w:sz w:val="21"/>
                          </w:rPr>
                          <m:t>f</m:t>
                        </m:r>
                      </m:sub>
                    </m:sSub>
                    <m:r>
                      <w:rPr>
                        <w:rFonts w:ascii="Cambria Math" w:eastAsia="Cambria Math" w:hAnsi="Cambria Math"/>
                        <w:sz w:val="21"/>
                      </w:rPr>
                      <m:t>,θ,</m:t>
                    </m:r>
                    <m:sSub>
                      <m:sSubPr>
                        <m:ctrlPr>
                          <w:rPr>
                            <w:rFonts w:ascii="Cambria Math" w:eastAsia="Cambria Math" w:hAnsi="Cambria Math"/>
                            <w:i/>
                            <w:sz w:val="21"/>
                          </w:rPr>
                        </m:ctrlPr>
                      </m:sSubPr>
                      <m:e>
                        <m:r>
                          <w:rPr>
                            <w:rFonts w:ascii="Cambria Math" w:eastAsia="Cambria Math" w:hAnsi="Cambria Math"/>
                            <w:sz w:val="21"/>
                          </w:rPr>
                          <m:t>B</m:t>
                        </m:r>
                      </m:e>
                      <m:sub>
                        <m:r>
                          <w:rPr>
                            <w:rFonts w:ascii="Cambria Math" w:eastAsia="Cambria Math" w:hAnsi="Cambria Math"/>
                            <w:sz w:val="21"/>
                          </w:rPr>
                          <m:t>b</m:t>
                        </m:r>
                      </m:sub>
                    </m:sSub>
                    <m:r>
                      <w:rPr>
                        <w:rFonts w:ascii="Cambria Math" w:eastAsia="Cambria Math" w:hAnsi="Cambria Math"/>
                        <w:sz w:val="21"/>
                      </w:rPr>
                      <m:t>,</m:t>
                    </m:r>
                    <m:sSub>
                      <m:sSubPr>
                        <m:ctrlPr>
                          <w:rPr>
                            <w:rFonts w:ascii="Cambria Math" w:eastAsia="Cambria Math" w:hAnsi="Cambria Math"/>
                            <w:i/>
                            <w:sz w:val="21"/>
                          </w:rPr>
                        </m:ctrlPr>
                      </m:sSubPr>
                      <m:e>
                        <m:r>
                          <w:rPr>
                            <w:rFonts w:ascii="Cambria Math" w:eastAsia="Cambria Math" w:hAnsi="Cambria Math"/>
                            <w:sz w:val="21"/>
                          </w:rPr>
                          <m:t>B</m:t>
                        </m:r>
                      </m:e>
                      <m:sub>
                        <m:r>
                          <w:rPr>
                            <w:rFonts w:ascii="Cambria Math" w:eastAsia="Cambria Math" w:hAnsi="Cambria Math"/>
                            <w:sz w:val="21"/>
                          </w:rPr>
                          <m:t>s</m:t>
                        </m:r>
                      </m:sub>
                    </m:sSub>
                    <m:r>
                      <w:rPr>
                        <w:rFonts w:ascii="Cambria Math" w:eastAsia="Cambria Math" w:hAnsi="Cambria Math"/>
                        <w:sz w:val="21"/>
                      </w:rPr>
                      <m:t>,</m:t>
                    </m:r>
                    <m:sSub>
                      <m:sSubPr>
                        <m:ctrlPr>
                          <w:rPr>
                            <w:rFonts w:ascii="Cambria Math" w:eastAsia="Cambria Math" w:hAnsi="Cambria Math"/>
                            <w:i/>
                            <w:sz w:val="21"/>
                          </w:rPr>
                        </m:ctrlPr>
                      </m:sSubPr>
                      <m:e>
                        <m:r>
                          <w:rPr>
                            <w:rFonts w:ascii="Cambria Math" w:eastAsia="Cambria Math" w:hAnsi="Cambria Math"/>
                            <w:sz w:val="21"/>
                          </w:rPr>
                          <m:t>A</m:t>
                        </m:r>
                      </m:e>
                      <m:sub>
                        <m:r>
                          <w:rPr>
                            <w:rFonts w:ascii="Cambria Math" w:eastAsia="Cambria Math" w:hAnsi="Cambria Math"/>
                            <w:sz w:val="21"/>
                          </w:rPr>
                          <m:t>π</m:t>
                        </m:r>
                      </m:sub>
                    </m:sSub>
                    <m:r>
                      <w:rPr>
                        <w:rFonts w:ascii="Cambria Math" w:eastAsia="Cambria Math" w:hAnsi="Cambria Math"/>
                        <w:sz w:val="21"/>
                      </w:rPr>
                      <m:t>,</m:t>
                    </m:r>
                    <m:sSub>
                      <m:sSubPr>
                        <m:ctrlPr>
                          <w:rPr>
                            <w:rFonts w:ascii="Cambria Math" w:eastAsia="Cambria Math" w:hAnsi="Cambria Math"/>
                            <w:i/>
                            <w:sz w:val="21"/>
                          </w:rPr>
                        </m:ctrlPr>
                      </m:sSubPr>
                      <m:e>
                        <m:r>
                          <w:rPr>
                            <w:rFonts w:ascii="Cambria Math" w:eastAsia="Cambria Math" w:hAnsi="Cambria Math"/>
                            <w:sz w:val="21"/>
                          </w:rPr>
                          <m:t>L</m:t>
                        </m:r>
                      </m:e>
                      <m:sub>
                        <m:r>
                          <w:rPr>
                            <w:rFonts w:ascii="Cambria Math" w:eastAsia="Cambria Math" w:hAnsi="Cambria Math"/>
                            <w:sz w:val="21"/>
                          </w:rPr>
                          <m:t>π</m:t>
                        </m:r>
                      </m:sub>
                    </m:sSub>
                    <m:r>
                      <w:rPr>
                        <w:rFonts w:ascii="Cambria Math" w:eastAsia="Cambria Math" w:hAnsi="Cambria Math"/>
                        <w:sz w:val="21"/>
                      </w:rPr>
                      <m:t>,</m:t>
                    </m:r>
                    <m:sSub>
                      <m:sSubPr>
                        <m:ctrlPr>
                          <w:rPr>
                            <w:rFonts w:ascii="Cambria Math" w:eastAsia="Cambria Math" w:hAnsi="Cambria Math"/>
                            <w:i/>
                            <w:sz w:val="21"/>
                          </w:rPr>
                        </m:ctrlPr>
                      </m:sSubPr>
                      <m:e>
                        <m:r>
                          <w:rPr>
                            <w:rFonts w:ascii="Cambria Math" w:eastAsia="Cambria Math" w:hAnsi="Cambria Math"/>
                            <w:sz w:val="21"/>
                          </w:rPr>
                          <m:t>R</m:t>
                        </m:r>
                      </m:e>
                      <m:sub>
                        <m:r>
                          <w:rPr>
                            <w:rFonts w:ascii="Cambria Math" w:eastAsia="Cambria Math" w:hAnsi="Cambria Math"/>
                            <w:sz w:val="21"/>
                          </w:rPr>
                          <m:t>π</m:t>
                        </m:r>
                      </m:sub>
                    </m:sSub>
                    <m:r>
                      <w:rPr>
                        <w:rFonts w:ascii="Cambria Math" w:eastAsia="Cambria Math" w:hAnsi="Cambria Math"/>
                        <w:sz w:val="21"/>
                      </w:rPr>
                      <m:t>,</m:t>
                    </m:r>
                    <m:sSub>
                      <m:sSubPr>
                        <m:ctrlPr>
                          <w:rPr>
                            <w:rFonts w:ascii="Cambria Math" w:eastAsia="Cambria Math" w:hAnsi="Cambria Math"/>
                            <w:i/>
                            <w:sz w:val="21"/>
                          </w:rPr>
                        </m:ctrlPr>
                      </m:sSubPr>
                      <m:e>
                        <m:r>
                          <w:rPr>
                            <w:rFonts w:ascii="Cambria Math" w:eastAsia="Cambria Math" w:hAnsi="Cambria Math"/>
                            <w:sz w:val="21"/>
                          </w:rPr>
                          <m:t>y</m:t>
                        </m:r>
                      </m:e>
                      <m:sub>
                        <m:r>
                          <w:rPr>
                            <w:rFonts w:ascii="Cambria Math" w:eastAsia="Cambria Math" w:hAnsi="Cambria Math"/>
                            <w:sz w:val="21"/>
                          </w:rPr>
                          <m:t>π</m:t>
                        </m:r>
                      </m:sub>
                    </m:sSub>
                  </m:e>
                </m:d>
                <m:r>
                  <w:rPr>
                    <w:rFonts w:ascii="宋体" w:eastAsia="宋体" w:hAnsi="宋体" w:cs="宋体" w:hint="eastAsia"/>
                    <w:sz w:val="21"/>
                  </w:rPr>
                  <m:t>，</m:t>
                </m:r>
                <m:sSub>
                  <m:sSubPr>
                    <m:ctrlPr>
                      <w:rPr>
                        <w:rFonts w:ascii="Cambria Math" w:eastAsia="Cambria Math" w:hAnsi="Cambria Math"/>
                        <w:i/>
                        <w:sz w:val="21"/>
                      </w:rPr>
                    </m:ctrlPr>
                  </m:sSubPr>
                  <m:e>
                    <m:r>
                      <w:rPr>
                        <w:rFonts w:ascii="Cambria Math" w:eastAsia="Cambria Math" w:hAnsi="Cambria Math"/>
                        <w:sz w:val="21"/>
                      </w:rPr>
                      <m:t>y</m:t>
                    </m:r>
                    <m:ctrlPr>
                      <w:rPr>
                        <w:rFonts w:ascii="Cambria Math" w:eastAsia="宋体" w:hAnsi="Cambria Math" w:cs="宋体"/>
                        <w:i/>
                        <w:sz w:val="21"/>
                      </w:rPr>
                    </m:ctrlPr>
                  </m:e>
                  <m:sub>
                    <m:r>
                      <w:rPr>
                        <w:rFonts w:ascii="Cambria Math" w:eastAsia="Cambria Math" w:hAnsi="Cambria Math"/>
                        <w:sz w:val="21"/>
                      </w:rPr>
                      <m:t>π</m:t>
                    </m:r>
                  </m:sub>
                </m:sSub>
                <m:r>
                  <w:rPr>
                    <w:rFonts w:ascii="Cambria Math" w:eastAsia="Cambria Math" w:hAnsi="Cambria Math"/>
                    <w:sz w:val="21"/>
                  </w:rPr>
                  <m:t>∈</m:t>
                </m:r>
                <m:d>
                  <m:dPr>
                    <m:begChr m:val="{"/>
                    <m:endChr m:val="}"/>
                    <m:ctrlPr>
                      <w:rPr>
                        <w:rFonts w:ascii="Cambria Math" w:eastAsia="Cambria Math" w:hAnsi="Cambria Math"/>
                        <w:i/>
                        <w:sz w:val="21"/>
                      </w:rPr>
                    </m:ctrlPr>
                  </m:dPr>
                  <m:e>
                    <m:r>
                      <w:rPr>
                        <w:rFonts w:ascii="Cambria Math" w:eastAsia="Cambria Math" w:hAnsi="Cambria Math"/>
                        <w:sz w:val="21"/>
                      </w:rPr>
                      <m:t>0,1</m:t>
                    </m:r>
                  </m:e>
                </m:d>
              </m:oMath>
            </m:oMathPara>
          </w:p>
        </w:tc>
        <w:tc>
          <w:tcPr>
            <w:tcW w:w="936" w:type="dxa"/>
            <w:vAlign w:val="center"/>
          </w:tcPr>
          <w:p w14:paraId="5AC7A20D" w14:textId="77777777" w:rsidR="00D24CB0" w:rsidRDefault="00691361">
            <w:pPr>
              <w:spacing w:before="0" w:after="0"/>
              <w:jc w:val="right"/>
            </w:pPr>
            <w:r>
              <w:rPr>
                <w:rFonts w:eastAsia="Times New Roman"/>
                <w:sz w:val="21"/>
              </w:rPr>
              <w:t>（8）</w:t>
            </w:r>
          </w:p>
        </w:tc>
      </w:tr>
    </w:tbl>
    <w:p w14:paraId="2B89D84F" w14:textId="77777777" w:rsidR="009330B5" w:rsidRPr="009330B5" w:rsidRDefault="00A249E2">
      <w:pPr>
        <w:pStyle w:val="16"/>
        <w:tabs>
          <w:tab w:val="right" w:pos="8504"/>
        </w:tabs>
        <w:spacing w:after="60" w:line="240" w:lineRule="auto"/>
        <w:jc w:val="center"/>
        <w:rPr>
          <w:rFonts w:ascii="宋体" w:hAnsi="宋体"/>
        </w:rPr>
      </w:pPr>
      <w:r>
        <w:t>式中，</w:t>
      </w:r>
      <w:r>
        <w:t>N</w:t>
      </w:r>
      <w:r>
        <w:t>为工作面数量，</w:t>
      </w:r>
      <w:r>
        <w:t>W_f</w:t>
      </w:r>
      <w:r>
        <w:t>为工作面宽度，</w:t>
      </w:r>
      <w:r>
        <w:t>θ</w:t>
      </w:r>
      <w:r>
        <w:t>为推进方向，</w:t>
      </w:r>
      <w:r>
        <w:t>B_b</w:t>
      </w:r>
      <w:r>
        <w:t>和</w:t>
      </w:r>
      <w:r>
        <w:t>B_s</w:t>
      </w:r>
      <w:r>
        <w:t>分别为边界煤柱与区段煤柱宽度，</w:t>
      </w:r>
      <w:r>
        <w:t>A_π</w:t>
      </w:r>
      <w:r>
        <w:t>为方案</w:t>
      </w:r>
      <w:r>
        <w:t>π</w:t>
      </w:r>
      <w:r>
        <w:t>中所有工作面占用区域的集合，</w:t>
      </w:r>
      <w:r>
        <w:t>L_π</w:t>
      </w:r>
      <w:r>
        <w:t>为各工作面推进长度集合，</w:t>
      </w:r>
      <w:r>
        <w:t>R_π</w:t>
      </w:r>
      <w:r>
        <w:t>为巷道连接与服务关系，</w:t>
      </w:r>
      <w:r>
        <w:t>y_π</w:t>
      </w:r>
      <w:r>
        <w:t>为是否选取该候选方案的</w:t>
      </w:r>
      <w:r>
        <w:t>0-1</w:t>
      </w:r>
      <w:r>
        <w:t>变量。该变量定义使规划对象由单一几何图形扩展为包含数量、尺度、方向、煤柱、工作面区域和巷道连接关系的组合对象，从而能够同时承接几何约束、风险统计和后续接续评价。</w:t>
      </w:r>
    </w:p>
    <w:p w14:paraId="623C2889" w14:textId="77777777" w:rsidR="009330B5" w:rsidRDefault="009330B5">
      <w:pPr>
        <w:pStyle w:val="10"/>
        <w:spacing w:after="40"/>
        <w:ind w:firstLine="420"/>
        <w:rPr>
          <w:rFonts w:ascii="宋体" w:hAnsi="宋体"/>
        </w:rPr>
      </w:pPr>
      <w:r>
        <w:t>候选方案需满足以下约束：</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04"/>
        <w:gridCol w:w="7992"/>
        <w:gridCol w:w="936"/>
      </w:tblGrid>
      <w:tr w:rsidR="00D24CB0" w14:paraId="4E00ED5D" w14:textId="77777777">
        <w:trPr>
          <w:jc w:val="center"/>
        </w:trPr>
        <w:tc>
          <w:tcPr>
            <w:tcW w:w="504" w:type="dxa"/>
            <w:vAlign w:val="center"/>
          </w:tcPr>
          <w:p w14:paraId="38EC07CE" w14:textId="77777777" w:rsidR="00D24CB0" w:rsidRDefault="00D24CB0">
            <w:pPr>
              <w:spacing w:before="0" w:after="0"/>
            </w:pPr>
          </w:p>
        </w:tc>
        <w:tc>
          <w:tcPr>
            <w:tcW w:w="7992" w:type="dxa"/>
            <w:vAlign w:val="center"/>
          </w:tcPr>
          <w:p w14:paraId="51F4433A" w14:textId="3C3E41A5" w:rsidR="00D24CB0" w:rsidRDefault="0034260F">
            <w:pPr>
              <w:spacing w:before="0" w:after="0"/>
              <w:jc w:val="center"/>
            </w:pPr>
            <m:oMathPara>
              <m:oMath>
                <m:r>
                  <w:rPr>
                    <w:rFonts w:ascii="Cambria Math" w:eastAsia="Cambria Math" w:hAnsi="Cambria Math"/>
                    <w:sz w:val="21"/>
                  </w:rPr>
                  <m:t>A_π⊂Ω_e</m:t>
                </m:r>
                <m:r>
                  <w:rPr>
                    <w:rFonts w:ascii="宋体" w:eastAsia="宋体" w:hAnsi="宋体" w:cs="宋体" w:hint="eastAsia"/>
                    <w:sz w:val="21"/>
                  </w:rPr>
                  <m:t>；</m:t>
                </m:r>
                <m:r>
                  <w:rPr>
                    <w:rFonts w:ascii="Cambria Math" w:eastAsia="Cambria Math" w:hAnsi="Cambria Math"/>
                    <w:sz w:val="21"/>
                  </w:rPr>
                  <m:t>B_b∈[B_b,min,B_b,max]</m:t>
                </m:r>
                <m:r>
                  <w:rPr>
                    <w:rFonts w:ascii="宋体" w:eastAsia="宋体" w:hAnsi="宋体" w:cs="宋体" w:hint="eastAsia"/>
                    <w:sz w:val="21"/>
                  </w:rPr>
                  <m:t>；</m:t>
                </m:r>
                <m:r>
                  <w:rPr>
                    <w:rFonts w:ascii="Cambria Math" w:eastAsia="Cambria Math" w:hAnsi="Cambria Math"/>
                    <w:sz w:val="21"/>
                  </w:rPr>
                  <m:t>B_s∈[B_s,min,B_s,max]</m:t>
                </m:r>
                <m:r>
                  <w:rPr>
                    <w:rFonts w:ascii="宋体" w:eastAsia="宋体" w:hAnsi="宋体" w:cs="宋体" w:hint="eastAsia"/>
                    <w:sz w:val="21"/>
                  </w:rPr>
                  <m:t>；</m:t>
                </m:r>
                <m:r>
                  <w:rPr>
                    <w:rFonts w:ascii="Cambria Math" w:eastAsia="Cambria Math" w:hAnsi="Cambria Math"/>
                    <w:sz w:val="21"/>
                  </w:rPr>
                  <m:t>W_f∈[W_min,W_max]</m:t>
                </m:r>
                <m:r>
                  <w:rPr>
                    <w:rFonts w:ascii="宋体" w:eastAsia="宋体" w:hAnsi="宋体" w:cs="宋体" w:hint="eastAsia"/>
                    <w:sz w:val="21"/>
                  </w:rPr>
                  <m:t>；</m:t>
                </m:r>
                <m:r>
                  <w:rPr>
                    <w:rFonts w:ascii="Cambria Math" w:eastAsia="Cambria Math" w:hAnsi="Cambria Math"/>
                    <w:sz w:val="21"/>
                  </w:rPr>
                  <m:t>A_i∩A_j=∅</m:t>
                </m:r>
                <m:r>
                  <w:rPr>
                    <w:rFonts w:ascii="宋体" w:eastAsia="宋体" w:hAnsi="宋体" w:cs="宋体" w:hint="eastAsia"/>
                    <w:sz w:val="21"/>
                  </w:rPr>
                  <m:t>；</m:t>
                </m:r>
                <m:r>
                  <w:rPr>
                    <w:rFonts w:ascii="Cambria Math" w:eastAsia="Cambria Math" w:hAnsi="Cambria Math"/>
                    <w:sz w:val="21"/>
                  </w:rPr>
                  <m:t>L_f≥L_min</m:t>
                </m:r>
                <m:r>
                  <w:rPr>
                    <w:rFonts w:ascii="宋体" w:eastAsia="宋体" w:hAnsi="宋体" w:cs="宋体" w:hint="eastAsia"/>
                    <w:sz w:val="21"/>
                  </w:rPr>
                  <m:t>；</m:t>
                </m:r>
                <m:r>
                  <w:rPr>
                    <w:rFonts w:ascii="Cambria Math" w:eastAsia="Cambria Math" w:hAnsi="Cambria Math"/>
                    <w:sz w:val="21"/>
                  </w:rPr>
                  <m:t>E_π≤E_max</m:t>
                </m:r>
              </m:oMath>
            </m:oMathPara>
          </w:p>
        </w:tc>
        <w:tc>
          <w:tcPr>
            <w:tcW w:w="936" w:type="dxa"/>
            <w:vAlign w:val="center"/>
          </w:tcPr>
          <w:p w14:paraId="22C3D64C" w14:textId="77777777" w:rsidR="00D24CB0" w:rsidRDefault="00691361">
            <w:pPr>
              <w:spacing w:before="0" w:after="0"/>
              <w:jc w:val="right"/>
            </w:pPr>
            <w:r>
              <w:rPr>
                <w:rFonts w:eastAsia="Times New Roman"/>
                <w:sz w:val="21"/>
              </w:rPr>
              <w:t>（9）</w:t>
            </w:r>
          </w:p>
        </w:tc>
      </w:tr>
    </w:tbl>
    <w:p w14:paraId="149ED4C4" w14:textId="77777777" w:rsidR="009330B5" w:rsidRPr="009330B5" w:rsidRDefault="009330B5" w:rsidP="009330B5">
      <w:pPr>
        <w:pStyle w:val="10"/>
        <w:spacing w:after="40"/>
        <w:ind w:firstLine="420"/>
        <w:rPr>
          <w:rFonts w:ascii="宋体" w:hAnsi="宋体"/>
        </w:rPr>
      </w:pPr>
      <w:r>
        <w:t>式中，</w:t>
      </w:r>
      <w:r>
        <w:t>A_π⊂Ω_e</w:t>
      </w:r>
      <w:r>
        <w:t>为边界约束，</w:t>
      </w:r>
      <w:r>
        <w:t>B_b</w:t>
      </w:r>
      <w:r>
        <w:t>和</w:t>
      </w:r>
      <w:r>
        <w:t>B_s</w:t>
      </w:r>
      <w:r>
        <w:t>为煤柱约束，</w:t>
      </w:r>
      <w:r>
        <w:t>W_f</w:t>
      </w:r>
      <w:r>
        <w:t>为工作面宽度约束，</w:t>
      </w:r>
      <w:r>
        <w:t>A_i∩A_j=∅</w:t>
      </w:r>
      <w:r>
        <w:t>为工作面不重叠约束，</w:t>
      </w:r>
      <w:r>
        <w:t>L_f≥L_min</w:t>
      </w:r>
      <w:r>
        <w:t>为最小推进长度约束，</w:t>
      </w:r>
      <w:r>
        <w:t>E_π≤E_max</w:t>
      </w:r>
      <w:r>
        <w:t>为</w:t>
      </w:r>
      <w:r>
        <w:t>ODI</w:t>
      </w:r>
      <w:r>
        <w:t>超阈值暴露约束。上述约束用于把</w:t>
      </w:r>
      <w:r>
        <w:t>“</w:t>
      </w:r>
      <w:r>
        <w:t>能画出的布局</w:t>
      </w:r>
      <w:r>
        <w:t>”</w:t>
      </w:r>
      <w:r>
        <w:t>进一步筛选为</w:t>
      </w:r>
      <w:r>
        <w:t>“</w:t>
      </w:r>
      <w:r>
        <w:t>可进入工程比选的候选方案</w:t>
      </w:r>
      <w:r>
        <w:t>”</w:t>
      </w:r>
      <w:r>
        <w:t>。</w:t>
      </w:r>
    </w:p>
    <w:p w14:paraId="2C551DB9" w14:textId="77777777" w:rsidR="009330B5" w:rsidRPr="009330B5" w:rsidRDefault="009330B5" w:rsidP="009330B5">
      <w:pPr>
        <w:pStyle w:val="10"/>
        <w:spacing w:after="40"/>
        <w:ind w:firstLine="420"/>
        <w:rPr>
          <w:rFonts w:ascii="宋体" w:hAnsi="宋体"/>
        </w:rPr>
      </w:pPr>
      <w:r>
        <w:t>候选池生成采用规则枚举与工程过滤相结合的方式。首先根据采区主控方向、煤层走向和边界长轴方向形成有限推进方向集合</w:t>
      </w:r>
      <w:r>
        <w:t>Θ</w:t>
      </w:r>
      <w:r>
        <w:t>，再在</w:t>
      </w:r>
      <w:r>
        <w:t>θ∈Θ</w:t>
      </w:r>
      <w:r>
        <w:t>、边界煤柱宽度</w:t>
      </w:r>
      <w:r>
        <w:t>B_b</w:t>
      </w:r>
      <w:r>
        <w:t>、区段煤柱宽度</w:t>
      </w:r>
      <w:r>
        <w:t>B_s</w:t>
      </w:r>
      <w:r>
        <w:t>、工作面宽度</w:t>
      </w:r>
      <w:r>
        <w:t>W_f</w:t>
      </w:r>
      <w:r>
        <w:t>和边界内缩距离的参数组合下生成平行工作面条带。随后剔除越界、重叠、推进长度不足、煤柱宽度不满足要求和连通关系异常的方案，形成可比候选池。因此，推进方向不是黑箱</w:t>
      </w:r>
      <w:r>
        <w:t>“</w:t>
      </w:r>
      <w:r>
        <w:t>自动确定</w:t>
      </w:r>
      <w:r>
        <w:t>”</w:t>
      </w:r>
      <w:r>
        <w:t>，而是在工程允许方向集合内随几何参数共同枚举，并由约束过滤和多目标排序共同确定推荐结果。</w:t>
      </w:r>
    </w:p>
    <w:p w14:paraId="586216BA" w14:textId="77777777" w:rsidR="009330B5" w:rsidRPr="009330B5" w:rsidRDefault="009330B5" w:rsidP="009330B5">
      <w:pPr>
        <w:pStyle w:val="10"/>
        <w:spacing w:after="40"/>
        <w:ind w:firstLine="420"/>
        <w:rPr>
          <w:rFonts w:ascii="宋体" w:hAnsi="宋体"/>
        </w:rPr>
      </w:pPr>
      <w:r>
        <w:t>在实现流程上，候选池生成可分为参数取值、几何构造、硬约束过滤、指标计算和去重合并</w:t>
      </w:r>
      <w:r>
        <w:t>5</w:t>
      </w:r>
      <w:r>
        <w:t>个步骤。首先读取边界、钻孔参数场和规划控制参数，确定</w:t>
      </w:r>
      <w:r>
        <w:t>Θ</w:t>
      </w:r>
      <w:r>
        <w:t>、</w:t>
      </w:r>
      <w:r>
        <w:t>W_f</w:t>
      </w:r>
      <w:r>
        <w:t>、</w:t>
      </w:r>
      <w:r>
        <w:t>B_b</w:t>
      </w:r>
      <w:r>
        <w:t>、</w:t>
      </w:r>
      <w:r>
        <w:t>B_s</w:t>
      </w:r>
      <w:r>
        <w:t>及内缩距离的有限取值；其次按参数组合切分有效布置域并生成工作面区域、推进长度和巷道连接对象；随后按照式（</w:t>
      </w:r>
      <w:r>
        <w:t>9</w:t>
      </w:r>
      <w:r>
        <w:t>）进行必要约束过滤，并对合格候选计算覆盖率、煤厚覆盖、巷道组织、</w:t>
      </w:r>
      <w:r>
        <w:t>ODI</w:t>
      </w:r>
      <w:r>
        <w:t>均值、</w:t>
      </w:r>
      <w:r>
        <w:t>P90</w:t>
      </w:r>
      <w:r>
        <w:t>和超阈值暴露比例；最后以方向、煤柱、工作面数量、工作面边界和连接关系形成候选签名，对重复几何方案进行合并。由此得到的</w:t>
      </w:r>
      <w:r>
        <w:t>Π</w:t>
      </w:r>
      <w:r>
        <w:t>是有限候选集合，后续排序只在该候选池范围内成立。</w:t>
      </w:r>
    </w:p>
    <w:p w14:paraId="460EB337" w14:textId="77777777" w:rsidR="009330B5" w:rsidRPr="009330B5" w:rsidRDefault="009330B5" w:rsidP="009330B5">
      <w:pPr>
        <w:pStyle w:val="10"/>
        <w:spacing w:after="40"/>
        <w:ind w:firstLine="420"/>
        <w:rPr>
          <w:rFonts w:ascii="宋体" w:hAnsi="宋体"/>
        </w:rPr>
      </w:pPr>
      <w:r>
        <w:t>对候选方案</w:t>
      </w:r>
      <w:r>
        <w:t>π</w:t>
      </w:r>
      <w:r>
        <w:t>，本文把工程效率、资源回收和扰动控制分别写成可复核的分项评分。所有正向指标按式（</w:t>
      </w:r>
      <w:r>
        <w:t>3</w:t>
      </w:r>
      <w:r>
        <w:t>）归一化，成本型或风险型指标按式（</w:t>
      </w:r>
      <w:r>
        <w:t>4</w:t>
      </w:r>
      <w:r>
        <w:t>）转化为正向评分，分项权重均满足非负且和为</w:t>
      </w:r>
      <w:r>
        <w:t>1</w:t>
      </w:r>
      <w:r>
        <w:t>。</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04"/>
        <w:gridCol w:w="7992"/>
        <w:gridCol w:w="936"/>
      </w:tblGrid>
      <w:tr w:rsidR="00D24CB0" w14:paraId="44942DC2" w14:textId="77777777">
        <w:trPr>
          <w:jc w:val="center"/>
        </w:trPr>
        <w:tc>
          <w:tcPr>
            <w:tcW w:w="504" w:type="dxa"/>
            <w:vAlign w:val="center"/>
          </w:tcPr>
          <w:p w14:paraId="3CFE100F" w14:textId="77777777" w:rsidR="00D24CB0" w:rsidRDefault="00D24CB0">
            <w:pPr>
              <w:spacing w:before="0" w:after="0"/>
            </w:pPr>
          </w:p>
        </w:tc>
        <w:tc>
          <w:tcPr>
            <w:tcW w:w="7992" w:type="dxa"/>
            <w:vAlign w:val="center"/>
          </w:tcPr>
          <w:p w14:paraId="79BAE96F" w14:textId="36095D82" w:rsidR="00D24CB0" w:rsidRDefault="0034260F">
            <w:pPr>
              <w:spacing w:before="0" w:after="0"/>
              <w:jc w:val="center"/>
            </w:pPr>
            <m:oMathPara>
              <m:oMath>
                <m:sSub>
                  <m:sSubPr>
                    <m:ctrlPr>
                      <w:rPr>
                        <w:rFonts w:ascii="Cambria Math" w:eastAsia="Cambria Math" w:hAnsi="Cambria Math"/>
                        <w:i/>
                        <w:sz w:val="21"/>
                      </w:rPr>
                    </m:ctrlPr>
                  </m:sSubPr>
                  <m:e>
                    <m:r>
                      <w:rPr>
                        <w:rFonts w:ascii="Cambria Math" w:eastAsia="Cambria Math" w:hAnsi="Cambria Math"/>
                        <w:sz w:val="21"/>
                      </w:rPr>
                      <m:t>S</m:t>
                    </m:r>
                  </m:e>
                  <m:sub>
                    <m:r>
                      <w:rPr>
                        <w:rFonts w:ascii="Cambria Math" w:eastAsia="Cambria Math" w:hAnsi="Cambria Math"/>
                        <w:sz w:val="21"/>
                      </w:rPr>
                      <m:t>e</m:t>
                    </m:r>
                    <m:d>
                      <m:dPr>
                        <m:ctrlPr>
                          <w:rPr>
                            <w:rFonts w:ascii="Cambria Math" w:eastAsia="Cambria Math" w:hAnsi="Cambria Math"/>
                            <w:i/>
                            <w:sz w:val="21"/>
                          </w:rPr>
                        </m:ctrlPr>
                      </m:dPr>
                      <m:e>
                        <m:r>
                          <w:rPr>
                            <w:rFonts w:ascii="Cambria Math" w:eastAsia="Cambria Math" w:hAnsi="Cambria Math"/>
                            <w:sz w:val="21"/>
                          </w:rPr>
                          <m:t>π</m:t>
                        </m:r>
                      </m:e>
                    </m:d>
                  </m:sub>
                </m:sSub>
                <m:r>
                  <w:rPr>
                    <w:rFonts w:ascii="Cambria Math" w:eastAsia="Cambria Math" w:hAnsi="Cambria Math"/>
                    <w:sz w:val="21"/>
                  </w:rPr>
                  <m:t>=100</m:t>
                </m:r>
                <m:d>
                  <m:dPr>
                    <m:begChr m:val="["/>
                    <m:endChr m:val="]"/>
                    <m:ctrlPr>
                      <w:rPr>
                        <w:rFonts w:ascii="Cambria Math" w:eastAsia="Cambria Math" w:hAnsi="Cambria Math"/>
                        <w:i/>
                        <w:sz w:val="21"/>
                      </w:rPr>
                    </m:ctrlPr>
                  </m:dPr>
                  <m:e>
                    <m:sSub>
                      <m:sSubPr>
                        <m:ctrlPr>
                          <w:rPr>
                            <w:rFonts w:ascii="Cambria Math" w:eastAsia="Cambria Math" w:hAnsi="Cambria Math"/>
                            <w:i/>
                            <w:sz w:val="21"/>
                          </w:rPr>
                        </m:ctrlPr>
                      </m:sSubPr>
                      <m:e>
                        <m:r>
                          <w:rPr>
                            <w:rFonts w:ascii="Cambria Math" w:eastAsia="Cambria Math" w:hAnsi="Cambria Math"/>
                            <w:sz w:val="21"/>
                          </w:rPr>
                          <m:t>a</m:t>
                        </m:r>
                      </m:e>
                      <m:sub>
                        <m:r>
                          <w:rPr>
                            <w:rFonts w:ascii="Cambria Math" w:eastAsia="Cambria Math" w:hAnsi="Cambria Math"/>
                            <w:sz w:val="21"/>
                          </w:rPr>
                          <m:t>1</m:t>
                        </m:r>
                        <m:sSub>
                          <m:sSubPr>
                            <m:ctrlPr>
                              <w:rPr>
                                <w:rFonts w:ascii="Cambria Math" w:eastAsia="Cambria Math" w:hAnsi="Cambria Math"/>
                                <w:i/>
                                <w:sz w:val="21"/>
                              </w:rPr>
                            </m:ctrlPr>
                          </m:sSubPr>
                          <m:e>
                            <m:r>
                              <w:rPr>
                                <w:rFonts w:ascii="Cambria Math" w:eastAsia="Cambria Math" w:hAnsi="Cambria Math"/>
                                <w:sz w:val="21"/>
                              </w:rPr>
                              <m:t>C</m:t>
                            </m:r>
                          </m:e>
                          <m:sub>
                            <m:r>
                              <w:rPr>
                                <w:rFonts w:ascii="Cambria Math" w:eastAsia="Cambria Math" w:hAnsi="Cambria Math"/>
                                <w:sz w:val="21"/>
                              </w:rPr>
                              <m:t>cov</m:t>
                            </m:r>
                            <m:d>
                              <m:dPr>
                                <m:ctrlPr>
                                  <w:rPr>
                                    <w:rFonts w:ascii="Cambria Math" w:eastAsia="Cambria Math" w:hAnsi="Cambria Math"/>
                                    <w:i/>
                                    <w:sz w:val="21"/>
                                  </w:rPr>
                                </m:ctrlPr>
                              </m:dPr>
                              <m:e>
                                <m:r>
                                  <w:rPr>
                                    <w:rFonts w:ascii="Cambria Math" w:eastAsia="Cambria Math" w:hAnsi="Cambria Math"/>
                                    <w:sz w:val="21"/>
                                  </w:rPr>
                                  <m:t>π</m:t>
                                </m:r>
                              </m:e>
                            </m:d>
                          </m:sub>
                        </m:sSub>
                      </m:sub>
                    </m:sSub>
                    <m:r>
                      <w:rPr>
                        <w:rFonts w:ascii="Cambria Math" w:eastAsia="Cambria Math" w:hAnsi="Cambria Math"/>
                        <w:sz w:val="21"/>
                      </w:rPr>
                      <m:t>+</m:t>
                    </m:r>
                    <m:sSub>
                      <m:sSubPr>
                        <m:ctrlPr>
                          <w:rPr>
                            <w:rFonts w:ascii="Cambria Math" w:eastAsia="Cambria Math" w:hAnsi="Cambria Math"/>
                            <w:i/>
                            <w:sz w:val="21"/>
                          </w:rPr>
                        </m:ctrlPr>
                      </m:sSubPr>
                      <m:e>
                        <m:r>
                          <w:rPr>
                            <w:rFonts w:ascii="Cambria Math" w:eastAsia="Cambria Math" w:hAnsi="Cambria Math"/>
                            <w:sz w:val="21"/>
                          </w:rPr>
                          <m:t>a</m:t>
                        </m:r>
                      </m:e>
                      <m:sub>
                        <m:r>
                          <w:rPr>
                            <w:rFonts w:ascii="Cambria Math" w:eastAsia="Cambria Math" w:hAnsi="Cambria Math"/>
                            <w:sz w:val="21"/>
                          </w:rPr>
                          <m:t>2</m:t>
                        </m:r>
                        <m:sSub>
                          <m:sSubPr>
                            <m:ctrlPr>
                              <w:rPr>
                                <w:rFonts w:ascii="Cambria Math" w:eastAsia="Cambria Math" w:hAnsi="Cambria Math"/>
                                <w:i/>
                                <w:sz w:val="21"/>
                              </w:rPr>
                            </m:ctrlPr>
                          </m:sSubPr>
                          <m:e>
                            <m:r>
                              <w:rPr>
                                <w:rFonts w:ascii="Cambria Math" w:eastAsia="Cambria Math" w:hAnsi="Cambria Math"/>
                                <w:sz w:val="21"/>
                              </w:rPr>
                              <m:t>B</m:t>
                            </m:r>
                          </m:e>
                          <m:sub>
                            <m:r>
                              <w:rPr>
                                <w:rFonts w:ascii="Cambria Math" w:eastAsia="Cambria Math" w:hAnsi="Cambria Math"/>
                                <w:sz w:val="21"/>
                              </w:rPr>
                              <m:t>bal</m:t>
                            </m:r>
                            <m:d>
                              <m:dPr>
                                <m:ctrlPr>
                                  <w:rPr>
                                    <w:rFonts w:ascii="Cambria Math" w:eastAsia="Cambria Math" w:hAnsi="Cambria Math"/>
                                    <w:i/>
                                    <w:sz w:val="21"/>
                                  </w:rPr>
                                </m:ctrlPr>
                              </m:dPr>
                              <m:e>
                                <m:r>
                                  <w:rPr>
                                    <w:rFonts w:ascii="Cambria Math" w:eastAsia="Cambria Math" w:hAnsi="Cambria Math"/>
                                    <w:sz w:val="21"/>
                                  </w:rPr>
                                  <m:t>π</m:t>
                                </m:r>
                              </m:e>
                            </m:d>
                          </m:sub>
                        </m:sSub>
                      </m:sub>
                    </m:sSub>
                    <m:r>
                      <w:rPr>
                        <w:rFonts w:ascii="Cambria Math" w:eastAsia="Cambria Math" w:hAnsi="Cambria Math"/>
                        <w:sz w:val="21"/>
                      </w:rPr>
                      <m:t>+</m:t>
                    </m:r>
                    <m:sSub>
                      <m:sSubPr>
                        <m:ctrlPr>
                          <w:rPr>
                            <w:rFonts w:ascii="Cambria Math" w:eastAsia="Cambria Math" w:hAnsi="Cambria Math"/>
                            <w:i/>
                            <w:sz w:val="21"/>
                          </w:rPr>
                        </m:ctrlPr>
                      </m:sSubPr>
                      <m:e>
                        <m:r>
                          <w:rPr>
                            <w:rFonts w:ascii="Cambria Math" w:eastAsia="Cambria Math" w:hAnsi="Cambria Math"/>
                            <w:sz w:val="21"/>
                          </w:rPr>
                          <m:t>a</m:t>
                        </m:r>
                      </m:e>
                      <m:sub>
                        <m:r>
                          <w:rPr>
                            <w:rFonts w:ascii="Cambria Math" w:eastAsia="Cambria Math" w:hAnsi="Cambria Math"/>
                            <w:sz w:val="21"/>
                          </w:rPr>
                          <m:t>3</m:t>
                        </m:r>
                        <m:sSub>
                          <m:sSubPr>
                            <m:ctrlPr>
                              <w:rPr>
                                <w:rFonts w:ascii="Cambria Math" w:eastAsia="Cambria Math" w:hAnsi="Cambria Math"/>
                                <w:i/>
                                <w:sz w:val="21"/>
                              </w:rPr>
                            </m:ctrlPr>
                          </m:sSubPr>
                          <m:e>
                            <m:r>
                              <w:rPr>
                                <w:rFonts w:ascii="Cambria Math" w:eastAsia="Cambria Math" w:hAnsi="Cambria Math"/>
                                <w:sz w:val="21"/>
                              </w:rPr>
                              <m:t>B</m:t>
                            </m:r>
                          </m:e>
                          <m:sub>
                            <m:r>
                              <w:rPr>
                                <w:rFonts w:ascii="Cambria Math" w:eastAsia="Cambria Math" w:hAnsi="Cambria Math"/>
                                <w:sz w:val="21"/>
                              </w:rPr>
                              <m:t>conn</m:t>
                            </m:r>
                            <m:d>
                              <m:dPr>
                                <m:ctrlPr>
                                  <w:rPr>
                                    <w:rFonts w:ascii="Cambria Math" w:eastAsia="Cambria Math" w:hAnsi="Cambria Math"/>
                                    <w:i/>
                                    <w:sz w:val="21"/>
                                  </w:rPr>
                                </m:ctrlPr>
                              </m:dPr>
                              <m:e>
                                <m:r>
                                  <w:rPr>
                                    <w:rFonts w:ascii="Cambria Math" w:eastAsia="Cambria Math" w:hAnsi="Cambria Math"/>
                                    <w:sz w:val="21"/>
                                  </w:rPr>
                                  <m:t>π</m:t>
                                </m:r>
                              </m:e>
                            </m:d>
                          </m:sub>
                        </m:sSub>
                      </m:sub>
                    </m:sSub>
                    <m:r>
                      <w:rPr>
                        <w:rFonts w:ascii="Cambria Math" w:eastAsia="Cambria Math" w:hAnsi="Cambria Math"/>
                        <w:sz w:val="21"/>
                      </w:rPr>
                      <m:t>+</m:t>
                    </m:r>
                    <m:sSub>
                      <m:sSubPr>
                        <m:ctrlPr>
                          <w:rPr>
                            <w:rFonts w:ascii="Cambria Math" w:eastAsia="Cambria Math" w:hAnsi="Cambria Math"/>
                            <w:i/>
                            <w:sz w:val="21"/>
                          </w:rPr>
                        </m:ctrlPr>
                      </m:sSubPr>
                      <m:e>
                        <m:r>
                          <w:rPr>
                            <w:rFonts w:ascii="Cambria Math" w:eastAsia="Cambria Math" w:hAnsi="Cambria Math"/>
                            <w:sz w:val="21"/>
                          </w:rPr>
                          <m:t>a</m:t>
                        </m:r>
                      </m:e>
                      <m:sub>
                        <m:r>
                          <w:rPr>
                            <w:rFonts w:ascii="Cambria Math" w:eastAsia="Cambria Math" w:hAnsi="Cambria Math"/>
                            <w:sz w:val="21"/>
                          </w:rPr>
                          <m:t>4</m:t>
                        </m:r>
                        <m:d>
                          <m:dPr>
                            <m:ctrlPr>
                              <w:rPr>
                                <w:rFonts w:ascii="Cambria Math" w:eastAsia="Cambria Math" w:hAnsi="Cambria Math"/>
                                <w:i/>
                                <w:sz w:val="21"/>
                              </w:rPr>
                            </m:ctrlPr>
                          </m:dPr>
                          <m:e>
                            <m:r>
                              <w:rPr>
                                <w:rFonts w:ascii="Cambria Math" w:eastAsia="Cambria Math" w:hAnsi="Cambria Math"/>
                                <w:sz w:val="21"/>
                              </w:rPr>
                              <m:t>1-</m:t>
                            </m:r>
                            <m:sSub>
                              <m:sSubPr>
                                <m:ctrlPr>
                                  <w:rPr>
                                    <w:rFonts w:ascii="Cambria Math" w:eastAsia="Cambria Math" w:hAnsi="Cambria Math"/>
                                    <w:i/>
                                    <w:sz w:val="21"/>
                                  </w:rPr>
                                </m:ctrlPr>
                              </m:sSubPr>
                              <m:e>
                                <m:r>
                                  <w:rPr>
                                    <w:rFonts w:ascii="Cambria Math" w:eastAsia="Cambria Math" w:hAnsi="Cambria Math"/>
                                    <w:sz w:val="21"/>
                                  </w:rPr>
                                  <m:t>R</m:t>
                                </m:r>
                              </m:e>
                              <m:sub>
                                <m:r>
                                  <w:rPr>
                                    <w:rFonts w:ascii="Cambria Math" w:eastAsia="Cambria Math" w:hAnsi="Cambria Math"/>
                                    <w:sz w:val="21"/>
                                  </w:rPr>
                                  <m:t>road</m:t>
                                </m:r>
                                <m:d>
                                  <m:dPr>
                                    <m:ctrlPr>
                                      <w:rPr>
                                        <w:rFonts w:ascii="Cambria Math" w:eastAsia="Cambria Math" w:hAnsi="Cambria Math"/>
                                        <w:i/>
                                        <w:sz w:val="21"/>
                                      </w:rPr>
                                    </m:ctrlPr>
                                  </m:dPr>
                                  <m:e>
                                    <m:r>
                                      <w:rPr>
                                        <w:rFonts w:ascii="Cambria Math" w:eastAsia="Cambria Math" w:hAnsi="Cambria Math"/>
                                        <w:sz w:val="21"/>
                                      </w:rPr>
                                      <m:t>π</m:t>
                                    </m:r>
                                  </m:e>
                                </m:d>
                              </m:sub>
                            </m:sSub>
                          </m:e>
                        </m:d>
                      </m:sub>
                    </m:sSub>
                  </m:e>
                </m:d>
              </m:oMath>
            </m:oMathPara>
          </w:p>
        </w:tc>
        <w:tc>
          <w:tcPr>
            <w:tcW w:w="936" w:type="dxa"/>
            <w:vAlign w:val="center"/>
          </w:tcPr>
          <w:p w14:paraId="129A4D4D" w14:textId="77777777" w:rsidR="00D24CB0" w:rsidRDefault="00691361">
            <w:pPr>
              <w:spacing w:before="0" w:after="0"/>
              <w:jc w:val="right"/>
            </w:pPr>
            <w:r>
              <w:rPr>
                <w:rFonts w:eastAsia="Times New Roman"/>
                <w:sz w:val="21"/>
              </w:rPr>
              <w:t>（10）</w:t>
            </w:r>
          </w:p>
        </w:tc>
      </w:tr>
    </w:tbl>
    <w:p w14:paraId="03AC3A74" w14:textId="77777777" w:rsidR="009330B5" w:rsidRPr="009330B5" w:rsidRDefault="009330B5" w:rsidP="009330B5">
      <w:pPr>
        <w:pStyle w:val="10"/>
        <w:spacing w:after="40"/>
        <w:ind w:firstLine="420"/>
        <w:rPr>
          <w:rFonts w:ascii="宋体" w:hAnsi="宋体"/>
        </w:rPr>
      </w:pPr>
      <w:r>
        <w:t>式中，</w:t>
      </w:r>
      <w:r>
        <w:t>C_cov</w:t>
      </w:r>
      <w:r>
        <w:t>为有效覆盖率，</w:t>
      </w:r>
      <w:r>
        <w:t>B_bal</w:t>
      </w:r>
      <w:r>
        <w:t>为工作面推进长度均衡性，</w:t>
      </w:r>
      <w:r>
        <w:t>B_conn</w:t>
      </w:r>
      <w:r>
        <w:t>为巷道连接可达性，</w:t>
      </w:r>
      <w:r>
        <w:t>R_road</w:t>
      </w:r>
      <w:r>
        <w:t>为巷道工程量或组织复杂度惩罚项；</w:t>
      </w:r>
      <w:r>
        <w:t>a_1</w:t>
      </w:r>
      <w:r>
        <w:t>、</w:t>
      </w:r>
      <w:r>
        <w:t>a_2</w:t>
      </w:r>
      <w:r>
        <w:t>、</w:t>
      </w:r>
      <w:r>
        <w:t>a_3</w:t>
      </w:r>
      <w:r>
        <w:t>和</w:t>
      </w:r>
      <w:r>
        <w:t>a_4</w:t>
      </w:r>
      <w:r>
        <w:t>为工程效率分项权重。</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04"/>
        <w:gridCol w:w="7992"/>
        <w:gridCol w:w="936"/>
      </w:tblGrid>
      <w:tr w:rsidR="00D24CB0" w14:paraId="19628BCA" w14:textId="77777777">
        <w:trPr>
          <w:jc w:val="center"/>
        </w:trPr>
        <w:tc>
          <w:tcPr>
            <w:tcW w:w="504" w:type="dxa"/>
            <w:vAlign w:val="center"/>
          </w:tcPr>
          <w:p w14:paraId="014B38DB" w14:textId="77777777" w:rsidR="00D24CB0" w:rsidRDefault="00D24CB0">
            <w:pPr>
              <w:spacing w:before="0" w:after="0"/>
            </w:pPr>
          </w:p>
        </w:tc>
        <w:tc>
          <w:tcPr>
            <w:tcW w:w="7992" w:type="dxa"/>
            <w:vAlign w:val="center"/>
          </w:tcPr>
          <w:p w14:paraId="3DD0CC53" w14:textId="1F55B686" w:rsidR="00D24CB0" w:rsidRDefault="0034260F">
            <w:pPr>
              <w:spacing w:before="0" w:after="0"/>
              <w:jc w:val="center"/>
            </w:pPr>
            <m:oMathPara>
              <m:oMath>
                <m:sSub>
                  <m:sSubPr>
                    <m:ctrlPr>
                      <w:rPr>
                        <w:rFonts w:ascii="Cambria Math" w:eastAsia="Cambria Math" w:hAnsi="Cambria Math"/>
                        <w:i/>
                        <w:sz w:val="21"/>
                      </w:rPr>
                    </m:ctrlPr>
                  </m:sSubPr>
                  <m:e>
                    <m:r>
                      <w:rPr>
                        <w:rFonts w:ascii="Cambria Math" w:eastAsia="Cambria Math" w:hAnsi="Cambria Math"/>
                        <w:sz w:val="21"/>
                      </w:rPr>
                      <m:t>S</m:t>
                    </m:r>
                  </m:e>
                  <m:sub>
                    <m:r>
                      <w:rPr>
                        <w:rFonts w:ascii="Cambria Math" w:eastAsia="Cambria Math" w:hAnsi="Cambria Math"/>
                        <w:sz w:val="21"/>
                      </w:rPr>
                      <m:t>r</m:t>
                    </m:r>
                    <m:d>
                      <m:dPr>
                        <m:ctrlPr>
                          <w:rPr>
                            <w:rFonts w:ascii="Cambria Math" w:eastAsia="Cambria Math" w:hAnsi="Cambria Math"/>
                            <w:i/>
                            <w:sz w:val="21"/>
                          </w:rPr>
                        </m:ctrlPr>
                      </m:dPr>
                      <m:e>
                        <m:r>
                          <w:rPr>
                            <w:rFonts w:ascii="Cambria Math" w:eastAsia="Cambria Math" w:hAnsi="Cambria Math"/>
                            <w:sz w:val="21"/>
                          </w:rPr>
                          <m:t>π</m:t>
                        </m:r>
                      </m:e>
                    </m:d>
                  </m:sub>
                </m:sSub>
                <m:r>
                  <w:rPr>
                    <w:rFonts w:ascii="Cambria Math" w:eastAsia="Cambria Math" w:hAnsi="Cambria Math"/>
                    <w:sz w:val="21"/>
                  </w:rPr>
                  <m:t>=100</m:t>
                </m:r>
                <m:d>
                  <m:dPr>
                    <m:begChr m:val="["/>
                    <m:endChr m:val="]"/>
                    <m:ctrlPr>
                      <w:rPr>
                        <w:rFonts w:ascii="Cambria Math" w:eastAsia="Cambria Math" w:hAnsi="Cambria Math"/>
                        <w:i/>
                        <w:sz w:val="21"/>
                      </w:rPr>
                    </m:ctrlPr>
                  </m:dPr>
                  <m:e>
                    <m:sSub>
                      <m:sSubPr>
                        <m:ctrlPr>
                          <w:rPr>
                            <w:rFonts w:ascii="Cambria Math" w:eastAsia="Cambria Math" w:hAnsi="Cambria Math"/>
                            <w:i/>
                            <w:sz w:val="21"/>
                          </w:rPr>
                        </m:ctrlPr>
                      </m:sSubPr>
                      <m:e>
                        <m:r>
                          <w:rPr>
                            <w:rFonts w:ascii="Cambria Math" w:eastAsia="Cambria Math" w:hAnsi="Cambria Math"/>
                            <w:sz w:val="21"/>
                          </w:rPr>
                          <m:t>b</m:t>
                        </m:r>
                      </m:e>
                      <m:sub>
                        <m:r>
                          <w:rPr>
                            <w:rFonts w:ascii="Cambria Math" w:eastAsia="Cambria Math" w:hAnsi="Cambria Math"/>
                            <w:sz w:val="21"/>
                          </w:rPr>
                          <m:t>1</m:t>
                        </m:r>
                        <m:sSub>
                          <m:sSubPr>
                            <m:ctrlPr>
                              <w:rPr>
                                <w:rFonts w:ascii="Cambria Math" w:eastAsia="Cambria Math" w:hAnsi="Cambria Math"/>
                                <w:i/>
                                <w:sz w:val="21"/>
                              </w:rPr>
                            </m:ctrlPr>
                          </m:sSubPr>
                          <m:e>
                            <m:r>
                              <w:rPr>
                                <w:rFonts w:ascii="Cambria Math" w:eastAsia="Cambria Math" w:hAnsi="Cambria Math"/>
                                <w:sz w:val="21"/>
                              </w:rPr>
                              <m:t>R</m:t>
                            </m:r>
                          </m:e>
                          <m:sub>
                            <m:r>
                              <w:rPr>
                                <w:rFonts w:ascii="Cambria Math" w:eastAsia="Cambria Math" w:hAnsi="Cambria Math"/>
                                <w:sz w:val="21"/>
                              </w:rPr>
                              <m:t>area</m:t>
                            </m:r>
                            <m:d>
                              <m:dPr>
                                <m:ctrlPr>
                                  <w:rPr>
                                    <w:rFonts w:ascii="Cambria Math" w:eastAsia="Cambria Math" w:hAnsi="Cambria Math"/>
                                    <w:i/>
                                    <w:sz w:val="21"/>
                                  </w:rPr>
                                </m:ctrlPr>
                              </m:dPr>
                              <m:e>
                                <m:r>
                                  <w:rPr>
                                    <w:rFonts w:ascii="Cambria Math" w:eastAsia="Cambria Math" w:hAnsi="Cambria Math"/>
                                    <w:sz w:val="21"/>
                                  </w:rPr>
                                  <m:t>π</m:t>
                                </m:r>
                              </m:e>
                            </m:d>
                          </m:sub>
                        </m:sSub>
                      </m:sub>
                    </m:sSub>
                    <m:r>
                      <w:rPr>
                        <w:rFonts w:ascii="Cambria Math" w:eastAsia="Cambria Math" w:hAnsi="Cambria Math"/>
                        <w:sz w:val="21"/>
                      </w:rPr>
                      <m:t>+</m:t>
                    </m:r>
                    <m:sSub>
                      <m:sSubPr>
                        <m:ctrlPr>
                          <w:rPr>
                            <w:rFonts w:ascii="Cambria Math" w:eastAsia="Cambria Math" w:hAnsi="Cambria Math"/>
                            <w:i/>
                            <w:sz w:val="21"/>
                          </w:rPr>
                        </m:ctrlPr>
                      </m:sSubPr>
                      <m:e>
                        <m:r>
                          <w:rPr>
                            <w:rFonts w:ascii="Cambria Math" w:eastAsia="Cambria Math" w:hAnsi="Cambria Math"/>
                            <w:sz w:val="21"/>
                          </w:rPr>
                          <m:t>b</m:t>
                        </m:r>
                      </m:e>
                      <m:sub>
                        <m:r>
                          <w:rPr>
                            <w:rFonts w:ascii="Cambria Math" w:eastAsia="Cambria Math" w:hAnsi="Cambria Math"/>
                            <w:sz w:val="21"/>
                          </w:rPr>
                          <m:t>2</m:t>
                        </m:r>
                        <m:sSub>
                          <m:sSubPr>
                            <m:ctrlPr>
                              <w:rPr>
                                <w:rFonts w:ascii="Cambria Math" w:eastAsia="Cambria Math" w:hAnsi="Cambria Math"/>
                                <w:i/>
                                <w:sz w:val="21"/>
                              </w:rPr>
                            </m:ctrlPr>
                          </m:sSubPr>
                          <m:e>
                            <m:r>
                              <w:rPr>
                                <w:rFonts w:ascii="Cambria Math" w:eastAsia="Cambria Math" w:hAnsi="Cambria Math"/>
                                <w:sz w:val="21"/>
                              </w:rPr>
                              <m:t>R</m:t>
                            </m:r>
                          </m:e>
                          <m:sub>
                            <m:r>
                              <w:rPr>
                                <w:rFonts w:ascii="Cambria Math" w:eastAsia="Cambria Math" w:hAnsi="Cambria Math"/>
                                <w:sz w:val="21"/>
                              </w:rPr>
                              <m:t>thick</m:t>
                            </m:r>
                            <m:d>
                              <m:dPr>
                                <m:ctrlPr>
                                  <w:rPr>
                                    <w:rFonts w:ascii="Cambria Math" w:eastAsia="Cambria Math" w:hAnsi="Cambria Math"/>
                                    <w:i/>
                                    <w:sz w:val="21"/>
                                  </w:rPr>
                                </m:ctrlPr>
                              </m:dPr>
                              <m:e>
                                <m:r>
                                  <w:rPr>
                                    <w:rFonts w:ascii="Cambria Math" w:eastAsia="Cambria Math" w:hAnsi="Cambria Math"/>
                                    <w:sz w:val="21"/>
                                  </w:rPr>
                                  <m:t>π</m:t>
                                </m:r>
                              </m:e>
                            </m:d>
                          </m:sub>
                        </m:sSub>
                      </m:sub>
                    </m:sSub>
                    <m:r>
                      <w:rPr>
                        <w:rFonts w:ascii="Cambria Math" w:eastAsia="Cambria Math" w:hAnsi="Cambria Math"/>
                        <w:sz w:val="21"/>
                      </w:rPr>
                      <m:t>+</m:t>
                    </m:r>
                    <m:sSub>
                      <m:sSubPr>
                        <m:ctrlPr>
                          <w:rPr>
                            <w:rFonts w:ascii="Cambria Math" w:eastAsia="Cambria Math" w:hAnsi="Cambria Math"/>
                            <w:i/>
                            <w:sz w:val="21"/>
                          </w:rPr>
                        </m:ctrlPr>
                      </m:sSubPr>
                      <m:e>
                        <m:r>
                          <w:rPr>
                            <w:rFonts w:ascii="Cambria Math" w:eastAsia="Cambria Math" w:hAnsi="Cambria Math"/>
                            <w:sz w:val="21"/>
                          </w:rPr>
                          <m:t>b</m:t>
                        </m:r>
                      </m:e>
                      <m:sub>
                        <m:r>
                          <w:rPr>
                            <w:rFonts w:ascii="Cambria Math" w:eastAsia="Cambria Math" w:hAnsi="Cambria Math"/>
                            <w:sz w:val="21"/>
                          </w:rPr>
                          <m:t>3</m:t>
                        </m:r>
                        <m:sSub>
                          <m:sSubPr>
                            <m:ctrlPr>
                              <w:rPr>
                                <w:rFonts w:ascii="Cambria Math" w:eastAsia="Cambria Math" w:hAnsi="Cambria Math"/>
                                <w:i/>
                                <w:sz w:val="21"/>
                              </w:rPr>
                            </m:ctrlPr>
                          </m:sSubPr>
                          <m:e>
                            <m:r>
                              <w:rPr>
                                <w:rFonts w:ascii="Cambria Math" w:eastAsia="Cambria Math" w:hAnsi="Cambria Math"/>
                                <w:sz w:val="21"/>
                              </w:rPr>
                              <m:t>R</m:t>
                            </m:r>
                          </m:e>
                          <m:sub>
                            <m:r>
                              <w:rPr>
                                <w:rFonts w:ascii="Cambria Math" w:eastAsia="Cambria Math" w:hAnsi="Cambria Math"/>
                                <w:sz w:val="21"/>
                              </w:rPr>
                              <m:t>rec</m:t>
                            </m:r>
                            <m:d>
                              <m:dPr>
                                <m:ctrlPr>
                                  <w:rPr>
                                    <w:rFonts w:ascii="Cambria Math" w:eastAsia="Cambria Math" w:hAnsi="Cambria Math"/>
                                    <w:i/>
                                    <w:sz w:val="21"/>
                                  </w:rPr>
                                </m:ctrlPr>
                              </m:dPr>
                              <m:e>
                                <m:r>
                                  <w:rPr>
                                    <w:rFonts w:ascii="Cambria Math" w:eastAsia="Cambria Math" w:hAnsi="Cambria Math"/>
                                    <w:sz w:val="21"/>
                                  </w:rPr>
                                  <m:t>π</m:t>
                                </m:r>
                              </m:e>
                            </m:d>
                          </m:sub>
                        </m:sSub>
                      </m:sub>
                    </m:sSub>
                  </m:e>
                </m:d>
              </m:oMath>
            </m:oMathPara>
          </w:p>
        </w:tc>
        <w:tc>
          <w:tcPr>
            <w:tcW w:w="936" w:type="dxa"/>
            <w:vAlign w:val="center"/>
          </w:tcPr>
          <w:p w14:paraId="0E3B70C9" w14:textId="77777777" w:rsidR="00D24CB0" w:rsidRDefault="00691361">
            <w:pPr>
              <w:spacing w:before="0" w:after="0"/>
              <w:jc w:val="right"/>
            </w:pPr>
            <w:r>
              <w:rPr>
                <w:rFonts w:eastAsia="Times New Roman"/>
                <w:sz w:val="21"/>
              </w:rPr>
              <w:t>（11）</w:t>
            </w:r>
          </w:p>
        </w:tc>
      </w:tr>
    </w:tbl>
    <w:p w14:paraId="749983C5" w14:textId="77777777" w:rsidR="009330B5" w:rsidRPr="009330B5" w:rsidRDefault="009330B5" w:rsidP="009330B5">
      <w:pPr>
        <w:pStyle w:val="10"/>
        <w:spacing w:after="40"/>
        <w:ind w:firstLine="420"/>
        <w:rPr>
          <w:rFonts w:ascii="宋体" w:hAnsi="宋体"/>
        </w:rPr>
      </w:pPr>
      <w:r>
        <w:t>式中，</w:t>
      </w:r>
      <w:r>
        <w:t>R_area</w:t>
      </w:r>
      <w:r>
        <w:t>为布置面积或有效覆盖面积得分，</w:t>
      </w:r>
      <w:r>
        <w:t>R_thick</w:t>
      </w:r>
      <w:r>
        <w:t>为煤厚场覆盖得分，</w:t>
      </w:r>
      <w:r>
        <w:t>R_rec</w:t>
      </w:r>
      <w:r>
        <w:t>为可采资源回收得分；</w:t>
      </w:r>
      <w:r>
        <w:t>b_1</w:t>
      </w:r>
      <w:r>
        <w:t>、</w:t>
      </w:r>
      <w:r>
        <w:t>b_2</w:t>
      </w:r>
      <w:r>
        <w:t>和</w:t>
      </w:r>
      <w:r>
        <w:t>b_3</w:t>
      </w:r>
      <w:r>
        <w:t>为资源回收分项权重。</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04"/>
        <w:gridCol w:w="7992"/>
        <w:gridCol w:w="936"/>
      </w:tblGrid>
      <w:tr w:rsidR="00D24CB0" w14:paraId="2684DADF" w14:textId="77777777">
        <w:trPr>
          <w:jc w:val="center"/>
        </w:trPr>
        <w:tc>
          <w:tcPr>
            <w:tcW w:w="504" w:type="dxa"/>
            <w:vAlign w:val="center"/>
          </w:tcPr>
          <w:p w14:paraId="40611008" w14:textId="77777777" w:rsidR="00D24CB0" w:rsidRDefault="00D24CB0">
            <w:pPr>
              <w:spacing w:before="0" w:after="0"/>
            </w:pPr>
          </w:p>
        </w:tc>
        <w:tc>
          <w:tcPr>
            <w:tcW w:w="7992" w:type="dxa"/>
            <w:vAlign w:val="center"/>
          </w:tcPr>
          <w:p w14:paraId="66B0D94C" w14:textId="6A120B93" w:rsidR="00D24CB0" w:rsidRDefault="0034260F">
            <w:pPr>
              <w:spacing w:before="0" w:after="0"/>
              <w:jc w:val="center"/>
            </w:pPr>
            <m:oMathPara>
              <m:oMath>
                <m:sSub>
                  <m:sSubPr>
                    <m:ctrlPr>
                      <w:rPr>
                        <w:rFonts w:ascii="Cambria Math" w:eastAsia="Cambria Math" w:hAnsi="Cambria Math"/>
                        <w:i/>
                        <w:sz w:val="21"/>
                      </w:rPr>
                    </m:ctrlPr>
                  </m:sSubPr>
                  <m:e>
                    <m:r>
                      <w:rPr>
                        <w:rFonts w:ascii="Cambria Math" w:eastAsia="Cambria Math" w:hAnsi="Cambria Math"/>
                        <w:sz w:val="21"/>
                      </w:rPr>
                      <m:t>H</m:t>
                    </m:r>
                  </m:e>
                  <m:sub>
                    <m:r>
                      <w:rPr>
                        <w:rFonts w:ascii="Cambria Math" w:eastAsia="Cambria Math" w:hAnsi="Cambria Math"/>
                        <w:sz w:val="21"/>
                      </w:rPr>
                      <m:t>m</m:t>
                    </m:r>
                    <m:d>
                      <m:dPr>
                        <m:ctrlPr>
                          <w:rPr>
                            <w:rFonts w:ascii="Cambria Math" w:eastAsia="Cambria Math" w:hAnsi="Cambria Math"/>
                            <w:i/>
                            <w:sz w:val="21"/>
                          </w:rPr>
                        </m:ctrlPr>
                      </m:dPr>
                      <m:e>
                        <m:r>
                          <w:rPr>
                            <w:rFonts w:ascii="Cambria Math" w:eastAsia="Cambria Math" w:hAnsi="Cambria Math"/>
                            <w:sz w:val="21"/>
                          </w:rPr>
                          <m:t>π</m:t>
                        </m:r>
                      </m:e>
                    </m:d>
                  </m:sub>
                </m:sSub>
                <m:r>
                  <w:rPr>
                    <w:rFonts w:ascii="Cambria Math" w:eastAsia="Cambria Math" w:hAnsi="Cambria Math"/>
                    <w:sz w:val="21"/>
                  </w:rPr>
                  <m:t>=</m:t>
                </m:r>
                <m:sSub>
                  <m:sSubPr>
                    <m:ctrlPr>
                      <w:rPr>
                        <w:rFonts w:ascii="Cambria Math" w:eastAsia="Cambria Math" w:hAnsi="Cambria Math"/>
                        <w:i/>
                        <w:sz w:val="21"/>
                      </w:rPr>
                    </m:ctrlPr>
                  </m:sSubPr>
                  <m:e>
                    <m:r>
                      <w:rPr>
                        <w:rFonts w:ascii="Cambria Math" w:eastAsia="Cambria Math" w:hAnsi="Cambria Math"/>
                        <w:sz w:val="21"/>
                      </w:rPr>
                      <m:t>c</m:t>
                    </m:r>
                  </m:e>
                  <m:sub>
                    <m:r>
                      <w:rPr>
                        <w:rFonts w:ascii="Cambria Math" w:eastAsia="Cambria Math" w:hAnsi="Cambria Math"/>
                        <w:sz w:val="21"/>
                      </w:rPr>
                      <m:t>1OD</m:t>
                    </m:r>
                    <m:sSub>
                      <m:sSubPr>
                        <m:ctrlPr>
                          <w:rPr>
                            <w:rFonts w:ascii="Cambria Math" w:eastAsia="Cambria Math" w:hAnsi="Cambria Math"/>
                            <w:i/>
                            <w:sz w:val="21"/>
                          </w:rPr>
                        </m:ctrlPr>
                      </m:sSubPr>
                      <m:e>
                        <m:r>
                          <w:rPr>
                            <w:rFonts w:ascii="Cambria Math" w:eastAsia="Cambria Math" w:hAnsi="Cambria Math"/>
                            <w:sz w:val="21"/>
                          </w:rPr>
                          <m:t>I</m:t>
                        </m:r>
                      </m:e>
                      <m:sub>
                        <m:r>
                          <w:rPr>
                            <w:rFonts w:ascii="Cambria Math" w:eastAsia="Cambria Math" w:hAnsi="Cambria Math"/>
                            <w:sz w:val="21"/>
                          </w:rPr>
                          <m:t>mean</m:t>
                        </m:r>
                        <m:d>
                          <m:dPr>
                            <m:ctrlPr>
                              <w:rPr>
                                <w:rFonts w:ascii="Cambria Math" w:eastAsia="Cambria Math" w:hAnsi="Cambria Math"/>
                                <w:i/>
                                <w:sz w:val="21"/>
                              </w:rPr>
                            </m:ctrlPr>
                          </m:dPr>
                          <m:e>
                            <m:r>
                              <w:rPr>
                                <w:rFonts w:ascii="Cambria Math" w:eastAsia="Cambria Math" w:hAnsi="Cambria Math"/>
                                <w:sz w:val="21"/>
                              </w:rPr>
                              <m:t>π</m:t>
                            </m:r>
                          </m:e>
                        </m:d>
                      </m:sub>
                    </m:sSub>
                  </m:sub>
                </m:sSub>
                <m:r>
                  <w:rPr>
                    <w:rFonts w:ascii="Cambria Math" w:eastAsia="Cambria Math" w:hAnsi="Cambria Math"/>
                    <w:sz w:val="21"/>
                  </w:rPr>
                  <m:t>+</m:t>
                </m:r>
                <m:sSub>
                  <m:sSubPr>
                    <m:ctrlPr>
                      <w:rPr>
                        <w:rFonts w:ascii="Cambria Math" w:eastAsia="Cambria Math" w:hAnsi="Cambria Math"/>
                        <w:i/>
                        <w:sz w:val="21"/>
                      </w:rPr>
                    </m:ctrlPr>
                  </m:sSubPr>
                  <m:e>
                    <m:r>
                      <w:rPr>
                        <w:rFonts w:ascii="Cambria Math" w:eastAsia="Cambria Math" w:hAnsi="Cambria Math"/>
                        <w:sz w:val="21"/>
                      </w:rPr>
                      <m:t>c</m:t>
                    </m:r>
                  </m:e>
                  <m:sub>
                    <m:r>
                      <w:rPr>
                        <w:rFonts w:ascii="Cambria Math" w:eastAsia="Cambria Math" w:hAnsi="Cambria Math"/>
                        <w:sz w:val="21"/>
                      </w:rPr>
                      <m:t>2</m:t>
                    </m:r>
                    <m:sSub>
                      <m:sSubPr>
                        <m:ctrlPr>
                          <w:rPr>
                            <w:rFonts w:ascii="Cambria Math" w:eastAsia="Cambria Math" w:hAnsi="Cambria Math"/>
                            <w:i/>
                            <w:sz w:val="21"/>
                          </w:rPr>
                        </m:ctrlPr>
                      </m:sSubPr>
                      <m:e>
                        <m:r>
                          <w:rPr>
                            <w:rFonts w:ascii="Cambria Math" w:eastAsia="Cambria Math" w:hAnsi="Cambria Math"/>
                            <w:sz w:val="21"/>
                          </w:rPr>
                          <m:t>Q</m:t>
                        </m:r>
                      </m:e>
                      <m:sub>
                        <m:r>
                          <w:rPr>
                            <w:rFonts w:ascii="Cambria Math" w:eastAsia="Cambria Math" w:hAnsi="Cambria Math"/>
                            <w:sz w:val="21"/>
                          </w:rPr>
                          <m:t>0.90</m:t>
                        </m:r>
                        <m:d>
                          <m:dPr>
                            <m:ctrlPr>
                              <w:rPr>
                                <w:rFonts w:ascii="Cambria Math" w:eastAsia="Cambria Math" w:hAnsi="Cambria Math"/>
                                <w:i/>
                                <w:sz w:val="21"/>
                              </w:rPr>
                            </m:ctrlPr>
                          </m:dPr>
                          <m:e>
                            <m:r>
                              <w:rPr>
                                <w:rFonts w:ascii="Cambria Math" w:eastAsia="Cambria Math" w:hAnsi="Cambria Math"/>
                                <w:sz w:val="21"/>
                              </w:rPr>
                              <m:t>π</m:t>
                            </m:r>
                          </m:e>
                        </m:d>
                      </m:sub>
                    </m:sSub>
                  </m:sub>
                </m:sSub>
                <m:r>
                  <w:rPr>
                    <w:rFonts w:ascii="Cambria Math" w:eastAsia="Cambria Math" w:hAnsi="Cambria Math"/>
                    <w:sz w:val="21"/>
                  </w:rPr>
                  <m:t>+</m:t>
                </m:r>
                <m:sSub>
                  <m:sSubPr>
                    <m:ctrlPr>
                      <w:rPr>
                        <w:rFonts w:ascii="Cambria Math" w:eastAsia="Cambria Math" w:hAnsi="Cambria Math"/>
                        <w:i/>
                        <w:sz w:val="21"/>
                      </w:rPr>
                    </m:ctrlPr>
                  </m:sSubPr>
                  <m:e>
                    <m:r>
                      <w:rPr>
                        <w:rFonts w:ascii="Cambria Math" w:eastAsia="Cambria Math" w:hAnsi="Cambria Math"/>
                        <w:sz w:val="21"/>
                      </w:rPr>
                      <m:t>c</m:t>
                    </m:r>
                  </m:e>
                  <m:sub>
                    <m:r>
                      <w:rPr>
                        <w:rFonts w:ascii="Cambria Math" w:eastAsia="Cambria Math" w:hAnsi="Cambria Math"/>
                        <w:sz w:val="21"/>
                      </w:rPr>
                      <m:t>3</m:t>
                    </m:r>
                    <m:sSub>
                      <m:sSubPr>
                        <m:ctrlPr>
                          <w:rPr>
                            <w:rFonts w:ascii="Cambria Math" w:eastAsia="Cambria Math" w:hAnsi="Cambria Math"/>
                            <w:i/>
                            <w:sz w:val="21"/>
                          </w:rPr>
                        </m:ctrlPr>
                      </m:sSubPr>
                      <m:e>
                        <m:r>
                          <w:rPr>
                            <w:rFonts w:ascii="Cambria Math" w:eastAsia="Cambria Math" w:hAnsi="Cambria Math"/>
                            <w:sz w:val="21"/>
                          </w:rPr>
                          <m:t>E</m:t>
                        </m:r>
                      </m:e>
                      <m:sub>
                        <m:r>
                          <w:rPr>
                            <w:rFonts w:ascii="Cambria Math" w:eastAsia="Cambria Math" w:hAnsi="Cambria Math"/>
                            <w:sz w:val="21"/>
                          </w:rPr>
                          <m:t>π</m:t>
                        </m:r>
                        <m:d>
                          <m:dPr>
                            <m:ctrlPr>
                              <w:rPr>
                                <w:rFonts w:ascii="Cambria Math" w:eastAsia="Cambria Math" w:hAnsi="Cambria Math"/>
                                <w:i/>
                                <w:sz w:val="21"/>
                              </w:rPr>
                            </m:ctrlPr>
                          </m:dPr>
                          <m:e>
                            <m:sSub>
                              <m:sSubPr>
                                <m:ctrlPr>
                                  <w:rPr>
                                    <w:rFonts w:ascii="Cambria Math" w:eastAsia="Cambria Math" w:hAnsi="Cambria Math"/>
                                    <w:i/>
                                    <w:sz w:val="21"/>
                                  </w:rPr>
                                </m:ctrlPr>
                              </m:sSubPr>
                              <m:e>
                                <m:r>
                                  <w:rPr>
                                    <w:rFonts w:ascii="Cambria Math" w:eastAsia="Cambria Math" w:hAnsi="Cambria Math"/>
                                    <w:sz w:val="21"/>
                                  </w:rPr>
                                  <m:t>T</m:t>
                                </m:r>
                              </m:e>
                              <m:sub>
                                <m:r>
                                  <w:rPr>
                                    <w:rFonts w:ascii="Cambria Math" w:eastAsia="Cambria Math" w:hAnsi="Cambria Math"/>
                                    <w:sz w:val="21"/>
                                  </w:rPr>
                                  <m:t>ODI</m:t>
                                </m:r>
                              </m:sub>
                            </m:sSub>
                          </m:e>
                        </m:d>
                      </m:sub>
                    </m:sSub>
                  </m:sub>
                </m:sSub>
                <m:r>
                  <w:rPr>
                    <w:rFonts w:ascii="宋体" w:eastAsia="宋体" w:hAnsi="宋体" w:cs="宋体" w:hint="eastAsia"/>
                    <w:sz w:val="21"/>
                  </w:rPr>
                  <m:t>，</m:t>
                </m:r>
                <m:sSub>
                  <m:sSubPr>
                    <m:ctrlPr>
                      <w:rPr>
                        <w:rFonts w:ascii="Cambria Math" w:eastAsia="Cambria Math" w:hAnsi="Cambria Math"/>
                        <w:i/>
                        <w:sz w:val="21"/>
                      </w:rPr>
                    </m:ctrlPr>
                  </m:sSubPr>
                  <m:e>
                    <m:r>
                      <w:rPr>
                        <w:rFonts w:ascii="Cambria Math" w:eastAsia="Cambria Math" w:hAnsi="Cambria Math"/>
                        <w:sz w:val="21"/>
                      </w:rPr>
                      <m:t>S</m:t>
                    </m:r>
                    <m:ctrlPr>
                      <w:rPr>
                        <w:rFonts w:ascii="Cambria Math" w:eastAsia="宋体" w:hAnsi="Cambria Math" w:cs="宋体"/>
                        <w:i/>
                        <w:sz w:val="21"/>
                      </w:rPr>
                    </m:ctrlPr>
                  </m:e>
                  <m:sub>
                    <m:r>
                      <w:rPr>
                        <w:rFonts w:ascii="Cambria Math" w:eastAsia="Cambria Math" w:hAnsi="Cambria Math"/>
                        <w:sz w:val="21"/>
                      </w:rPr>
                      <m:t>m</m:t>
                    </m:r>
                    <m:d>
                      <m:dPr>
                        <m:ctrlPr>
                          <w:rPr>
                            <w:rFonts w:ascii="Cambria Math" w:eastAsia="Cambria Math" w:hAnsi="Cambria Math"/>
                            <w:i/>
                            <w:sz w:val="21"/>
                          </w:rPr>
                        </m:ctrlPr>
                      </m:dPr>
                      <m:e>
                        <m:r>
                          <w:rPr>
                            <w:rFonts w:ascii="Cambria Math" w:eastAsia="Cambria Math" w:hAnsi="Cambria Math"/>
                            <w:sz w:val="21"/>
                          </w:rPr>
                          <m:t>π</m:t>
                        </m:r>
                      </m:e>
                    </m:d>
                  </m:sub>
                </m:sSub>
                <m:r>
                  <w:rPr>
                    <w:rFonts w:ascii="Cambria Math" w:eastAsia="Cambria Math" w:hAnsi="Cambria Math"/>
                    <w:sz w:val="21"/>
                  </w:rPr>
                  <m:t>=100</m:t>
                </m:r>
                <m:d>
                  <m:dPr>
                    <m:begChr m:val="["/>
                    <m:endChr m:val="]"/>
                    <m:ctrlPr>
                      <w:rPr>
                        <w:rFonts w:ascii="Cambria Math" w:eastAsia="Cambria Math" w:hAnsi="Cambria Math"/>
                        <w:i/>
                        <w:sz w:val="21"/>
                      </w:rPr>
                    </m:ctrlPr>
                  </m:dPr>
                  <m:e>
                    <m:r>
                      <w:rPr>
                        <w:rFonts w:ascii="Cambria Math" w:eastAsia="Cambria Math" w:hAnsi="Cambria Math"/>
                        <w:sz w:val="21"/>
                      </w:rPr>
                      <m:t>1-</m:t>
                    </m:r>
                    <m:sSub>
                      <m:sSubPr>
                        <m:ctrlPr>
                          <w:rPr>
                            <w:rFonts w:ascii="Cambria Math" w:eastAsia="Cambria Math" w:hAnsi="Cambria Math"/>
                            <w:i/>
                            <w:sz w:val="21"/>
                          </w:rPr>
                        </m:ctrlPr>
                      </m:sSubPr>
                      <m:e>
                        <m:r>
                          <w:rPr>
                            <w:rFonts w:ascii="Cambria Math" w:eastAsia="Cambria Math" w:hAnsi="Cambria Math"/>
                            <w:sz w:val="21"/>
                          </w:rPr>
                          <m:t>H</m:t>
                        </m:r>
                      </m:e>
                      <m:sub>
                        <m:r>
                          <w:rPr>
                            <w:rFonts w:ascii="Cambria Math" w:eastAsia="Cambria Math" w:hAnsi="Cambria Math"/>
                            <w:sz w:val="21"/>
                          </w:rPr>
                          <m:t>m</m:t>
                        </m:r>
                        <m:d>
                          <m:dPr>
                            <m:ctrlPr>
                              <w:rPr>
                                <w:rFonts w:ascii="Cambria Math" w:eastAsia="Cambria Math" w:hAnsi="Cambria Math"/>
                                <w:i/>
                                <w:sz w:val="21"/>
                              </w:rPr>
                            </m:ctrlPr>
                          </m:dPr>
                          <m:e>
                            <m:r>
                              <w:rPr>
                                <w:rFonts w:ascii="Cambria Math" w:eastAsia="Cambria Math" w:hAnsi="Cambria Math"/>
                                <w:sz w:val="21"/>
                              </w:rPr>
                              <m:t>π</m:t>
                            </m:r>
                          </m:e>
                        </m:d>
                      </m:sub>
                    </m:sSub>
                  </m:e>
                </m:d>
              </m:oMath>
            </m:oMathPara>
          </w:p>
        </w:tc>
        <w:tc>
          <w:tcPr>
            <w:tcW w:w="936" w:type="dxa"/>
            <w:vAlign w:val="center"/>
          </w:tcPr>
          <w:p w14:paraId="298D2302" w14:textId="77777777" w:rsidR="00D24CB0" w:rsidRDefault="00691361">
            <w:pPr>
              <w:spacing w:before="0" w:after="0"/>
              <w:jc w:val="right"/>
            </w:pPr>
            <w:r>
              <w:rPr>
                <w:rFonts w:eastAsia="Times New Roman"/>
                <w:sz w:val="21"/>
              </w:rPr>
              <w:t>（12）</w:t>
            </w:r>
          </w:p>
        </w:tc>
      </w:tr>
    </w:tbl>
    <w:p w14:paraId="51CD5A01" w14:textId="77777777" w:rsidR="009330B5" w:rsidRPr="009330B5" w:rsidRDefault="009330B5" w:rsidP="009330B5">
      <w:pPr>
        <w:pStyle w:val="10"/>
        <w:spacing w:after="40"/>
        <w:ind w:firstLine="420"/>
        <w:rPr>
          <w:rFonts w:ascii="宋体" w:hAnsi="宋体"/>
        </w:rPr>
      </w:pPr>
      <w:r>
        <w:t>式中，</w:t>
      </w:r>
      <w:r>
        <w:t>H_m</w:t>
      </w:r>
      <w:r>
        <w:t>为扰动风险综合量，数值越小表示风险暴露越低；</w:t>
      </w:r>
      <w:r>
        <w:t>S_m</w:t>
      </w:r>
      <w:r>
        <w:t>为转化后的扰动控制评分，数值越大越优。本文敏感性分析中取</w:t>
      </w:r>
      <w:r>
        <w:t>c_1/c_2/c_3=0.50/0.35/0.15</w:t>
      </w:r>
      <w:r>
        <w:t>，并直接报告</w:t>
      </w:r>
      <w:r>
        <w:t>H_m</w:t>
      </w:r>
      <w:r>
        <w:t>排序，以避免把风险分数解释为现场安全等级。</w:t>
      </w:r>
    </w:p>
    <w:p w14:paraId="4E02ACA8" w14:textId="77777777" w:rsidR="009330B5" w:rsidRPr="009330B5" w:rsidRDefault="009330B5" w:rsidP="009330B5">
      <w:pPr>
        <w:pStyle w:val="10"/>
        <w:spacing w:after="40"/>
        <w:ind w:firstLine="420"/>
        <w:rPr>
          <w:rFonts w:ascii="宋体" w:hAnsi="宋体"/>
        </w:rPr>
      </w:pPr>
      <w:r>
        <w:t>上述评分给出了</w:t>
      </w:r>
      <w:r>
        <w:t>87.82</w:t>
      </w:r>
      <w:r>
        <w:t>、</w:t>
      </w:r>
      <w:r>
        <w:t>89.76</w:t>
      </w:r>
      <w:r>
        <w:t>等方案分数的计算口径：这些分数来自候选方案几何、连续参数场、资源覆盖和</w:t>
      </w:r>
      <w:r>
        <w:t>ODI</w:t>
      </w:r>
      <w:r>
        <w:t>统计量的归一化组合，用于同一候选池内部比较，不作为跨矿区通用评分标准。</w:t>
      </w:r>
    </w:p>
    <w:p w14:paraId="57A69022" w14:textId="77777777" w:rsidR="009330B5" w:rsidRPr="009330B5" w:rsidRDefault="009330B5" w:rsidP="009330B5">
      <w:pPr>
        <w:pStyle w:val="10"/>
        <w:spacing w:after="40"/>
        <w:ind w:firstLine="420"/>
        <w:rPr>
          <w:rFonts w:ascii="宋体" w:hAnsi="宋体"/>
        </w:rPr>
      </w:pPr>
      <w:r>
        <w:t>对通过必要安全与几何校核的候选方案，综合得分可表示为</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04"/>
        <w:gridCol w:w="7992"/>
        <w:gridCol w:w="936"/>
      </w:tblGrid>
      <w:tr w:rsidR="00D24CB0" w14:paraId="7681C811" w14:textId="77777777">
        <w:trPr>
          <w:jc w:val="center"/>
        </w:trPr>
        <w:tc>
          <w:tcPr>
            <w:tcW w:w="504" w:type="dxa"/>
            <w:vAlign w:val="center"/>
          </w:tcPr>
          <w:p w14:paraId="2BF43FCB" w14:textId="77777777" w:rsidR="00D24CB0" w:rsidRDefault="00D24CB0">
            <w:pPr>
              <w:spacing w:before="0" w:after="0"/>
            </w:pPr>
          </w:p>
        </w:tc>
        <w:tc>
          <w:tcPr>
            <w:tcW w:w="7992" w:type="dxa"/>
            <w:vAlign w:val="center"/>
          </w:tcPr>
          <w:p w14:paraId="5440279C" w14:textId="0A985200" w:rsidR="00D24CB0" w:rsidRDefault="0034260F">
            <w:pPr>
              <w:spacing w:before="0" w:after="0"/>
              <w:jc w:val="center"/>
            </w:pPr>
            <m:oMathPara>
              <m:oMath>
                <m:r>
                  <w:rPr>
                    <w:rFonts w:ascii="Cambria Math" w:eastAsia="Cambria Math" w:hAnsi="Cambria Math"/>
                    <w:sz w:val="21"/>
                  </w:rPr>
                  <m:t>F</m:t>
                </m:r>
                <m:d>
                  <m:dPr>
                    <m:ctrlPr>
                      <w:rPr>
                        <w:rFonts w:ascii="Cambria Math" w:eastAsia="Cambria Math" w:hAnsi="Cambria Math"/>
                        <w:i/>
                        <w:sz w:val="21"/>
                      </w:rPr>
                    </m:ctrlPr>
                  </m:dPr>
                  <m:e>
                    <m:r>
                      <w:rPr>
                        <w:rFonts w:ascii="Cambria Math" w:eastAsia="Cambria Math" w:hAnsi="Cambria Math"/>
                        <w:sz w:val="21"/>
                      </w:rPr>
                      <m:t>π</m:t>
                    </m:r>
                  </m:e>
                </m:d>
                <m:r>
                  <w:rPr>
                    <w:rFonts w:ascii="Cambria Math" w:eastAsia="Cambria Math" w:hAnsi="Cambria Math"/>
                    <w:sz w:val="21"/>
                  </w:rPr>
                  <m:t>=</m:t>
                </m:r>
                <m:sSub>
                  <m:sSubPr>
                    <m:ctrlPr>
                      <w:rPr>
                        <w:rFonts w:ascii="Cambria Math" w:eastAsia="Cambria Math" w:hAnsi="Cambria Math"/>
                        <w:i/>
                        <w:sz w:val="21"/>
                      </w:rPr>
                    </m:ctrlPr>
                  </m:sSubPr>
                  <m:e>
                    <m:r>
                      <w:rPr>
                        <w:rFonts w:ascii="Cambria Math" w:eastAsia="Cambria Math" w:hAnsi="Cambria Math"/>
                        <w:sz w:val="21"/>
                      </w:rPr>
                      <m:t>λ</m:t>
                    </m:r>
                  </m:e>
                  <m:sub>
                    <m:r>
                      <w:rPr>
                        <w:rFonts w:ascii="Cambria Math" w:eastAsia="Cambria Math" w:hAnsi="Cambria Math"/>
                        <w:sz w:val="21"/>
                      </w:rPr>
                      <m:t>e</m:t>
                    </m:r>
                    <m:sSub>
                      <m:sSubPr>
                        <m:ctrlPr>
                          <w:rPr>
                            <w:rFonts w:ascii="Cambria Math" w:eastAsia="Cambria Math" w:hAnsi="Cambria Math"/>
                            <w:i/>
                            <w:sz w:val="21"/>
                          </w:rPr>
                        </m:ctrlPr>
                      </m:sSubPr>
                      <m:e>
                        <m:r>
                          <w:rPr>
                            <w:rFonts w:ascii="Cambria Math" w:eastAsia="Cambria Math" w:hAnsi="Cambria Math"/>
                            <w:sz w:val="21"/>
                          </w:rPr>
                          <m:t>S</m:t>
                        </m:r>
                      </m:e>
                      <m:sub>
                        <m:r>
                          <w:rPr>
                            <w:rFonts w:ascii="Cambria Math" w:eastAsia="Cambria Math" w:hAnsi="Cambria Math"/>
                            <w:sz w:val="21"/>
                          </w:rPr>
                          <m:t>e</m:t>
                        </m:r>
                        <m:d>
                          <m:dPr>
                            <m:ctrlPr>
                              <w:rPr>
                                <w:rFonts w:ascii="Cambria Math" w:eastAsia="Cambria Math" w:hAnsi="Cambria Math"/>
                                <w:i/>
                                <w:sz w:val="21"/>
                              </w:rPr>
                            </m:ctrlPr>
                          </m:dPr>
                          <m:e>
                            <m:r>
                              <w:rPr>
                                <w:rFonts w:ascii="Cambria Math" w:eastAsia="Cambria Math" w:hAnsi="Cambria Math"/>
                                <w:sz w:val="21"/>
                              </w:rPr>
                              <m:t>π</m:t>
                            </m:r>
                          </m:e>
                        </m:d>
                      </m:sub>
                    </m:sSub>
                  </m:sub>
                </m:sSub>
                <m:r>
                  <w:rPr>
                    <w:rFonts w:ascii="Cambria Math" w:eastAsia="Cambria Math" w:hAnsi="Cambria Math"/>
                    <w:sz w:val="21"/>
                  </w:rPr>
                  <m:t>+</m:t>
                </m:r>
                <m:sSub>
                  <m:sSubPr>
                    <m:ctrlPr>
                      <w:rPr>
                        <w:rFonts w:ascii="Cambria Math" w:eastAsia="Cambria Math" w:hAnsi="Cambria Math"/>
                        <w:i/>
                        <w:sz w:val="21"/>
                      </w:rPr>
                    </m:ctrlPr>
                  </m:sSubPr>
                  <m:e>
                    <m:r>
                      <w:rPr>
                        <w:rFonts w:ascii="Cambria Math" w:eastAsia="Cambria Math" w:hAnsi="Cambria Math"/>
                        <w:sz w:val="21"/>
                      </w:rPr>
                      <m:t>λ</m:t>
                    </m:r>
                  </m:e>
                  <m:sub>
                    <m:r>
                      <w:rPr>
                        <w:rFonts w:ascii="Cambria Math" w:eastAsia="Cambria Math" w:hAnsi="Cambria Math"/>
                        <w:sz w:val="21"/>
                      </w:rPr>
                      <m:t>r</m:t>
                    </m:r>
                    <m:sSub>
                      <m:sSubPr>
                        <m:ctrlPr>
                          <w:rPr>
                            <w:rFonts w:ascii="Cambria Math" w:eastAsia="Cambria Math" w:hAnsi="Cambria Math"/>
                            <w:i/>
                            <w:sz w:val="21"/>
                          </w:rPr>
                        </m:ctrlPr>
                      </m:sSubPr>
                      <m:e>
                        <m:r>
                          <w:rPr>
                            <w:rFonts w:ascii="Cambria Math" w:eastAsia="Cambria Math" w:hAnsi="Cambria Math"/>
                            <w:sz w:val="21"/>
                          </w:rPr>
                          <m:t>S</m:t>
                        </m:r>
                      </m:e>
                      <m:sub>
                        <m:r>
                          <w:rPr>
                            <w:rFonts w:ascii="Cambria Math" w:eastAsia="Cambria Math" w:hAnsi="Cambria Math"/>
                            <w:sz w:val="21"/>
                          </w:rPr>
                          <m:t>r</m:t>
                        </m:r>
                        <m:d>
                          <m:dPr>
                            <m:ctrlPr>
                              <w:rPr>
                                <w:rFonts w:ascii="Cambria Math" w:eastAsia="Cambria Math" w:hAnsi="Cambria Math"/>
                                <w:i/>
                                <w:sz w:val="21"/>
                              </w:rPr>
                            </m:ctrlPr>
                          </m:dPr>
                          <m:e>
                            <m:r>
                              <w:rPr>
                                <w:rFonts w:ascii="Cambria Math" w:eastAsia="Cambria Math" w:hAnsi="Cambria Math"/>
                                <w:sz w:val="21"/>
                              </w:rPr>
                              <m:t>π</m:t>
                            </m:r>
                          </m:e>
                        </m:d>
                      </m:sub>
                    </m:sSub>
                  </m:sub>
                </m:sSub>
                <m:r>
                  <w:rPr>
                    <w:rFonts w:ascii="Cambria Math" w:eastAsia="Cambria Math" w:hAnsi="Cambria Math"/>
                    <w:sz w:val="21"/>
                  </w:rPr>
                  <m:t>+</m:t>
                </m:r>
                <m:sSub>
                  <m:sSubPr>
                    <m:ctrlPr>
                      <w:rPr>
                        <w:rFonts w:ascii="Cambria Math" w:eastAsia="Cambria Math" w:hAnsi="Cambria Math"/>
                        <w:i/>
                        <w:sz w:val="21"/>
                      </w:rPr>
                    </m:ctrlPr>
                  </m:sSubPr>
                  <m:e>
                    <m:r>
                      <w:rPr>
                        <w:rFonts w:ascii="Cambria Math" w:eastAsia="Cambria Math" w:hAnsi="Cambria Math"/>
                        <w:sz w:val="21"/>
                      </w:rPr>
                      <m:t>λ</m:t>
                    </m:r>
                  </m:e>
                  <m:sub>
                    <m:r>
                      <w:rPr>
                        <w:rFonts w:ascii="Cambria Math" w:eastAsia="Cambria Math" w:hAnsi="Cambria Math"/>
                        <w:sz w:val="21"/>
                      </w:rPr>
                      <m:t>m</m:t>
                    </m:r>
                    <m:sSub>
                      <m:sSubPr>
                        <m:ctrlPr>
                          <w:rPr>
                            <w:rFonts w:ascii="Cambria Math" w:eastAsia="Cambria Math" w:hAnsi="Cambria Math"/>
                            <w:i/>
                            <w:sz w:val="21"/>
                          </w:rPr>
                        </m:ctrlPr>
                      </m:sSubPr>
                      <m:e>
                        <m:r>
                          <w:rPr>
                            <w:rFonts w:ascii="Cambria Math" w:eastAsia="Cambria Math" w:hAnsi="Cambria Math"/>
                            <w:sz w:val="21"/>
                          </w:rPr>
                          <m:t>S</m:t>
                        </m:r>
                      </m:e>
                      <m:sub>
                        <m:r>
                          <w:rPr>
                            <w:rFonts w:ascii="Cambria Math" w:eastAsia="Cambria Math" w:hAnsi="Cambria Math"/>
                            <w:sz w:val="21"/>
                          </w:rPr>
                          <m:t>m</m:t>
                        </m:r>
                        <m:d>
                          <m:dPr>
                            <m:ctrlPr>
                              <w:rPr>
                                <w:rFonts w:ascii="Cambria Math" w:eastAsia="Cambria Math" w:hAnsi="Cambria Math"/>
                                <w:i/>
                                <w:sz w:val="21"/>
                              </w:rPr>
                            </m:ctrlPr>
                          </m:dPr>
                          <m:e>
                            <m:r>
                              <w:rPr>
                                <w:rFonts w:ascii="Cambria Math" w:eastAsia="Cambria Math" w:hAnsi="Cambria Math"/>
                                <w:sz w:val="21"/>
                              </w:rPr>
                              <m:t>π</m:t>
                            </m:r>
                          </m:e>
                        </m:d>
                      </m:sub>
                    </m:sSub>
                  </m:sub>
                </m:sSub>
                <m:r>
                  <w:rPr>
                    <w:rFonts w:ascii="宋体" w:eastAsia="宋体" w:hAnsi="宋体" w:cs="宋体" w:hint="eastAsia"/>
                    <w:sz w:val="21"/>
                  </w:rPr>
                  <m:t>，</m:t>
                </m:r>
                <m:sSub>
                  <m:sSubPr>
                    <m:ctrlPr>
                      <w:rPr>
                        <w:rFonts w:ascii="Cambria Math" w:eastAsia="Cambria Math" w:hAnsi="Cambria Math"/>
                        <w:i/>
                        <w:sz w:val="21"/>
                      </w:rPr>
                    </m:ctrlPr>
                  </m:sSubPr>
                  <m:e>
                    <m:r>
                      <w:rPr>
                        <w:rFonts w:ascii="Cambria Math" w:eastAsia="Cambria Math" w:hAnsi="Cambria Math"/>
                        <w:sz w:val="21"/>
                      </w:rPr>
                      <m:t>λ</m:t>
                    </m:r>
                    <m:ctrlPr>
                      <w:rPr>
                        <w:rFonts w:ascii="Cambria Math" w:eastAsia="宋体" w:hAnsi="Cambria Math" w:cs="宋体"/>
                        <w:i/>
                        <w:sz w:val="21"/>
                      </w:rPr>
                    </m:ctrlPr>
                  </m:e>
                  <m:sub>
                    <m:r>
                      <w:rPr>
                        <w:rFonts w:ascii="Cambria Math" w:eastAsia="Cambria Math" w:hAnsi="Cambria Math"/>
                        <w:sz w:val="21"/>
                      </w:rPr>
                      <m:t>e</m:t>
                    </m:r>
                  </m:sub>
                </m:sSub>
                <m:r>
                  <w:rPr>
                    <w:rFonts w:ascii="Cambria Math" w:eastAsia="Cambria Math" w:hAnsi="Cambria Math"/>
                    <w:sz w:val="21"/>
                  </w:rPr>
                  <m:t>+</m:t>
                </m:r>
                <m:sSub>
                  <m:sSubPr>
                    <m:ctrlPr>
                      <w:rPr>
                        <w:rFonts w:ascii="Cambria Math" w:eastAsia="Cambria Math" w:hAnsi="Cambria Math"/>
                        <w:i/>
                        <w:sz w:val="21"/>
                      </w:rPr>
                    </m:ctrlPr>
                  </m:sSubPr>
                  <m:e>
                    <m:r>
                      <w:rPr>
                        <w:rFonts w:ascii="Cambria Math" w:eastAsia="Cambria Math" w:hAnsi="Cambria Math"/>
                        <w:sz w:val="21"/>
                      </w:rPr>
                      <m:t>λ</m:t>
                    </m:r>
                  </m:e>
                  <m:sub>
                    <m:r>
                      <w:rPr>
                        <w:rFonts w:ascii="Cambria Math" w:eastAsia="Cambria Math" w:hAnsi="Cambria Math"/>
                        <w:sz w:val="21"/>
                      </w:rPr>
                      <m:t>r</m:t>
                    </m:r>
                  </m:sub>
                </m:sSub>
                <m:r>
                  <w:rPr>
                    <w:rFonts w:ascii="Cambria Math" w:eastAsia="Cambria Math" w:hAnsi="Cambria Math"/>
                    <w:sz w:val="21"/>
                  </w:rPr>
                  <m:t>+</m:t>
                </m:r>
                <m:sSub>
                  <m:sSubPr>
                    <m:ctrlPr>
                      <w:rPr>
                        <w:rFonts w:ascii="Cambria Math" w:eastAsia="Cambria Math" w:hAnsi="Cambria Math"/>
                        <w:i/>
                        <w:sz w:val="21"/>
                      </w:rPr>
                    </m:ctrlPr>
                  </m:sSubPr>
                  <m:e>
                    <m:r>
                      <w:rPr>
                        <w:rFonts w:ascii="Cambria Math" w:eastAsia="Cambria Math" w:hAnsi="Cambria Math"/>
                        <w:sz w:val="21"/>
                      </w:rPr>
                      <m:t>λ</m:t>
                    </m:r>
                  </m:e>
                  <m:sub>
                    <m:r>
                      <w:rPr>
                        <w:rFonts w:ascii="Cambria Math" w:eastAsia="Cambria Math" w:hAnsi="Cambria Math"/>
                        <w:sz w:val="21"/>
                      </w:rPr>
                      <m:t>m</m:t>
                    </m:r>
                  </m:sub>
                </m:sSub>
                <m:r>
                  <w:rPr>
                    <w:rFonts w:ascii="Cambria Math" w:eastAsia="Cambria Math" w:hAnsi="Cambria Math"/>
                    <w:sz w:val="21"/>
                  </w:rPr>
                  <m:t>=1</m:t>
                </m:r>
              </m:oMath>
            </m:oMathPara>
          </w:p>
        </w:tc>
        <w:tc>
          <w:tcPr>
            <w:tcW w:w="936" w:type="dxa"/>
            <w:vAlign w:val="center"/>
          </w:tcPr>
          <w:p w14:paraId="3C3C75D9" w14:textId="77777777" w:rsidR="00D24CB0" w:rsidRDefault="00691361">
            <w:pPr>
              <w:spacing w:before="0" w:after="0"/>
              <w:jc w:val="right"/>
            </w:pPr>
            <w:r>
              <w:rPr>
                <w:rFonts w:eastAsia="Times New Roman"/>
                <w:sz w:val="21"/>
              </w:rPr>
              <w:t>（13）</w:t>
            </w:r>
          </w:p>
        </w:tc>
      </w:tr>
    </w:tbl>
    <w:p w14:paraId="6BE523E4" w14:textId="77777777" w:rsidR="00D007CE" w:rsidRDefault="00A249E2">
      <w:r>
        <w:rPr>
          <w:sz w:val="21"/>
        </w:rPr>
        <w:t>为降低单一加权排序对权重的依赖，本文在加权排序前引入非支配排序和拥挤距离选择形成</w:t>
      </w:r>
      <w:r>
        <w:rPr>
          <w:sz w:val="21"/>
        </w:rPr>
        <w:t>Top-K</w:t>
      </w:r>
      <w:r>
        <w:rPr>
          <w:sz w:val="21"/>
        </w:rPr>
        <w:t>候选方案。非支配排序以</w:t>
      </w:r>
      <w:r>
        <w:rPr>
          <w:sz w:val="21"/>
        </w:rPr>
        <w:t>S_e</w:t>
      </w:r>
      <w:r>
        <w:rPr>
          <w:sz w:val="21"/>
        </w:rPr>
        <w:t>、</w:t>
      </w:r>
      <w:r>
        <w:rPr>
          <w:sz w:val="21"/>
        </w:rPr>
        <w:t>S_r</w:t>
      </w:r>
      <w:r>
        <w:rPr>
          <w:sz w:val="21"/>
        </w:rPr>
        <w:t>和</w:t>
      </w:r>
      <w:r>
        <w:rPr>
          <w:sz w:val="21"/>
        </w:rPr>
        <w:t>S_m</w:t>
      </w:r>
      <w:r>
        <w:rPr>
          <w:sz w:val="21"/>
        </w:rPr>
        <w:t>为目标向量，优先保留不存在其他方案同时优于它的候选；当同一非支配层内候选数量超过输出数量时，采用拥挤距离保持解集多样性，再依据综合权重</w:t>
      </w:r>
      <w:r>
        <w:rPr>
          <w:sz w:val="21"/>
        </w:rPr>
        <w:t>F(π)</w:t>
      </w:r>
      <w:r>
        <w:rPr>
          <w:sz w:val="21"/>
        </w:rPr>
        <w:t>进行推荐排序。工程效率优先、资源回收优先、扰动控制优先和综合权衡模式均来自同一候选池，仅代表不同评价偏好，不应被表述为真实矿井条件下的全局最优解。</w:t>
      </w:r>
    </w:p>
    <w:p w14:paraId="509EDB70" w14:textId="77777777" w:rsidR="00D007CE" w:rsidRDefault="00A249E2">
      <w:r>
        <w:t>非支配关系具体定义为：若候选方案</w:t>
      </w:r>
      <w:r>
        <w:t>π_i</w:t>
      </w:r>
      <w:r>
        <w:t>在</w:t>
      </w:r>
      <w:r>
        <w:t>S_e</w:t>
      </w:r>
      <w:r>
        <w:t>、</w:t>
      </w:r>
      <w:r>
        <w:t>S_r</w:t>
      </w:r>
      <w:r>
        <w:t>和</w:t>
      </w:r>
      <w:r>
        <w:t>S_m</w:t>
      </w:r>
      <w:r>
        <w:t>三个目标上均不劣于</w:t>
      </w:r>
      <w:r>
        <w:t>π_j</w:t>
      </w:r>
      <w:r>
        <w:t>，且至少一个目标严格优于</w:t>
      </w:r>
      <w:r>
        <w:t>π_j</w:t>
      </w:r>
      <w:r>
        <w:t>，则</w:t>
      </w:r>
      <w:r>
        <w:t>π_i</w:t>
      </w:r>
      <w:r>
        <w:t>支配</w:t>
      </w:r>
      <w:r>
        <w:t>π_j</w:t>
      </w:r>
      <w:r>
        <w:t>。第一非支配层由不被任何其他候选支配的方案组成，第二层由剔除第一层后新的非支配方案组成，依此类推。拥挤距离用于保留同一非支配层内目标空间分布较分散的候选，避免输出方案集中在单一偏好附近。</w:t>
      </w:r>
    </w:p>
    <w:p w14:paraId="79552A08" w14:textId="77777777" w:rsidR="00D007CE" w:rsidRDefault="00A249E2">
      <w:r>
        <w:t>不同偏好模式通过</w:t>
      </w:r>
      <w:r>
        <w:t>λ_e</w:t>
      </w:r>
      <w:r>
        <w:t>、</w:t>
      </w:r>
      <w:r>
        <w:t>λ_r</w:t>
      </w:r>
      <w:r>
        <w:t>和</w:t>
      </w:r>
      <w:r>
        <w:t>λ_m</w:t>
      </w:r>
      <w:r>
        <w:t>体现：工程效率优先模式提高</w:t>
      </w:r>
      <w:r>
        <w:t>λ_e</w:t>
      </w:r>
      <w:r>
        <w:t>，资源回收优先模式提高</w:t>
      </w:r>
      <w:r>
        <w:t>λ_r</w:t>
      </w:r>
      <w:r>
        <w:t>，扰动控制优先模式提高</w:t>
      </w:r>
      <w:r>
        <w:t>λ_m</w:t>
      </w:r>
      <w:r>
        <w:t>，综合权衡模式则采用相对均衡的权重。本文把这些权重作为同一候选池内部的排序偏好参数，而非现场统计标定常数；因此，</w:t>
      </w:r>
      <w:r>
        <w:t>A</w:t>
      </w:r>
      <w:r>
        <w:t>、</w:t>
      </w:r>
      <w:r>
        <w:t>B</w:t>
      </w:r>
      <w:r>
        <w:t>、</w:t>
      </w:r>
      <w:r>
        <w:t>C</w:t>
      </w:r>
      <w:r>
        <w:t>方案分别代表不同偏好下的推荐候选，用于揭示覆盖率、资源回收和扰动暴露之间的权衡关系。</w:t>
      </w:r>
    </w:p>
    <w:p w14:paraId="533A66A6" w14:textId="77777777" w:rsidR="007E22B6" w:rsidRDefault="007E22B6"/>
    <w:p w14:paraId="0280BDF5" w14:textId="77777777" w:rsidR="00E05130" w:rsidRPr="00E05130" w:rsidRDefault="00E05130" w:rsidP="00A046E0">
      <w:pPr>
        <w:pStyle w:val="12"/>
      </w:pPr>
      <w:r>
        <w:rPr>
          <w:rFonts w:ascii="宋体" w:eastAsia="宋体" w:hAnsi="宋体"/>
          <w:sz w:val="21"/>
        </w:rPr>
        <w:t>1.4 方案传递与评价流程</w:t>
      </w:r>
    </w:p>
    <w:p w14:paraId="200416B4" w14:textId="77777777" w:rsidR="009330B5" w:rsidRPr="009330B5" w:rsidRDefault="009330B5" w:rsidP="009330B5">
      <w:pPr>
        <w:pStyle w:val="10"/>
        <w:spacing w:after="40"/>
        <w:ind w:firstLine="420"/>
        <w:rPr>
          <w:rFonts w:ascii="宋体" w:hAnsi="宋体"/>
        </w:rPr>
      </w:pPr>
      <w:r>
        <w:t>本文方法并不把几何布局视为终点，而是强调规划结果在后续调控、接续和经济评价环节中的连续传递。已有智能化煤矿技术体系研究提出基于三维地质模型的工作面采掘接续智能设计，可自动计算工作面长度、采高、储量等指标并辅助生成相关设计成果</w:t>
      </w:r>
      <w:r>
        <w:t>[28]</w:t>
      </w:r>
      <w:r>
        <w:t>；地下水库和矿井水调度研究也表明，采动空间对象、储水空间和水量调控需要在规划与运行阶段连续组织</w:t>
      </w:r>
      <w:r>
        <w:t>[42-47]</w:t>
      </w:r>
      <w:r>
        <w:t>。也就是说，采区规划阶段形成的工作面边界、巷道结构、覆盖范围及扰动统计量，不仅是当前求解阶段的输出，也是后续生产组织与经</w:t>
      </w:r>
      <w:r>
        <w:lastRenderedPageBreak/>
        <w:t>济测算的上游输入。这种</w:t>
      </w:r>
      <w:r>
        <w:t>“</w:t>
      </w:r>
      <w:r>
        <w:t>规划</w:t>
      </w:r>
      <w:r>
        <w:t>—</w:t>
      </w:r>
      <w:r>
        <w:t>调控</w:t>
      </w:r>
      <w:r>
        <w:t>—</w:t>
      </w:r>
      <w:r>
        <w:t>评价</w:t>
      </w:r>
      <w:r>
        <w:t>”</w:t>
      </w:r>
      <w:r>
        <w:t>的连续链条，是本文区别于传统割裂式规划流程的重要特点。</w:t>
      </w:r>
    </w:p>
    <w:p w14:paraId="57E7C1CC" w14:textId="77777777" w:rsidR="009330B5" w:rsidRPr="009330B5" w:rsidRDefault="009330B5" w:rsidP="009330B5">
      <w:pPr>
        <w:pStyle w:val="10"/>
        <w:spacing w:after="40"/>
        <w:ind w:firstLine="420"/>
        <w:rPr>
          <w:rFonts w:ascii="宋体" w:hAnsi="宋体"/>
        </w:rPr>
      </w:pPr>
      <w:r>
        <w:rPr>
          <w:rFonts w:ascii="宋体" w:eastAsia="宋体" w:hAnsi="宋体"/>
        </w:rPr>
        <w:t>在调控层面，规划结果可进一步转化为工作面级和生产级控制变量。例如，在含水层扰动场景下，可将工作面采高、工作面宽度、区段煤柱宽度以及推进长度作为主要调控参数，通过比较不同参数条件下ODI均值、高分位值和超限比例的变化，识别对扰动强度最敏感的控制量，并据此开展局部调整。这意味着规划阶段并不直接产出不可更改的最终工程方案，而是先形成满足必要安全与几何底线、并保留推荐阈值校核状态的候选空间对象，再通过参数调控提升其在扰动约束下的适应性。</w:t>
      </w:r>
    </w:p>
    <w:p w14:paraId="710287BF" w14:textId="77777777" w:rsidR="009330B5" w:rsidRPr="009330B5" w:rsidRDefault="009330B5" w:rsidP="009330B5">
      <w:pPr>
        <w:pStyle w:val="10"/>
        <w:spacing w:after="40"/>
        <w:ind w:firstLine="420"/>
        <w:rPr>
          <w:rFonts w:ascii="宋体" w:hAnsi="宋体"/>
        </w:rPr>
      </w:pPr>
      <w:r>
        <w:rPr>
          <w:rFonts w:ascii="宋体" w:eastAsia="宋体" w:hAnsi="宋体"/>
        </w:rPr>
        <w:t>设接续方案为s，其指标关系可表示为</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04"/>
        <w:gridCol w:w="7992"/>
        <w:gridCol w:w="936"/>
      </w:tblGrid>
      <w:tr w:rsidR="00D24CB0" w14:paraId="3ADF401D" w14:textId="77777777">
        <w:trPr>
          <w:jc w:val="center"/>
        </w:trPr>
        <w:tc>
          <w:tcPr>
            <w:tcW w:w="504" w:type="dxa"/>
            <w:vAlign w:val="center"/>
          </w:tcPr>
          <w:p w14:paraId="091EA606" w14:textId="77777777" w:rsidR="00D24CB0" w:rsidRDefault="00D24CB0">
            <w:pPr>
              <w:spacing w:before="0" w:after="0"/>
            </w:pPr>
          </w:p>
        </w:tc>
        <w:tc>
          <w:tcPr>
            <w:tcW w:w="7992" w:type="dxa"/>
            <w:vAlign w:val="center"/>
          </w:tcPr>
          <w:p w14:paraId="77D3DC90" w14:textId="6E43E3D4" w:rsidR="00D24CB0" w:rsidRDefault="0034260F">
            <w:pPr>
              <w:spacing w:before="0" w:after="0"/>
              <w:jc w:val="center"/>
            </w:pPr>
            <m:oMathPara>
              <m:oMath>
                <m:r>
                  <w:rPr>
                    <w:rFonts w:ascii="Cambria Math" w:eastAsia="Cambria Math" w:hAnsi="Cambria Math"/>
                    <w:sz w:val="21"/>
                  </w:rPr>
                  <m:t>G</m:t>
                </m:r>
                <m:d>
                  <m:dPr>
                    <m:ctrlPr>
                      <w:rPr>
                        <w:rFonts w:ascii="Cambria Math" w:eastAsia="Cambria Math" w:hAnsi="Cambria Math"/>
                        <w:i/>
                        <w:sz w:val="21"/>
                      </w:rPr>
                    </m:ctrlPr>
                  </m:dPr>
                  <m:e>
                    <m:r>
                      <w:rPr>
                        <w:rFonts w:ascii="Cambria Math" w:eastAsia="Cambria Math" w:hAnsi="Cambria Math"/>
                        <w:sz w:val="21"/>
                      </w:rPr>
                      <m:t>s</m:t>
                    </m:r>
                  </m:e>
                </m:d>
                <m:r>
                  <w:rPr>
                    <w:rFonts w:ascii="Cambria Math" w:eastAsia="Cambria Math" w:hAnsi="Cambria Math"/>
                    <w:sz w:val="21"/>
                  </w:rPr>
                  <m:t>=α</m:t>
                </m:r>
                <m:sSub>
                  <m:sSubPr>
                    <m:ctrlPr>
                      <w:rPr>
                        <w:rFonts w:ascii="Cambria Math" w:eastAsia="Cambria Math" w:hAnsi="Cambria Math"/>
                        <w:i/>
                        <w:sz w:val="21"/>
                      </w:rPr>
                    </m:ctrlPr>
                  </m:sSubPr>
                  <m:e>
                    <m:r>
                      <w:rPr>
                        <w:rFonts w:ascii="Cambria Math" w:eastAsia="Cambria Math" w:hAnsi="Cambria Math"/>
                        <w:sz w:val="21"/>
                      </w:rPr>
                      <m:t>P</m:t>
                    </m:r>
                  </m:e>
                  <m:sub>
                    <m:r>
                      <w:rPr>
                        <w:rFonts w:ascii="Cambria Math" w:eastAsia="Cambria Math" w:hAnsi="Cambria Math"/>
                        <w:sz w:val="21"/>
                      </w:rPr>
                      <m:t>s</m:t>
                    </m:r>
                  </m:sub>
                </m:sSub>
                <m:r>
                  <w:rPr>
                    <w:rFonts w:ascii="Cambria Math" w:eastAsia="Cambria Math" w:hAnsi="Cambria Math"/>
                    <w:sz w:val="21"/>
                  </w:rPr>
                  <m:t>+β</m:t>
                </m:r>
                <m:sSub>
                  <m:sSubPr>
                    <m:ctrlPr>
                      <w:rPr>
                        <w:rFonts w:ascii="Cambria Math" w:eastAsia="Cambria Math" w:hAnsi="Cambria Math"/>
                        <w:i/>
                        <w:sz w:val="21"/>
                      </w:rPr>
                    </m:ctrlPr>
                  </m:sSubPr>
                  <m:e>
                    <m:r>
                      <w:rPr>
                        <w:rFonts w:ascii="Cambria Math" w:eastAsia="Cambria Math" w:hAnsi="Cambria Math"/>
                        <w:sz w:val="21"/>
                      </w:rPr>
                      <m:t>R</m:t>
                    </m:r>
                  </m:e>
                  <m:sub>
                    <m:r>
                      <w:rPr>
                        <w:rFonts w:ascii="Cambria Math" w:eastAsia="Cambria Math" w:hAnsi="Cambria Math"/>
                        <w:sz w:val="21"/>
                      </w:rPr>
                      <m:t>s</m:t>
                    </m:r>
                  </m:sub>
                </m:sSub>
                <m:r>
                  <w:rPr>
                    <w:rFonts w:ascii="Cambria Math" w:eastAsia="Cambria Math" w:hAnsi="Cambria Math"/>
                    <w:sz w:val="21"/>
                  </w:rPr>
                  <m:t>+γ</m:t>
                </m:r>
                <m:sSub>
                  <m:sSubPr>
                    <m:ctrlPr>
                      <w:rPr>
                        <w:rFonts w:ascii="Cambria Math" w:eastAsia="Cambria Math" w:hAnsi="Cambria Math"/>
                        <w:i/>
                        <w:sz w:val="21"/>
                      </w:rPr>
                    </m:ctrlPr>
                  </m:sSubPr>
                  <m:e>
                    <m:r>
                      <w:rPr>
                        <w:rFonts w:ascii="Cambria Math" w:eastAsia="Cambria Math" w:hAnsi="Cambria Math"/>
                        <w:sz w:val="21"/>
                      </w:rPr>
                      <m:t>C</m:t>
                    </m:r>
                  </m:e>
                  <m:sub>
                    <m:r>
                      <w:rPr>
                        <w:rFonts w:ascii="Cambria Math" w:eastAsia="Cambria Math" w:hAnsi="Cambria Math"/>
                        <w:sz w:val="21"/>
                      </w:rPr>
                      <m:t>s</m:t>
                    </m:r>
                  </m:sub>
                </m:sSub>
                <m:r>
                  <w:rPr>
                    <w:rFonts w:ascii="宋体" w:eastAsia="宋体" w:hAnsi="宋体" w:cs="宋体" w:hint="eastAsia"/>
                    <w:sz w:val="21"/>
                  </w:rPr>
                  <m:t>，</m:t>
                </m:r>
                <m:r>
                  <w:rPr>
                    <w:rFonts w:ascii="Cambria Math" w:eastAsia="Cambria Math" w:hAnsi="Cambria Math"/>
                    <w:sz w:val="21"/>
                  </w:rPr>
                  <m:t>α+β+γ=1</m:t>
                </m:r>
              </m:oMath>
            </m:oMathPara>
          </w:p>
        </w:tc>
        <w:tc>
          <w:tcPr>
            <w:tcW w:w="936" w:type="dxa"/>
            <w:vAlign w:val="center"/>
          </w:tcPr>
          <w:p w14:paraId="15C17CD9" w14:textId="77777777" w:rsidR="00D24CB0" w:rsidRDefault="00691361">
            <w:pPr>
              <w:spacing w:before="0" w:after="0"/>
              <w:jc w:val="right"/>
            </w:pPr>
            <w:r>
              <w:rPr>
                <w:rFonts w:eastAsia="Times New Roman"/>
                <w:sz w:val="21"/>
              </w:rPr>
              <w:t>（14）</w:t>
            </w:r>
          </w:p>
        </w:tc>
      </w:tr>
    </w:tbl>
    <w:p w14:paraId="21AB639E" w14:textId="77777777" w:rsidR="004D2816" w:rsidRPr="004D2816" w:rsidRDefault="004D2816" w:rsidP="004D2816">
      <w:pPr>
        <w:pStyle w:val="10"/>
        <w:spacing w:after="40"/>
        <w:ind w:firstLine="420"/>
      </w:pPr>
      <w:r>
        <w:rPr>
          <w:rFonts w:ascii="宋体" w:eastAsia="宋体" w:hAnsi="宋体"/>
        </w:rPr>
        <w:t>式中，P_s为产量组织指标，R_s为风险可控性指标，C_s为工期与组织可控性指标；α、β和γ为对应权重，且满足α+β+γ=1。</w:t>
      </w:r>
    </w:p>
    <w:p w14:paraId="47195806" w14:textId="77777777" w:rsidR="004D2816" w:rsidRPr="004D2816" w:rsidRDefault="004D2816" w:rsidP="004D2816">
      <w:pPr>
        <w:pStyle w:val="10"/>
        <w:spacing w:after="40"/>
        <w:ind w:firstLine="420"/>
      </w:pPr>
      <w:r>
        <w:rPr>
          <w:rFonts w:ascii="宋体" w:eastAsia="宋体" w:hAnsi="宋体"/>
        </w:rPr>
        <w:t>进一步地，工程经济评价可通过月度净现金流口径承接规划与接续结果。第t月净现金流可表示为</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04"/>
        <w:gridCol w:w="7992"/>
        <w:gridCol w:w="936"/>
      </w:tblGrid>
      <w:tr w:rsidR="00D24CB0" w14:paraId="57A1DB4F" w14:textId="77777777">
        <w:trPr>
          <w:jc w:val="center"/>
        </w:trPr>
        <w:tc>
          <w:tcPr>
            <w:tcW w:w="504" w:type="dxa"/>
            <w:vAlign w:val="center"/>
          </w:tcPr>
          <w:p w14:paraId="3252BDCA" w14:textId="77777777" w:rsidR="00D24CB0" w:rsidRDefault="00D24CB0">
            <w:pPr>
              <w:spacing w:before="0" w:after="0"/>
            </w:pPr>
          </w:p>
        </w:tc>
        <w:tc>
          <w:tcPr>
            <w:tcW w:w="7992" w:type="dxa"/>
            <w:vAlign w:val="center"/>
          </w:tcPr>
          <w:p w14:paraId="2B47BF88" w14:textId="50411DE0" w:rsidR="00D24CB0" w:rsidRDefault="0034260F">
            <w:pPr>
              <w:spacing w:before="0" w:after="0"/>
              <w:jc w:val="center"/>
            </w:pPr>
            <m:oMathPara>
              <m:oMath>
                <m:r>
                  <w:rPr>
                    <w:rFonts w:ascii="Cambria Math" w:eastAsia="Cambria Math" w:hAnsi="Cambria Math"/>
                    <w:sz w:val="21"/>
                  </w:rPr>
                  <m:t>NC</m:t>
                </m:r>
                <m:sSub>
                  <m:sSubPr>
                    <m:ctrlPr>
                      <w:rPr>
                        <w:rFonts w:ascii="Cambria Math" w:eastAsia="Cambria Math" w:hAnsi="Cambria Math"/>
                        <w:i/>
                        <w:sz w:val="21"/>
                      </w:rPr>
                    </m:ctrlPr>
                  </m:sSubPr>
                  <m:e>
                    <m:r>
                      <w:rPr>
                        <w:rFonts w:ascii="Cambria Math" w:eastAsia="Cambria Math" w:hAnsi="Cambria Math"/>
                        <w:sz w:val="21"/>
                      </w:rPr>
                      <m:t>F</m:t>
                    </m:r>
                  </m:e>
                  <m:sub>
                    <m:r>
                      <w:rPr>
                        <w:rFonts w:ascii="Cambria Math" w:eastAsia="Cambria Math" w:hAnsi="Cambria Math"/>
                        <w:sz w:val="21"/>
                      </w:rPr>
                      <m:t>t</m:t>
                    </m:r>
                  </m:sub>
                </m:sSub>
                <m:r>
                  <w:rPr>
                    <w:rFonts w:ascii="Cambria Math" w:eastAsia="Cambria Math" w:hAnsi="Cambria Math"/>
                    <w:sz w:val="21"/>
                  </w:rPr>
                  <m:t>=Re</m:t>
                </m:r>
                <m:sSub>
                  <m:sSubPr>
                    <m:ctrlPr>
                      <w:rPr>
                        <w:rFonts w:ascii="Cambria Math" w:eastAsia="Cambria Math" w:hAnsi="Cambria Math"/>
                        <w:i/>
                        <w:sz w:val="21"/>
                      </w:rPr>
                    </m:ctrlPr>
                  </m:sSubPr>
                  <m:e>
                    <m:r>
                      <w:rPr>
                        <w:rFonts w:ascii="Cambria Math" w:eastAsia="Cambria Math" w:hAnsi="Cambria Math"/>
                        <w:sz w:val="21"/>
                      </w:rPr>
                      <m:t>v</m:t>
                    </m:r>
                  </m:e>
                  <m:sub>
                    <m:r>
                      <w:rPr>
                        <w:rFonts w:ascii="Cambria Math" w:eastAsia="Cambria Math" w:hAnsi="Cambria Math"/>
                        <w:sz w:val="21"/>
                      </w:rPr>
                      <m:t>t</m:t>
                    </m:r>
                  </m:sub>
                </m:sSub>
                <m:r>
                  <w:rPr>
                    <w:rFonts w:ascii="Cambria Math" w:eastAsia="Cambria Math" w:hAnsi="Cambria Math"/>
                    <w:sz w:val="21"/>
                  </w:rPr>
                  <m:t>-Cos</m:t>
                </m:r>
                <m:sSub>
                  <m:sSubPr>
                    <m:ctrlPr>
                      <w:rPr>
                        <w:rFonts w:ascii="Cambria Math" w:eastAsia="Cambria Math" w:hAnsi="Cambria Math"/>
                        <w:i/>
                        <w:sz w:val="21"/>
                      </w:rPr>
                    </m:ctrlPr>
                  </m:sSubPr>
                  <m:e>
                    <m:r>
                      <w:rPr>
                        <w:rFonts w:ascii="Cambria Math" w:eastAsia="Cambria Math" w:hAnsi="Cambria Math"/>
                        <w:sz w:val="21"/>
                      </w:rPr>
                      <m:t>t</m:t>
                    </m:r>
                  </m:e>
                  <m:sub>
                    <m:r>
                      <w:rPr>
                        <w:rFonts w:ascii="Cambria Math" w:eastAsia="Cambria Math" w:hAnsi="Cambria Math"/>
                        <w:sz w:val="21"/>
                      </w:rPr>
                      <m:t>t</m:t>
                    </m:r>
                  </m:sub>
                </m:sSub>
                <m:r>
                  <w:rPr>
                    <w:rFonts w:ascii="Cambria Math" w:eastAsia="Cambria Math" w:hAnsi="Cambria Math"/>
                    <w:sz w:val="21"/>
                  </w:rPr>
                  <m:t>-RiskCos</m:t>
                </m:r>
                <m:sSub>
                  <m:sSubPr>
                    <m:ctrlPr>
                      <w:rPr>
                        <w:rFonts w:ascii="Cambria Math" w:eastAsia="Cambria Math" w:hAnsi="Cambria Math"/>
                        <w:i/>
                        <w:sz w:val="21"/>
                      </w:rPr>
                    </m:ctrlPr>
                  </m:sSubPr>
                  <m:e>
                    <m:r>
                      <w:rPr>
                        <w:rFonts w:ascii="Cambria Math" w:eastAsia="Cambria Math" w:hAnsi="Cambria Math"/>
                        <w:sz w:val="21"/>
                      </w:rPr>
                      <m:t>t</m:t>
                    </m:r>
                  </m:e>
                  <m:sub>
                    <m:r>
                      <w:rPr>
                        <w:rFonts w:ascii="Cambria Math" w:eastAsia="Cambria Math" w:hAnsi="Cambria Math"/>
                        <w:sz w:val="21"/>
                      </w:rPr>
                      <m:t>t</m:t>
                    </m:r>
                  </m:sub>
                </m:sSub>
              </m:oMath>
            </m:oMathPara>
          </w:p>
        </w:tc>
        <w:tc>
          <w:tcPr>
            <w:tcW w:w="936" w:type="dxa"/>
            <w:vAlign w:val="center"/>
          </w:tcPr>
          <w:p w14:paraId="7A8B9361" w14:textId="77777777" w:rsidR="00D24CB0" w:rsidRDefault="00691361">
            <w:pPr>
              <w:spacing w:before="0" w:after="0"/>
              <w:jc w:val="right"/>
            </w:pPr>
            <w:r>
              <w:rPr>
                <w:rFonts w:eastAsia="Times New Roman"/>
                <w:sz w:val="21"/>
              </w:rPr>
              <w:t>（15）</w:t>
            </w:r>
          </w:p>
        </w:tc>
      </w:tr>
    </w:tbl>
    <w:p w14:paraId="77675544" w14:textId="77777777" w:rsidR="004D2816" w:rsidRPr="00E05130" w:rsidRDefault="004D2816" w:rsidP="00E05130">
      <w:pPr>
        <w:pStyle w:val="10"/>
        <w:spacing w:after="40"/>
        <w:ind w:firstLine="420"/>
      </w:pPr>
      <w:r>
        <w:rPr>
          <w:rFonts w:ascii="宋体" w:eastAsia="宋体" w:hAnsi="宋体"/>
        </w:rPr>
        <w:t>式中，Rev_t为第t月收入，Cost_t为常规成本，RiskCost_t为风险联动成本，NCF_t为第t月净现金流。该式用于说明经济评价可接收规划与接续结果形成的月度输入。</w:t>
      </w:r>
    </w:p>
    <w:p w14:paraId="523EFD4D" w14:textId="77777777" w:rsidR="00E05130" w:rsidRDefault="00E05130" w:rsidP="00E05130">
      <w:pPr>
        <w:pStyle w:val="10"/>
        <w:spacing w:after="40"/>
        <w:ind w:firstLine="420"/>
      </w:pPr>
      <w:r>
        <w:rPr>
          <w:rFonts w:ascii="宋体" w:eastAsia="宋体" w:hAnsi="宋体"/>
        </w:rPr>
        <w:t>本文保留工程经济评价的理论传递关系，但不在样例结果中给出未经独立导出的经济评价结论。</w:t>
      </w:r>
    </w:p>
    <w:p w14:paraId="55884684" w14:textId="77777777" w:rsidR="00E05130" w:rsidRPr="00E05130" w:rsidRDefault="00E05130" w:rsidP="00E05130">
      <w:pPr>
        <w:pStyle w:val="10"/>
        <w:spacing w:after="40"/>
        <w:ind w:firstLine="420"/>
      </w:pPr>
      <w:r>
        <w:rPr>
          <w:rFonts w:ascii="宋体" w:eastAsia="宋体" w:hAnsi="宋体"/>
        </w:rPr>
        <w:t>因此，本文方法可概括为：以有效布置域和连续参数场为基础，以ODI为统一风险约束指标，以多目标综合评价为方案筛选口径，以采掘接续和经济评价为后续传递方向，形成从“风险前置约束—规划对象生成—方案级统计—后续评价输入”的连续决策流程。</w:t>
      </w:r>
    </w:p>
    <w:p w14:paraId="68062418" w14:textId="77777777" w:rsidR="007E22B6" w:rsidRDefault="00A249E2" w:rsidP="00A046E0">
      <w:pPr>
        <w:pStyle w:val="11"/>
      </w:pPr>
      <w:r>
        <w:rPr>
          <w:rFonts w:ascii="宋体" w:eastAsia="宋体" w:hAnsi="宋体"/>
          <w:sz w:val="21"/>
        </w:rPr>
        <w:t>2 工程案例与结果分析</w:t>
      </w:r>
    </w:p>
    <w:p w14:paraId="4EA3AD5F" w14:textId="77777777" w:rsidR="007E22B6" w:rsidRDefault="00A249E2" w:rsidP="00A046E0">
      <w:pPr>
        <w:pStyle w:val="12"/>
      </w:pPr>
      <w:r>
        <w:rPr>
          <w:rFonts w:ascii="宋体" w:eastAsia="宋体" w:hAnsi="宋体"/>
          <w:sz w:val="21"/>
        </w:rPr>
        <w:t>2.1 研究区概况与输入数据</w:t>
      </w:r>
    </w:p>
    <w:p w14:paraId="783EEAA1" w14:textId="77777777" w:rsidR="007E22B6" w:rsidRDefault="00801D65">
      <w:pPr>
        <w:pStyle w:val="10"/>
        <w:spacing w:after="40"/>
        <w:ind w:firstLine="420"/>
        <w:rPr>
          <w:rFonts w:ascii="宋体" w:hAnsi="宋体"/>
        </w:rPr>
      </w:pPr>
      <w:r>
        <w:t>为验证所提方法在采区规划场景中的适用性与链路贯通能力，选取敏东研究区样例开展分析。研究区工程背景资料指向内蒙古呼伦贝尔敏东一矿，相关岩性力学资料显示，该类煤层开采条件下顶底板岩性主要包括泥岩、砂质泥岩、炭质泥岩、煤和细粒砂岩，整理资料中的代表性埋深约为</w:t>
      </w:r>
      <w:r>
        <w:t>300 m</w:t>
      </w:r>
      <w:r>
        <w:t>。该背景说明研究对象具有厚煤层、软弱围岩和多源扰动约束并存的工程特征。本文当前计算采用样例化规划域，以</w:t>
      </w:r>
      <w:r>
        <w:t>6</w:t>
      </w:r>
      <w:r>
        <w:t>个边界点构成采区边界、</w:t>
      </w:r>
      <w:r>
        <w:t>15</w:t>
      </w:r>
      <w:r>
        <w:t>个钻孔样点和规划控制参数为基础输入，原始边界面积为</w:t>
      </w:r>
      <w:r>
        <w:t>255250.00 m²</w:t>
      </w:r>
      <w:r>
        <w:t>。当前验证目标限定为样例条件下的数据组织、风险表征与规划对象生成，不将样例结果解释为真实矿井条件下的工业级优选结论。</w:t>
      </w:r>
    </w:p>
    <w:p w14:paraId="20BC0984" w14:textId="77777777" w:rsidR="007E22B6" w:rsidRDefault="00801D65">
      <w:pPr>
        <w:pStyle w:val="10"/>
        <w:spacing w:after="40"/>
        <w:ind w:firstLine="420"/>
        <w:rPr>
          <w:rFonts w:ascii="宋体" w:hAnsi="宋体"/>
        </w:rPr>
      </w:pPr>
      <w:r>
        <w:t>从工程约束看，本文样例已显式纳入边界煤柱、区段煤柱、工作面宽度、推进长度校核阈值、走向长壁后退式开采方向和</w:t>
      </w:r>
      <w:r>
        <w:t>ODI</w:t>
      </w:r>
      <w:r>
        <w:t>统计阈值等规划参数。但现有输入尚未完整纳入断层展布、既有巷道系统、通风运输能力、设备能力和生产制度等现场闭环约束，因此案例定位为方法验证型工程样例，而非直接用于矿井定案的完整设计文件。</w:t>
      </w:r>
    </w:p>
    <w:p w14:paraId="68C5DD80" w14:textId="77777777" w:rsidR="00801D65" w:rsidRDefault="00801D65">
      <w:pPr>
        <w:pStyle w:val="10"/>
        <w:spacing w:after="40"/>
        <w:ind w:firstLine="420"/>
      </w:pPr>
      <w:r>
        <w:t>研究区输入对象包括采区边界、钻孔样点、岩性力学背景资料和规划控制参数</w:t>
      </w:r>
      <w:r>
        <w:t>4</w:t>
      </w:r>
      <w:r>
        <w:t>类。钻孔样点用于构建煤层厚度等连续参数场；边界对象用于界定有效布置域；岩性力学背景资料用于限定案例的工程语境；边界煤柱、区段煤柱、工作面宽度、推进长度校核阈值和</w:t>
      </w:r>
      <w:r>
        <w:t>ODI</w:t>
      </w:r>
      <w:r>
        <w:t>统计阈值则共同构成后续规划求解的约束与校核条件。</w:t>
      </w:r>
    </w:p>
    <w:p w14:paraId="09CF5B75" w14:textId="77777777" w:rsidR="00195275" w:rsidRDefault="00A249E2">
      <w:pPr>
        <w:jc w:val="center"/>
      </w:pPr>
      <w:r>
        <w:rPr>
          <w:rFonts w:ascii="宋体" w:eastAsia="宋体" w:hAnsi="宋体"/>
          <w:noProof/>
        </w:rPr>
        <w:lastRenderedPageBreak/>
        <w:drawing>
          <wp:inline distT="0" distB="0" distL="0" distR="0" wp14:anchorId="0C5A2DA9" wp14:editId="7A966855">
            <wp:extent cx="2788920" cy="171826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研究区钻孔空间分布图.png"/>
                    <pic:cNvPicPr/>
                  </pic:nvPicPr>
                  <pic:blipFill>
                    <a:blip r:embed="rId9"/>
                    <a:stretch>
                      <a:fillRect/>
                    </a:stretch>
                  </pic:blipFill>
                  <pic:spPr>
                    <a:xfrm>
                      <a:off x="0" y="0"/>
                      <a:ext cx="2788920" cy="1718267"/>
                    </a:xfrm>
                    <a:prstGeom prst="rect">
                      <a:avLst/>
                    </a:prstGeom>
                  </pic:spPr>
                </pic:pic>
              </a:graphicData>
            </a:graphic>
          </wp:inline>
        </w:drawing>
      </w:r>
    </w:p>
    <w:p w14:paraId="72F456D1" w14:textId="77777777" w:rsidR="00195275" w:rsidRDefault="00A249E2">
      <w:pPr>
        <w:pStyle w:val="14"/>
      </w:pPr>
      <w:r>
        <w:t>图</w:t>
      </w:r>
      <w:r>
        <w:t xml:space="preserve">2 </w:t>
      </w:r>
      <w:r>
        <w:t>研究区钻孔空间分布图</w:t>
      </w:r>
      <w:r>
        <w:br/>
        <w:t>Fig.2 Spatial distribution of boreholes in the study area</w:t>
      </w:r>
    </w:p>
    <w:p w14:paraId="22B37C6D" w14:textId="77777777" w:rsidR="00801D65" w:rsidRDefault="00801D65">
      <w:pPr>
        <w:pStyle w:val="10"/>
        <w:spacing w:after="40"/>
        <w:ind w:firstLine="360"/>
      </w:pPr>
      <w:r>
        <w:rPr>
          <w:rFonts w:ascii="宋体" w:eastAsia="宋体" w:hAnsi="宋体"/>
          <w:sz w:val="18"/>
        </w:rPr>
        <w:t>图2显示，15个钻孔样点在研究区内形成了基本可用的空间采样网络。样点煤厚最小值出现在ZK-107，为2.8 m；最大值出现在ZK-106，为4.8 m，样点平均煤厚为3.7933 m。这些离散样点为后续厚度场插值、资源覆盖判断和ODI风险场叠加提供了统一输入口径。</w:t>
      </w:r>
    </w:p>
    <w:p w14:paraId="5AB915AC" w14:textId="77777777" w:rsidR="00801D65" w:rsidRDefault="00801D65">
      <w:pPr>
        <w:pStyle w:val="10"/>
        <w:spacing w:after="40"/>
        <w:ind w:firstLine="420"/>
      </w:pPr>
      <w:r>
        <w:rPr>
          <w:rFonts w:ascii="宋体" w:eastAsia="宋体" w:hAnsi="宋体"/>
        </w:rPr>
        <w:t>在研究区进入规划求解前，原始边界并不直接作为工作面布置边界使用，而是结合边界煤柱、区段煤柱及局部保护距离进行约束处理。本样例采用30.0 m边界煤柱、20.0 m区段煤柱和120.0 m工作面宽度，并以走向长壁后退式开采作为布置方式。</w:t>
      </w:r>
    </w:p>
    <w:p w14:paraId="09814A8B" w14:textId="77777777" w:rsidR="00801D65" w:rsidRDefault="00801D65">
      <w:pPr>
        <w:pStyle w:val="10"/>
        <w:spacing w:after="40"/>
        <w:ind w:firstLine="420"/>
      </w:pPr>
      <w:r>
        <w:t>因此，本节的作用是把研究区输入压实为可复核的参数体系：边界提供空间范围，钻孔提供连续参数场样本，岩性与埋深资料提供工程背景，设计参数提供几何与安全约束，</w:t>
      </w:r>
      <w:r>
        <w:t>ODI</w:t>
      </w:r>
      <w:r>
        <w:t>阈值提供风险统计口径。后续结果分析均以该统一输入口径为基础。</w:t>
      </w:r>
    </w:p>
    <w:p w14:paraId="40156EEB" w14:textId="77777777" w:rsidR="00A046E0" w:rsidRPr="00A046E0" w:rsidRDefault="00A046E0" w:rsidP="00A046E0">
      <w:pPr>
        <w:pStyle w:val="15"/>
        <w:spacing w:after="40"/>
        <w:ind w:firstLine="420"/>
      </w:pPr>
      <w:r>
        <w:t>表</w:t>
      </w:r>
      <w:r>
        <w:t xml:space="preserve">1 </w:t>
      </w:r>
      <w:r>
        <w:t>研究区输入参数与约束条件</w:t>
      </w:r>
      <w:r>
        <w:br/>
        <w:t>Table 1 Input parameters and constraints of the study area</w:t>
      </w:r>
    </w:p>
    <w:tbl>
      <w:tblPr>
        <w:tblW w:w="5000" w:type="pct"/>
        <w:jc w:val="center"/>
        <w:tblCellMar>
          <w:left w:w="10" w:type="dxa"/>
          <w:right w:w="10" w:type="dxa"/>
        </w:tblCellMar>
        <w:tblLook w:val="04A0" w:firstRow="1" w:lastRow="0" w:firstColumn="1" w:lastColumn="0" w:noHBand="0" w:noVBand="1"/>
      </w:tblPr>
      <w:tblGrid>
        <w:gridCol w:w="528"/>
        <w:gridCol w:w="665"/>
        <w:gridCol w:w="1763"/>
        <w:gridCol w:w="1831"/>
        <w:gridCol w:w="525"/>
        <w:gridCol w:w="798"/>
        <w:gridCol w:w="3548"/>
      </w:tblGrid>
      <w:tr w:rsidR="00D007CE" w:rsidRPr="006A6807" w14:paraId="1370C0AF" w14:textId="77777777" w:rsidTr="006A6807">
        <w:trPr>
          <w:jc w:val="center"/>
        </w:trPr>
        <w:tc>
          <w:tcPr>
            <w:tcW w:w="273" w:type="pct"/>
            <w:tcBorders>
              <w:top w:val="single" w:sz="8" w:space="0" w:color="000000"/>
              <w:bottom w:val="single" w:sz="6" w:space="0" w:color="000000"/>
            </w:tcBorders>
            <w:vAlign w:val="center"/>
          </w:tcPr>
          <w:p w14:paraId="114CFE99" w14:textId="77777777" w:rsidR="00D007CE" w:rsidRPr="006A6807" w:rsidRDefault="00A249E2">
            <w:pPr>
              <w:spacing w:before="0" w:after="0"/>
              <w:jc w:val="center"/>
              <w:rPr>
                <w:sz w:val="14"/>
              </w:rPr>
            </w:pPr>
            <w:r w:rsidRPr="006A6807">
              <w:rPr>
                <w:rFonts w:ascii="宋体" w:eastAsia="宋体" w:hAnsi="宋体"/>
                <w:sz w:val="14"/>
              </w:rPr>
              <w:t>类别</w:t>
            </w:r>
          </w:p>
        </w:tc>
        <w:tc>
          <w:tcPr>
            <w:tcW w:w="344" w:type="pct"/>
            <w:tcBorders>
              <w:top w:val="single" w:sz="8" w:space="0" w:color="000000"/>
              <w:bottom w:val="single" w:sz="6" w:space="0" w:color="000000"/>
            </w:tcBorders>
            <w:vAlign w:val="center"/>
          </w:tcPr>
          <w:p w14:paraId="51CFE329" w14:textId="77777777" w:rsidR="00D007CE" w:rsidRPr="006A6807" w:rsidRDefault="00A249E2">
            <w:pPr>
              <w:spacing w:before="0" w:after="0"/>
              <w:jc w:val="center"/>
              <w:rPr>
                <w:sz w:val="14"/>
              </w:rPr>
            </w:pPr>
            <w:r w:rsidRPr="006A6807">
              <w:rPr>
                <w:rFonts w:ascii="宋体" w:eastAsia="宋体" w:hAnsi="宋体"/>
                <w:sz w:val="14"/>
              </w:rPr>
              <w:t>参数名称</w:t>
            </w:r>
          </w:p>
        </w:tc>
        <w:tc>
          <w:tcPr>
            <w:tcW w:w="912" w:type="pct"/>
            <w:tcBorders>
              <w:top w:val="single" w:sz="8" w:space="0" w:color="000000"/>
              <w:bottom w:val="single" w:sz="6" w:space="0" w:color="000000"/>
            </w:tcBorders>
            <w:vAlign w:val="center"/>
          </w:tcPr>
          <w:p w14:paraId="2F4A82D9" w14:textId="77777777" w:rsidR="00D007CE" w:rsidRPr="006A6807" w:rsidRDefault="00A249E2">
            <w:pPr>
              <w:spacing w:before="0" w:after="0"/>
              <w:jc w:val="center"/>
              <w:rPr>
                <w:sz w:val="14"/>
              </w:rPr>
            </w:pPr>
            <w:r w:rsidRPr="006A6807">
              <w:rPr>
                <w:rFonts w:ascii="宋体" w:eastAsia="宋体" w:hAnsi="宋体"/>
                <w:sz w:val="14"/>
              </w:rPr>
              <w:t>符号</w:t>
            </w:r>
          </w:p>
        </w:tc>
        <w:tc>
          <w:tcPr>
            <w:tcW w:w="948" w:type="pct"/>
            <w:tcBorders>
              <w:top w:val="single" w:sz="8" w:space="0" w:color="000000"/>
              <w:bottom w:val="single" w:sz="6" w:space="0" w:color="000000"/>
            </w:tcBorders>
            <w:vAlign w:val="center"/>
          </w:tcPr>
          <w:p w14:paraId="588A8856" w14:textId="77777777" w:rsidR="00D007CE" w:rsidRPr="006A6807" w:rsidRDefault="00A249E2">
            <w:pPr>
              <w:spacing w:before="0" w:after="0"/>
              <w:jc w:val="center"/>
              <w:rPr>
                <w:sz w:val="14"/>
              </w:rPr>
            </w:pPr>
            <w:r w:rsidRPr="006A6807">
              <w:rPr>
                <w:rFonts w:ascii="宋体" w:eastAsia="宋体" w:hAnsi="宋体"/>
                <w:sz w:val="14"/>
              </w:rPr>
              <w:t>数值或范围</w:t>
            </w:r>
          </w:p>
        </w:tc>
        <w:tc>
          <w:tcPr>
            <w:tcW w:w="272" w:type="pct"/>
            <w:tcBorders>
              <w:top w:val="single" w:sz="8" w:space="0" w:color="000000"/>
              <w:bottom w:val="single" w:sz="6" w:space="0" w:color="000000"/>
            </w:tcBorders>
            <w:vAlign w:val="center"/>
          </w:tcPr>
          <w:p w14:paraId="559D2C59" w14:textId="77777777" w:rsidR="00D007CE" w:rsidRPr="006A6807" w:rsidRDefault="00A249E2">
            <w:pPr>
              <w:spacing w:before="0" w:after="0"/>
              <w:jc w:val="center"/>
              <w:rPr>
                <w:sz w:val="14"/>
              </w:rPr>
            </w:pPr>
            <w:r w:rsidRPr="006A6807">
              <w:rPr>
                <w:rFonts w:ascii="宋体" w:eastAsia="宋体" w:hAnsi="宋体"/>
                <w:sz w:val="14"/>
              </w:rPr>
              <w:t>单位</w:t>
            </w:r>
          </w:p>
        </w:tc>
        <w:tc>
          <w:tcPr>
            <w:tcW w:w="413" w:type="pct"/>
            <w:tcBorders>
              <w:top w:val="single" w:sz="8" w:space="0" w:color="000000"/>
              <w:bottom w:val="single" w:sz="6" w:space="0" w:color="000000"/>
            </w:tcBorders>
            <w:vAlign w:val="center"/>
          </w:tcPr>
          <w:p w14:paraId="09BB3BC3" w14:textId="77777777" w:rsidR="00D007CE" w:rsidRPr="006A6807" w:rsidRDefault="00A249E2">
            <w:pPr>
              <w:spacing w:before="0" w:after="0"/>
              <w:jc w:val="center"/>
              <w:rPr>
                <w:sz w:val="14"/>
              </w:rPr>
            </w:pPr>
            <w:r w:rsidRPr="006A6807">
              <w:rPr>
                <w:rFonts w:ascii="宋体" w:eastAsia="宋体" w:hAnsi="宋体"/>
                <w:sz w:val="14"/>
              </w:rPr>
              <w:t>说明</w:t>
            </w:r>
          </w:p>
        </w:tc>
        <w:tc>
          <w:tcPr>
            <w:tcW w:w="1837" w:type="pct"/>
            <w:tcBorders>
              <w:top w:val="single" w:sz="8" w:space="0" w:color="000000"/>
              <w:bottom w:val="single" w:sz="6" w:space="0" w:color="000000"/>
            </w:tcBorders>
            <w:vAlign w:val="center"/>
          </w:tcPr>
          <w:p w14:paraId="6EF04AC1" w14:textId="77777777" w:rsidR="00D007CE" w:rsidRPr="006A6807" w:rsidRDefault="00A249E2">
            <w:pPr>
              <w:spacing w:before="0" w:after="0"/>
              <w:jc w:val="center"/>
              <w:rPr>
                <w:sz w:val="14"/>
              </w:rPr>
            </w:pPr>
            <w:r w:rsidRPr="006A6807">
              <w:rPr>
                <w:rFonts w:ascii="宋体" w:eastAsia="宋体" w:hAnsi="宋体"/>
                <w:sz w:val="14"/>
              </w:rPr>
              <w:t>数据来源</w:t>
            </w:r>
          </w:p>
        </w:tc>
      </w:tr>
      <w:tr w:rsidR="00D007CE" w:rsidRPr="006A6807" w14:paraId="5EDF0274" w14:textId="77777777" w:rsidTr="006A6807">
        <w:trPr>
          <w:jc w:val="center"/>
        </w:trPr>
        <w:tc>
          <w:tcPr>
            <w:tcW w:w="273" w:type="pct"/>
            <w:vAlign w:val="center"/>
          </w:tcPr>
          <w:p w14:paraId="679CA2B5" w14:textId="77777777" w:rsidR="00D007CE" w:rsidRPr="006A6807" w:rsidRDefault="00A249E2">
            <w:pPr>
              <w:spacing w:before="0" w:after="0"/>
              <w:jc w:val="center"/>
              <w:rPr>
                <w:sz w:val="14"/>
              </w:rPr>
            </w:pPr>
            <w:r w:rsidRPr="006A6807">
              <w:rPr>
                <w:rFonts w:ascii="宋体" w:eastAsia="宋体" w:hAnsi="宋体"/>
                <w:sz w:val="14"/>
              </w:rPr>
              <w:t>研究区基础</w:t>
            </w:r>
          </w:p>
        </w:tc>
        <w:tc>
          <w:tcPr>
            <w:tcW w:w="344" w:type="pct"/>
            <w:vAlign w:val="center"/>
          </w:tcPr>
          <w:p w14:paraId="7F1AEF3D" w14:textId="77777777" w:rsidR="00D007CE" w:rsidRPr="006A6807" w:rsidRDefault="00A249E2">
            <w:pPr>
              <w:spacing w:before="0" w:after="0"/>
              <w:jc w:val="center"/>
              <w:rPr>
                <w:sz w:val="14"/>
              </w:rPr>
            </w:pPr>
            <w:r w:rsidRPr="006A6807">
              <w:rPr>
                <w:rFonts w:ascii="宋体" w:eastAsia="宋体" w:hAnsi="宋体"/>
                <w:sz w:val="14"/>
              </w:rPr>
              <w:t>钻孔数量</w:t>
            </w:r>
          </w:p>
        </w:tc>
        <w:tc>
          <w:tcPr>
            <w:tcW w:w="912" w:type="pct"/>
            <w:vAlign w:val="center"/>
          </w:tcPr>
          <w:p w14:paraId="4758F02B" w14:textId="77777777" w:rsidR="00D007CE" w:rsidRPr="006A6807" w:rsidRDefault="00A249E2">
            <w:pPr>
              <w:spacing w:before="0" w:after="0"/>
              <w:jc w:val="center"/>
              <w:rPr>
                <w:sz w:val="14"/>
              </w:rPr>
            </w:pPr>
            <w:r w:rsidRPr="006A6807">
              <w:rPr>
                <w:rFonts w:ascii="宋体" w:eastAsia="宋体" w:hAnsi="宋体"/>
                <w:sz w:val="14"/>
              </w:rPr>
              <w:t>n</w:t>
            </w:r>
          </w:p>
        </w:tc>
        <w:tc>
          <w:tcPr>
            <w:tcW w:w="948" w:type="pct"/>
            <w:vAlign w:val="center"/>
          </w:tcPr>
          <w:p w14:paraId="3A0288F3" w14:textId="77777777" w:rsidR="00D007CE" w:rsidRPr="006A6807" w:rsidRDefault="00A249E2">
            <w:pPr>
              <w:spacing w:before="0" w:after="0"/>
              <w:jc w:val="center"/>
              <w:rPr>
                <w:sz w:val="14"/>
              </w:rPr>
            </w:pPr>
            <w:r w:rsidRPr="006A6807">
              <w:rPr>
                <w:rFonts w:ascii="宋体" w:eastAsia="宋体" w:hAnsi="宋体"/>
                <w:sz w:val="14"/>
              </w:rPr>
              <w:t>15</w:t>
            </w:r>
          </w:p>
        </w:tc>
        <w:tc>
          <w:tcPr>
            <w:tcW w:w="272" w:type="pct"/>
            <w:vAlign w:val="center"/>
          </w:tcPr>
          <w:p w14:paraId="0E4C9844" w14:textId="77777777" w:rsidR="00D007CE" w:rsidRPr="006A6807" w:rsidRDefault="00A249E2">
            <w:pPr>
              <w:spacing w:before="0" w:after="0"/>
              <w:jc w:val="center"/>
              <w:rPr>
                <w:sz w:val="14"/>
              </w:rPr>
            </w:pPr>
            <w:r w:rsidRPr="006A6807">
              <w:rPr>
                <w:rFonts w:ascii="宋体" w:eastAsia="宋体" w:hAnsi="宋体"/>
                <w:sz w:val="14"/>
              </w:rPr>
              <w:t>个</w:t>
            </w:r>
          </w:p>
        </w:tc>
        <w:tc>
          <w:tcPr>
            <w:tcW w:w="413" w:type="pct"/>
            <w:vAlign w:val="center"/>
          </w:tcPr>
          <w:p w14:paraId="2B7A0ED8" w14:textId="77777777" w:rsidR="00D007CE" w:rsidRPr="006A6807" w:rsidRDefault="00A249E2">
            <w:pPr>
              <w:spacing w:before="0" w:after="0"/>
              <w:jc w:val="center"/>
              <w:rPr>
                <w:sz w:val="14"/>
              </w:rPr>
            </w:pPr>
            <w:r w:rsidRPr="006A6807">
              <w:rPr>
                <w:rFonts w:ascii="宋体" w:eastAsia="宋体" w:hAnsi="宋体"/>
                <w:sz w:val="14"/>
              </w:rPr>
              <w:t>钻孔样点总数</w:t>
            </w:r>
          </w:p>
        </w:tc>
        <w:tc>
          <w:tcPr>
            <w:tcW w:w="1837" w:type="pct"/>
            <w:vAlign w:val="center"/>
          </w:tcPr>
          <w:p w14:paraId="04983968" w14:textId="77777777" w:rsidR="00D007CE" w:rsidRPr="006A6807" w:rsidRDefault="00A249E2">
            <w:pPr>
              <w:spacing w:before="0" w:after="0"/>
              <w:jc w:val="center"/>
              <w:rPr>
                <w:sz w:val="14"/>
              </w:rPr>
            </w:pPr>
            <w:r w:rsidRPr="006A6807">
              <w:rPr>
                <w:rFonts w:ascii="宋体" w:eastAsia="宋体" w:hAnsi="宋体"/>
                <w:sz w:val="14"/>
              </w:rPr>
              <w:t>钻孔/设计结果</w:t>
            </w:r>
          </w:p>
        </w:tc>
      </w:tr>
      <w:tr w:rsidR="00D007CE" w:rsidRPr="006A6807" w14:paraId="7614A09C" w14:textId="77777777" w:rsidTr="006A6807">
        <w:trPr>
          <w:jc w:val="center"/>
        </w:trPr>
        <w:tc>
          <w:tcPr>
            <w:tcW w:w="273" w:type="pct"/>
            <w:vAlign w:val="center"/>
          </w:tcPr>
          <w:p w14:paraId="2C6DF468" w14:textId="77777777" w:rsidR="00D007CE" w:rsidRPr="006A6807" w:rsidRDefault="00A249E2">
            <w:pPr>
              <w:spacing w:before="0" w:after="0"/>
              <w:jc w:val="center"/>
              <w:rPr>
                <w:sz w:val="14"/>
              </w:rPr>
            </w:pPr>
            <w:r w:rsidRPr="006A6807">
              <w:rPr>
                <w:rFonts w:ascii="宋体" w:eastAsia="宋体" w:hAnsi="宋体"/>
                <w:sz w:val="14"/>
              </w:rPr>
              <w:t>研究区基础</w:t>
            </w:r>
          </w:p>
        </w:tc>
        <w:tc>
          <w:tcPr>
            <w:tcW w:w="344" w:type="pct"/>
            <w:vAlign w:val="center"/>
          </w:tcPr>
          <w:p w14:paraId="11461293" w14:textId="77777777" w:rsidR="00D007CE" w:rsidRPr="006A6807" w:rsidRDefault="00A249E2">
            <w:pPr>
              <w:spacing w:before="0" w:after="0"/>
              <w:jc w:val="center"/>
              <w:rPr>
                <w:sz w:val="14"/>
              </w:rPr>
            </w:pPr>
            <w:r w:rsidRPr="006A6807">
              <w:rPr>
                <w:rFonts w:ascii="宋体" w:eastAsia="宋体" w:hAnsi="宋体"/>
                <w:sz w:val="14"/>
              </w:rPr>
              <w:t>煤层厚度最小值</w:t>
            </w:r>
          </w:p>
        </w:tc>
        <w:tc>
          <w:tcPr>
            <w:tcW w:w="912" w:type="pct"/>
            <w:vAlign w:val="center"/>
          </w:tcPr>
          <w:p w14:paraId="48434E3E" w14:textId="77777777" w:rsidR="00D007CE" w:rsidRPr="006A6807" w:rsidRDefault="00A249E2">
            <w:pPr>
              <w:spacing w:before="0" w:after="0"/>
              <w:jc w:val="center"/>
              <w:rPr>
                <w:sz w:val="14"/>
              </w:rPr>
            </w:pPr>
            <w:r w:rsidRPr="006A6807">
              <w:rPr>
                <w:rFonts w:ascii="宋体" w:eastAsia="宋体" w:hAnsi="宋体"/>
                <w:sz w:val="14"/>
              </w:rPr>
              <w:t>h_min</w:t>
            </w:r>
          </w:p>
        </w:tc>
        <w:tc>
          <w:tcPr>
            <w:tcW w:w="948" w:type="pct"/>
            <w:vAlign w:val="center"/>
          </w:tcPr>
          <w:p w14:paraId="591D8D3E" w14:textId="77777777" w:rsidR="00D007CE" w:rsidRPr="006A6807" w:rsidRDefault="00A249E2">
            <w:pPr>
              <w:spacing w:before="0" w:after="0"/>
              <w:jc w:val="center"/>
              <w:rPr>
                <w:sz w:val="14"/>
              </w:rPr>
            </w:pPr>
            <w:r w:rsidRPr="006A6807">
              <w:rPr>
                <w:rFonts w:ascii="宋体" w:eastAsia="宋体" w:hAnsi="宋体"/>
                <w:sz w:val="14"/>
              </w:rPr>
              <w:t>2.8</w:t>
            </w:r>
          </w:p>
        </w:tc>
        <w:tc>
          <w:tcPr>
            <w:tcW w:w="272" w:type="pct"/>
            <w:vAlign w:val="center"/>
          </w:tcPr>
          <w:p w14:paraId="5DC072DE" w14:textId="77777777" w:rsidR="00D007CE" w:rsidRPr="006A6807" w:rsidRDefault="00A249E2">
            <w:pPr>
              <w:spacing w:before="0" w:after="0"/>
              <w:jc w:val="center"/>
              <w:rPr>
                <w:sz w:val="14"/>
              </w:rPr>
            </w:pPr>
            <w:r w:rsidRPr="006A6807">
              <w:rPr>
                <w:rFonts w:ascii="宋体" w:eastAsia="宋体" w:hAnsi="宋体"/>
                <w:sz w:val="14"/>
              </w:rPr>
              <w:t>m</w:t>
            </w:r>
          </w:p>
        </w:tc>
        <w:tc>
          <w:tcPr>
            <w:tcW w:w="413" w:type="pct"/>
            <w:vAlign w:val="center"/>
          </w:tcPr>
          <w:p w14:paraId="3B038557" w14:textId="77777777" w:rsidR="00D007CE" w:rsidRPr="006A6807" w:rsidRDefault="00A249E2">
            <w:pPr>
              <w:spacing w:before="0" w:after="0"/>
              <w:jc w:val="center"/>
              <w:rPr>
                <w:sz w:val="14"/>
              </w:rPr>
            </w:pPr>
            <w:r w:rsidRPr="006A6807">
              <w:rPr>
                <w:rFonts w:ascii="宋体" w:eastAsia="宋体" w:hAnsi="宋体"/>
                <w:sz w:val="14"/>
              </w:rPr>
              <w:t>样点统计值</w:t>
            </w:r>
          </w:p>
        </w:tc>
        <w:tc>
          <w:tcPr>
            <w:tcW w:w="1837" w:type="pct"/>
            <w:vAlign w:val="center"/>
          </w:tcPr>
          <w:p w14:paraId="111F3A84" w14:textId="77777777" w:rsidR="00D007CE" w:rsidRPr="006A6807" w:rsidRDefault="00A249E2">
            <w:pPr>
              <w:spacing w:before="0" w:after="0"/>
              <w:jc w:val="center"/>
              <w:rPr>
                <w:sz w:val="14"/>
              </w:rPr>
            </w:pPr>
            <w:r w:rsidRPr="006A6807">
              <w:rPr>
                <w:rFonts w:ascii="宋体" w:eastAsia="宋体" w:hAnsi="宋体"/>
                <w:sz w:val="14"/>
              </w:rPr>
              <w:t>钻孔数据</w:t>
            </w:r>
          </w:p>
        </w:tc>
      </w:tr>
      <w:tr w:rsidR="00D007CE" w:rsidRPr="006A6807" w14:paraId="5899D328" w14:textId="77777777" w:rsidTr="006A6807">
        <w:trPr>
          <w:jc w:val="center"/>
        </w:trPr>
        <w:tc>
          <w:tcPr>
            <w:tcW w:w="273" w:type="pct"/>
            <w:vAlign w:val="center"/>
          </w:tcPr>
          <w:p w14:paraId="10626587" w14:textId="77777777" w:rsidR="00D007CE" w:rsidRPr="006A6807" w:rsidRDefault="00A249E2">
            <w:pPr>
              <w:spacing w:before="0" w:after="0"/>
              <w:jc w:val="center"/>
              <w:rPr>
                <w:sz w:val="14"/>
              </w:rPr>
            </w:pPr>
            <w:r w:rsidRPr="006A6807">
              <w:rPr>
                <w:rFonts w:ascii="宋体" w:eastAsia="宋体" w:hAnsi="宋体"/>
                <w:sz w:val="14"/>
              </w:rPr>
              <w:t>研究区基础</w:t>
            </w:r>
          </w:p>
        </w:tc>
        <w:tc>
          <w:tcPr>
            <w:tcW w:w="344" w:type="pct"/>
            <w:vAlign w:val="center"/>
          </w:tcPr>
          <w:p w14:paraId="29DDB267" w14:textId="77777777" w:rsidR="00D007CE" w:rsidRPr="006A6807" w:rsidRDefault="00A249E2">
            <w:pPr>
              <w:spacing w:before="0" w:after="0"/>
              <w:jc w:val="center"/>
              <w:rPr>
                <w:sz w:val="14"/>
              </w:rPr>
            </w:pPr>
            <w:r w:rsidRPr="006A6807">
              <w:rPr>
                <w:rFonts w:ascii="宋体" w:eastAsia="宋体" w:hAnsi="宋体"/>
                <w:sz w:val="14"/>
              </w:rPr>
              <w:t>煤层厚度最大值</w:t>
            </w:r>
          </w:p>
        </w:tc>
        <w:tc>
          <w:tcPr>
            <w:tcW w:w="912" w:type="pct"/>
            <w:vAlign w:val="center"/>
          </w:tcPr>
          <w:p w14:paraId="3911E266" w14:textId="77777777" w:rsidR="00D007CE" w:rsidRPr="006A6807" w:rsidRDefault="00A249E2">
            <w:pPr>
              <w:spacing w:before="0" w:after="0"/>
              <w:jc w:val="center"/>
              <w:rPr>
                <w:sz w:val="14"/>
              </w:rPr>
            </w:pPr>
            <w:r w:rsidRPr="006A6807">
              <w:rPr>
                <w:rFonts w:ascii="宋体" w:eastAsia="宋体" w:hAnsi="宋体"/>
                <w:sz w:val="14"/>
              </w:rPr>
              <w:t>h_max</w:t>
            </w:r>
          </w:p>
        </w:tc>
        <w:tc>
          <w:tcPr>
            <w:tcW w:w="948" w:type="pct"/>
            <w:vAlign w:val="center"/>
          </w:tcPr>
          <w:p w14:paraId="7E2739BE" w14:textId="77777777" w:rsidR="00D007CE" w:rsidRPr="006A6807" w:rsidRDefault="00A249E2">
            <w:pPr>
              <w:spacing w:before="0" w:after="0"/>
              <w:jc w:val="center"/>
              <w:rPr>
                <w:sz w:val="14"/>
              </w:rPr>
            </w:pPr>
            <w:r w:rsidRPr="006A6807">
              <w:rPr>
                <w:rFonts w:ascii="宋体" w:eastAsia="宋体" w:hAnsi="宋体"/>
                <w:sz w:val="14"/>
              </w:rPr>
              <w:t>4.8</w:t>
            </w:r>
          </w:p>
        </w:tc>
        <w:tc>
          <w:tcPr>
            <w:tcW w:w="272" w:type="pct"/>
            <w:vAlign w:val="center"/>
          </w:tcPr>
          <w:p w14:paraId="41DF344C" w14:textId="77777777" w:rsidR="00D007CE" w:rsidRPr="006A6807" w:rsidRDefault="00A249E2">
            <w:pPr>
              <w:spacing w:before="0" w:after="0"/>
              <w:jc w:val="center"/>
              <w:rPr>
                <w:sz w:val="14"/>
              </w:rPr>
            </w:pPr>
            <w:r w:rsidRPr="006A6807">
              <w:rPr>
                <w:rFonts w:ascii="宋体" w:eastAsia="宋体" w:hAnsi="宋体"/>
                <w:sz w:val="14"/>
              </w:rPr>
              <w:t>m</w:t>
            </w:r>
          </w:p>
        </w:tc>
        <w:tc>
          <w:tcPr>
            <w:tcW w:w="413" w:type="pct"/>
            <w:vAlign w:val="center"/>
          </w:tcPr>
          <w:p w14:paraId="2AE60E45" w14:textId="77777777" w:rsidR="00D007CE" w:rsidRPr="006A6807" w:rsidRDefault="00A249E2">
            <w:pPr>
              <w:spacing w:before="0" w:after="0"/>
              <w:jc w:val="center"/>
              <w:rPr>
                <w:sz w:val="14"/>
              </w:rPr>
            </w:pPr>
            <w:r w:rsidRPr="006A6807">
              <w:rPr>
                <w:rFonts w:ascii="宋体" w:eastAsia="宋体" w:hAnsi="宋体"/>
                <w:sz w:val="14"/>
              </w:rPr>
              <w:t>样点统计值</w:t>
            </w:r>
          </w:p>
        </w:tc>
        <w:tc>
          <w:tcPr>
            <w:tcW w:w="1837" w:type="pct"/>
            <w:vAlign w:val="center"/>
          </w:tcPr>
          <w:p w14:paraId="56BE2B8E" w14:textId="77777777" w:rsidR="00D007CE" w:rsidRPr="006A6807" w:rsidRDefault="00A249E2">
            <w:pPr>
              <w:spacing w:before="0" w:after="0"/>
              <w:jc w:val="center"/>
              <w:rPr>
                <w:sz w:val="14"/>
              </w:rPr>
            </w:pPr>
            <w:r w:rsidRPr="006A6807">
              <w:rPr>
                <w:rFonts w:ascii="宋体" w:eastAsia="宋体" w:hAnsi="宋体"/>
                <w:sz w:val="14"/>
              </w:rPr>
              <w:t>钻孔数据</w:t>
            </w:r>
          </w:p>
        </w:tc>
      </w:tr>
      <w:tr w:rsidR="00D007CE" w:rsidRPr="006A6807" w14:paraId="44B90A4E" w14:textId="77777777" w:rsidTr="006A6807">
        <w:trPr>
          <w:jc w:val="center"/>
        </w:trPr>
        <w:tc>
          <w:tcPr>
            <w:tcW w:w="273" w:type="pct"/>
            <w:vAlign w:val="center"/>
          </w:tcPr>
          <w:p w14:paraId="204686F1" w14:textId="77777777" w:rsidR="00D007CE" w:rsidRPr="006A6807" w:rsidRDefault="00A249E2">
            <w:pPr>
              <w:spacing w:before="0" w:after="0"/>
              <w:jc w:val="center"/>
              <w:rPr>
                <w:sz w:val="14"/>
              </w:rPr>
            </w:pPr>
            <w:r w:rsidRPr="006A6807">
              <w:rPr>
                <w:rFonts w:ascii="宋体" w:eastAsia="宋体" w:hAnsi="宋体"/>
                <w:sz w:val="14"/>
              </w:rPr>
              <w:t>研究区基础</w:t>
            </w:r>
          </w:p>
        </w:tc>
        <w:tc>
          <w:tcPr>
            <w:tcW w:w="344" w:type="pct"/>
            <w:vAlign w:val="center"/>
          </w:tcPr>
          <w:p w14:paraId="4CB3841F" w14:textId="77777777" w:rsidR="00D007CE" w:rsidRPr="006A6807" w:rsidRDefault="00A249E2">
            <w:pPr>
              <w:spacing w:before="0" w:after="0"/>
              <w:jc w:val="center"/>
              <w:rPr>
                <w:sz w:val="14"/>
              </w:rPr>
            </w:pPr>
            <w:r w:rsidRPr="006A6807">
              <w:rPr>
                <w:rFonts w:ascii="宋体" w:eastAsia="宋体" w:hAnsi="宋体"/>
                <w:sz w:val="14"/>
              </w:rPr>
              <w:t>煤层厚度平均值</w:t>
            </w:r>
          </w:p>
        </w:tc>
        <w:tc>
          <w:tcPr>
            <w:tcW w:w="912" w:type="pct"/>
            <w:vAlign w:val="center"/>
          </w:tcPr>
          <w:p w14:paraId="1DE0786C" w14:textId="77777777" w:rsidR="00D007CE" w:rsidRPr="006A6807" w:rsidRDefault="00A249E2">
            <w:pPr>
              <w:spacing w:before="0" w:after="0"/>
              <w:jc w:val="center"/>
              <w:rPr>
                <w:sz w:val="14"/>
              </w:rPr>
            </w:pPr>
            <w:r w:rsidRPr="006A6807">
              <w:rPr>
                <w:rFonts w:ascii="宋体" w:eastAsia="宋体" w:hAnsi="宋体"/>
                <w:sz w:val="14"/>
              </w:rPr>
              <w:t>h_avg</w:t>
            </w:r>
          </w:p>
        </w:tc>
        <w:tc>
          <w:tcPr>
            <w:tcW w:w="948" w:type="pct"/>
            <w:vAlign w:val="center"/>
          </w:tcPr>
          <w:p w14:paraId="477894EF" w14:textId="77777777" w:rsidR="00D007CE" w:rsidRPr="006A6807" w:rsidRDefault="00A249E2">
            <w:pPr>
              <w:spacing w:before="0" w:after="0"/>
              <w:jc w:val="center"/>
              <w:rPr>
                <w:sz w:val="14"/>
              </w:rPr>
            </w:pPr>
            <w:r w:rsidRPr="006A6807">
              <w:rPr>
                <w:rFonts w:ascii="宋体" w:eastAsia="宋体" w:hAnsi="宋体"/>
                <w:sz w:val="14"/>
              </w:rPr>
              <w:t>3.7933</w:t>
            </w:r>
          </w:p>
        </w:tc>
        <w:tc>
          <w:tcPr>
            <w:tcW w:w="272" w:type="pct"/>
            <w:vAlign w:val="center"/>
          </w:tcPr>
          <w:p w14:paraId="77F67C86" w14:textId="77777777" w:rsidR="00D007CE" w:rsidRPr="006A6807" w:rsidRDefault="00A249E2">
            <w:pPr>
              <w:spacing w:before="0" w:after="0"/>
              <w:jc w:val="center"/>
              <w:rPr>
                <w:sz w:val="14"/>
              </w:rPr>
            </w:pPr>
            <w:r w:rsidRPr="006A6807">
              <w:rPr>
                <w:rFonts w:ascii="宋体" w:eastAsia="宋体" w:hAnsi="宋体"/>
                <w:sz w:val="14"/>
              </w:rPr>
              <w:t>m</w:t>
            </w:r>
          </w:p>
        </w:tc>
        <w:tc>
          <w:tcPr>
            <w:tcW w:w="413" w:type="pct"/>
            <w:vAlign w:val="center"/>
          </w:tcPr>
          <w:p w14:paraId="46140981" w14:textId="77777777" w:rsidR="00D007CE" w:rsidRPr="006A6807" w:rsidRDefault="00A249E2">
            <w:pPr>
              <w:spacing w:before="0" w:after="0"/>
              <w:jc w:val="center"/>
              <w:rPr>
                <w:sz w:val="14"/>
              </w:rPr>
            </w:pPr>
            <w:r w:rsidRPr="006A6807">
              <w:rPr>
                <w:rFonts w:ascii="宋体" w:eastAsia="宋体" w:hAnsi="宋体"/>
                <w:sz w:val="14"/>
              </w:rPr>
              <w:t>样点统计值</w:t>
            </w:r>
          </w:p>
        </w:tc>
        <w:tc>
          <w:tcPr>
            <w:tcW w:w="1837" w:type="pct"/>
            <w:vAlign w:val="center"/>
          </w:tcPr>
          <w:p w14:paraId="09BD7834" w14:textId="77777777" w:rsidR="00D007CE" w:rsidRPr="006A6807" w:rsidRDefault="00A249E2">
            <w:pPr>
              <w:spacing w:before="0" w:after="0"/>
              <w:jc w:val="center"/>
              <w:rPr>
                <w:sz w:val="14"/>
              </w:rPr>
            </w:pPr>
            <w:r w:rsidRPr="006A6807">
              <w:rPr>
                <w:rFonts w:ascii="宋体" w:eastAsia="宋体" w:hAnsi="宋体"/>
                <w:sz w:val="14"/>
              </w:rPr>
              <w:t>钻孔数据</w:t>
            </w:r>
          </w:p>
        </w:tc>
      </w:tr>
      <w:tr w:rsidR="00D007CE" w:rsidRPr="006A6807" w14:paraId="2792A018" w14:textId="77777777" w:rsidTr="006A6807">
        <w:trPr>
          <w:jc w:val="center"/>
        </w:trPr>
        <w:tc>
          <w:tcPr>
            <w:tcW w:w="273" w:type="pct"/>
            <w:vAlign w:val="center"/>
          </w:tcPr>
          <w:p w14:paraId="09CD1AA5" w14:textId="77777777" w:rsidR="00D007CE" w:rsidRPr="006A6807" w:rsidRDefault="00A249E2">
            <w:pPr>
              <w:spacing w:before="0" w:after="0"/>
              <w:jc w:val="center"/>
              <w:rPr>
                <w:sz w:val="14"/>
              </w:rPr>
            </w:pPr>
            <w:r w:rsidRPr="006A6807">
              <w:rPr>
                <w:rFonts w:ascii="宋体" w:eastAsia="宋体" w:hAnsi="宋体"/>
                <w:sz w:val="14"/>
              </w:rPr>
              <w:t>几何约束</w:t>
            </w:r>
          </w:p>
        </w:tc>
        <w:tc>
          <w:tcPr>
            <w:tcW w:w="344" w:type="pct"/>
            <w:vAlign w:val="center"/>
          </w:tcPr>
          <w:p w14:paraId="1C83EA49" w14:textId="77777777" w:rsidR="00D007CE" w:rsidRPr="006A6807" w:rsidRDefault="00A249E2">
            <w:pPr>
              <w:spacing w:before="0" w:after="0"/>
              <w:jc w:val="center"/>
              <w:rPr>
                <w:sz w:val="14"/>
              </w:rPr>
            </w:pPr>
            <w:r w:rsidRPr="006A6807">
              <w:rPr>
                <w:rFonts w:ascii="宋体" w:eastAsia="宋体" w:hAnsi="宋体"/>
                <w:sz w:val="14"/>
              </w:rPr>
              <w:t>边界煤柱宽度</w:t>
            </w:r>
          </w:p>
        </w:tc>
        <w:tc>
          <w:tcPr>
            <w:tcW w:w="912" w:type="pct"/>
            <w:vAlign w:val="center"/>
          </w:tcPr>
          <w:p w14:paraId="0BBFAACB" w14:textId="77777777" w:rsidR="00D007CE" w:rsidRPr="006A6807" w:rsidRDefault="00A249E2">
            <w:pPr>
              <w:spacing w:before="0" w:after="0"/>
              <w:jc w:val="center"/>
              <w:rPr>
                <w:sz w:val="14"/>
              </w:rPr>
            </w:pPr>
            <w:r w:rsidRPr="006A6807">
              <w:rPr>
                <w:rFonts w:ascii="宋体" w:eastAsia="宋体" w:hAnsi="宋体"/>
                <w:sz w:val="14"/>
              </w:rPr>
              <w:t>B_b</w:t>
            </w:r>
          </w:p>
        </w:tc>
        <w:tc>
          <w:tcPr>
            <w:tcW w:w="948" w:type="pct"/>
            <w:vAlign w:val="center"/>
          </w:tcPr>
          <w:p w14:paraId="5307F108" w14:textId="77777777" w:rsidR="00D007CE" w:rsidRPr="006A6807" w:rsidRDefault="00A249E2">
            <w:pPr>
              <w:spacing w:before="0" w:after="0"/>
              <w:jc w:val="center"/>
              <w:rPr>
                <w:sz w:val="14"/>
              </w:rPr>
            </w:pPr>
            <w:r w:rsidRPr="006A6807">
              <w:rPr>
                <w:rFonts w:ascii="宋体" w:eastAsia="宋体" w:hAnsi="宋体"/>
                <w:sz w:val="14"/>
              </w:rPr>
              <w:t>30.0</w:t>
            </w:r>
          </w:p>
        </w:tc>
        <w:tc>
          <w:tcPr>
            <w:tcW w:w="272" w:type="pct"/>
            <w:vAlign w:val="center"/>
          </w:tcPr>
          <w:p w14:paraId="72B69E17" w14:textId="77777777" w:rsidR="00D007CE" w:rsidRPr="006A6807" w:rsidRDefault="00A249E2">
            <w:pPr>
              <w:spacing w:before="0" w:after="0"/>
              <w:jc w:val="center"/>
              <w:rPr>
                <w:sz w:val="14"/>
              </w:rPr>
            </w:pPr>
            <w:r w:rsidRPr="006A6807">
              <w:rPr>
                <w:rFonts w:ascii="宋体" w:eastAsia="宋体" w:hAnsi="宋体"/>
                <w:sz w:val="14"/>
              </w:rPr>
              <w:t>m</w:t>
            </w:r>
          </w:p>
        </w:tc>
        <w:tc>
          <w:tcPr>
            <w:tcW w:w="413" w:type="pct"/>
            <w:vAlign w:val="center"/>
          </w:tcPr>
          <w:p w14:paraId="62DBBE8E" w14:textId="77777777" w:rsidR="00D007CE" w:rsidRPr="006A6807" w:rsidRDefault="00A249E2">
            <w:pPr>
              <w:spacing w:before="0" w:after="0"/>
              <w:jc w:val="center"/>
              <w:rPr>
                <w:sz w:val="14"/>
              </w:rPr>
            </w:pPr>
            <w:r w:rsidRPr="006A6807">
              <w:rPr>
                <w:rFonts w:ascii="宋体" w:eastAsia="宋体" w:hAnsi="宋体"/>
                <w:sz w:val="14"/>
              </w:rPr>
              <w:t>当前样例采用值；规则范围20-50 m</w:t>
            </w:r>
          </w:p>
        </w:tc>
        <w:tc>
          <w:tcPr>
            <w:tcW w:w="1837" w:type="pct"/>
            <w:vAlign w:val="center"/>
          </w:tcPr>
          <w:p w14:paraId="232A4480" w14:textId="77777777" w:rsidR="00D007CE" w:rsidRPr="006A6807" w:rsidRDefault="00A249E2">
            <w:pPr>
              <w:spacing w:before="0" w:after="0"/>
              <w:jc w:val="center"/>
              <w:rPr>
                <w:sz w:val="14"/>
              </w:rPr>
            </w:pPr>
            <w:r w:rsidRPr="006A6807">
              <w:rPr>
                <w:rFonts w:ascii="宋体" w:eastAsia="宋体" w:hAnsi="宋体"/>
                <w:sz w:val="14"/>
              </w:rPr>
              <w:t>designParams/miningRules</w:t>
            </w:r>
          </w:p>
        </w:tc>
      </w:tr>
      <w:tr w:rsidR="00D007CE" w:rsidRPr="006A6807" w14:paraId="42AD355C" w14:textId="77777777" w:rsidTr="006A6807">
        <w:trPr>
          <w:jc w:val="center"/>
        </w:trPr>
        <w:tc>
          <w:tcPr>
            <w:tcW w:w="273" w:type="pct"/>
            <w:vAlign w:val="center"/>
          </w:tcPr>
          <w:p w14:paraId="3F147809" w14:textId="77777777" w:rsidR="00D007CE" w:rsidRPr="006A6807" w:rsidRDefault="00A249E2">
            <w:pPr>
              <w:spacing w:before="0" w:after="0"/>
              <w:jc w:val="center"/>
              <w:rPr>
                <w:sz w:val="14"/>
              </w:rPr>
            </w:pPr>
            <w:r w:rsidRPr="006A6807">
              <w:rPr>
                <w:rFonts w:ascii="宋体" w:eastAsia="宋体" w:hAnsi="宋体"/>
                <w:sz w:val="14"/>
              </w:rPr>
              <w:t>几何约束</w:t>
            </w:r>
          </w:p>
        </w:tc>
        <w:tc>
          <w:tcPr>
            <w:tcW w:w="344" w:type="pct"/>
            <w:vAlign w:val="center"/>
          </w:tcPr>
          <w:p w14:paraId="0F4DB768" w14:textId="77777777" w:rsidR="00D007CE" w:rsidRPr="006A6807" w:rsidRDefault="00A249E2">
            <w:pPr>
              <w:spacing w:before="0" w:after="0"/>
              <w:jc w:val="center"/>
              <w:rPr>
                <w:sz w:val="14"/>
              </w:rPr>
            </w:pPr>
            <w:r w:rsidRPr="006A6807">
              <w:rPr>
                <w:rFonts w:ascii="宋体" w:eastAsia="宋体" w:hAnsi="宋体"/>
                <w:sz w:val="14"/>
              </w:rPr>
              <w:t>区段煤柱宽度</w:t>
            </w:r>
          </w:p>
        </w:tc>
        <w:tc>
          <w:tcPr>
            <w:tcW w:w="912" w:type="pct"/>
            <w:vAlign w:val="center"/>
          </w:tcPr>
          <w:p w14:paraId="3381C4DC" w14:textId="77777777" w:rsidR="00D007CE" w:rsidRPr="006A6807" w:rsidRDefault="00A249E2">
            <w:pPr>
              <w:spacing w:before="0" w:after="0"/>
              <w:jc w:val="center"/>
              <w:rPr>
                <w:sz w:val="14"/>
              </w:rPr>
            </w:pPr>
            <w:r w:rsidRPr="006A6807">
              <w:rPr>
                <w:rFonts w:ascii="宋体" w:eastAsia="宋体" w:hAnsi="宋体"/>
                <w:sz w:val="14"/>
              </w:rPr>
              <w:t>B_s</w:t>
            </w:r>
          </w:p>
        </w:tc>
        <w:tc>
          <w:tcPr>
            <w:tcW w:w="948" w:type="pct"/>
            <w:vAlign w:val="center"/>
          </w:tcPr>
          <w:p w14:paraId="1469E89E" w14:textId="77777777" w:rsidR="00D007CE" w:rsidRPr="006A6807" w:rsidRDefault="00A249E2">
            <w:pPr>
              <w:spacing w:before="0" w:after="0"/>
              <w:jc w:val="center"/>
              <w:rPr>
                <w:sz w:val="14"/>
              </w:rPr>
            </w:pPr>
            <w:r w:rsidRPr="006A6807">
              <w:rPr>
                <w:rFonts w:ascii="宋体" w:eastAsia="宋体" w:hAnsi="宋体"/>
                <w:sz w:val="14"/>
              </w:rPr>
              <w:t>20.0</w:t>
            </w:r>
          </w:p>
        </w:tc>
        <w:tc>
          <w:tcPr>
            <w:tcW w:w="272" w:type="pct"/>
            <w:vAlign w:val="center"/>
          </w:tcPr>
          <w:p w14:paraId="3E0DADD2" w14:textId="77777777" w:rsidR="00D007CE" w:rsidRPr="006A6807" w:rsidRDefault="00A249E2">
            <w:pPr>
              <w:spacing w:before="0" w:after="0"/>
              <w:jc w:val="center"/>
              <w:rPr>
                <w:sz w:val="14"/>
              </w:rPr>
            </w:pPr>
            <w:r w:rsidRPr="006A6807">
              <w:rPr>
                <w:rFonts w:ascii="宋体" w:eastAsia="宋体" w:hAnsi="宋体"/>
                <w:sz w:val="14"/>
              </w:rPr>
              <w:t>m</w:t>
            </w:r>
          </w:p>
        </w:tc>
        <w:tc>
          <w:tcPr>
            <w:tcW w:w="413" w:type="pct"/>
            <w:vAlign w:val="center"/>
          </w:tcPr>
          <w:p w14:paraId="2DD22283" w14:textId="77777777" w:rsidR="00D007CE" w:rsidRPr="006A6807" w:rsidRDefault="00A249E2">
            <w:pPr>
              <w:spacing w:before="0" w:after="0"/>
              <w:jc w:val="center"/>
              <w:rPr>
                <w:sz w:val="14"/>
              </w:rPr>
            </w:pPr>
            <w:r w:rsidRPr="006A6807">
              <w:rPr>
                <w:rFonts w:ascii="宋体" w:eastAsia="宋体" w:hAnsi="宋体"/>
                <w:sz w:val="14"/>
              </w:rPr>
              <w:t>当前样例采用值；规则范围15-30 m</w:t>
            </w:r>
          </w:p>
        </w:tc>
        <w:tc>
          <w:tcPr>
            <w:tcW w:w="1837" w:type="pct"/>
            <w:vAlign w:val="center"/>
          </w:tcPr>
          <w:p w14:paraId="7182D188" w14:textId="77777777" w:rsidR="00D007CE" w:rsidRPr="006A6807" w:rsidRDefault="00A249E2">
            <w:pPr>
              <w:spacing w:before="0" w:after="0"/>
              <w:jc w:val="center"/>
              <w:rPr>
                <w:sz w:val="14"/>
              </w:rPr>
            </w:pPr>
            <w:r w:rsidRPr="006A6807">
              <w:rPr>
                <w:rFonts w:ascii="宋体" w:eastAsia="宋体" w:hAnsi="宋体"/>
                <w:sz w:val="14"/>
              </w:rPr>
              <w:t>designParams/miningRules</w:t>
            </w:r>
          </w:p>
        </w:tc>
      </w:tr>
      <w:tr w:rsidR="00D007CE" w:rsidRPr="006A6807" w14:paraId="536DAC83" w14:textId="77777777" w:rsidTr="006A6807">
        <w:trPr>
          <w:jc w:val="center"/>
        </w:trPr>
        <w:tc>
          <w:tcPr>
            <w:tcW w:w="273" w:type="pct"/>
            <w:vAlign w:val="center"/>
          </w:tcPr>
          <w:p w14:paraId="09E4D414" w14:textId="77777777" w:rsidR="00D007CE" w:rsidRPr="006A6807" w:rsidRDefault="00A249E2">
            <w:pPr>
              <w:spacing w:before="0" w:after="0"/>
              <w:jc w:val="center"/>
              <w:rPr>
                <w:sz w:val="14"/>
              </w:rPr>
            </w:pPr>
            <w:r w:rsidRPr="006A6807">
              <w:rPr>
                <w:rFonts w:ascii="宋体" w:eastAsia="宋体" w:hAnsi="宋体"/>
                <w:sz w:val="14"/>
              </w:rPr>
              <w:t>几何约束</w:t>
            </w:r>
          </w:p>
        </w:tc>
        <w:tc>
          <w:tcPr>
            <w:tcW w:w="344" w:type="pct"/>
            <w:vAlign w:val="center"/>
          </w:tcPr>
          <w:p w14:paraId="2AA8CBF3" w14:textId="77777777" w:rsidR="00D007CE" w:rsidRPr="006A6807" w:rsidRDefault="00A249E2">
            <w:pPr>
              <w:spacing w:before="0" w:after="0"/>
              <w:jc w:val="center"/>
              <w:rPr>
                <w:sz w:val="14"/>
              </w:rPr>
            </w:pPr>
            <w:r w:rsidRPr="006A6807">
              <w:rPr>
                <w:rFonts w:ascii="宋体" w:eastAsia="宋体" w:hAnsi="宋体"/>
                <w:sz w:val="14"/>
              </w:rPr>
              <w:t>原始边界面积</w:t>
            </w:r>
          </w:p>
        </w:tc>
        <w:tc>
          <w:tcPr>
            <w:tcW w:w="912" w:type="pct"/>
            <w:vAlign w:val="center"/>
          </w:tcPr>
          <w:p w14:paraId="28A4E419" w14:textId="77777777" w:rsidR="00D007CE" w:rsidRPr="006A6807" w:rsidRDefault="00A249E2">
            <w:pPr>
              <w:spacing w:before="0" w:after="0"/>
              <w:jc w:val="center"/>
              <w:rPr>
                <w:sz w:val="14"/>
              </w:rPr>
            </w:pPr>
            <w:r w:rsidRPr="006A6807">
              <w:rPr>
                <w:rFonts w:ascii="宋体" w:eastAsia="宋体" w:hAnsi="宋体"/>
                <w:sz w:val="14"/>
              </w:rPr>
              <w:t>A_0</w:t>
            </w:r>
          </w:p>
        </w:tc>
        <w:tc>
          <w:tcPr>
            <w:tcW w:w="948" w:type="pct"/>
            <w:vAlign w:val="center"/>
          </w:tcPr>
          <w:p w14:paraId="58CF5D1C" w14:textId="77777777" w:rsidR="00D007CE" w:rsidRPr="006A6807" w:rsidRDefault="00A249E2">
            <w:pPr>
              <w:spacing w:before="0" w:after="0"/>
              <w:jc w:val="center"/>
              <w:rPr>
                <w:sz w:val="14"/>
              </w:rPr>
            </w:pPr>
            <w:r w:rsidRPr="006A6807">
              <w:rPr>
                <w:rFonts w:ascii="宋体" w:eastAsia="宋体" w:hAnsi="宋体"/>
                <w:sz w:val="14"/>
              </w:rPr>
              <w:t>255250.00</w:t>
            </w:r>
          </w:p>
        </w:tc>
        <w:tc>
          <w:tcPr>
            <w:tcW w:w="272" w:type="pct"/>
            <w:vAlign w:val="center"/>
          </w:tcPr>
          <w:p w14:paraId="2633E6B2" w14:textId="77777777" w:rsidR="00D007CE" w:rsidRPr="006A6807" w:rsidRDefault="00A249E2">
            <w:pPr>
              <w:spacing w:before="0" w:after="0"/>
              <w:jc w:val="center"/>
              <w:rPr>
                <w:sz w:val="14"/>
              </w:rPr>
            </w:pPr>
            <w:r w:rsidRPr="006A6807">
              <w:rPr>
                <w:rFonts w:ascii="宋体" w:eastAsia="宋体" w:hAnsi="宋体"/>
                <w:sz w:val="14"/>
              </w:rPr>
              <w:t>m²</w:t>
            </w:r>
          </w:p>
        </w:tc>
        <w:tc>
          <w:tcPr>
            <w:tcW w:w="413" w:type="pct"/>
            <w:vAlign w:val="center"/>
          </w:tcPr>
          <w:p w14:paraId="3026073E" w14:textId="77777777" w:rsidR="00D007CE" w:rsidRPr="006A6807" w:rsidRDefault="00A249E2">
            <w:pPr>
              <w:spacing w:before="0" w:after="0"/>
              <w:jc w:val="center"/>
              <w:rPr>
                <w:sz w:val="14"/>
              </w:rPr>
            </w:pPr>
            <w:r w:rsidRPr="006A6807">
              <w:rPr>
                <w:rFonts w:ascii="宋体" w:eastAsia="宋体" w:hAnsi="宋体"/>
                <w:sz w:val="14"/>
              </w:rPr>
              <w:t>由6个边界点计算</w:t>
            </w:r>
          </w:p>
        </w:tc>
        <w:tc>
          <w:tcPr>
            <w:tcW w:w="1837" w:type="pct"/>
            <w:vAlign w:val="center"/>
          </w:tcPr>
          <w:p w14:paraId="3DF0A16D" w14:textId="77777777" w:rsidR="00D007CE" w:rsidRPr="006A6807" w:rsidRDefault="00A249E2">
            <w:pPr>
              <w:spacing w:before="0" w:after="0"/>
              <w:jc w:val="center"/>
              <w:rPr>
                <w:sz w:val="14"/>
              </w:rPr>
            </w:pPr>
            <w:r w:rsidRPr="006A6807">
              <w:rPr>
                <w:rFonts w:ascii="宋体" w:eastAsia="宋体" w:hAnsi="宋体"/>
                <w:sz w:val="14"/>
              </w:rPr>
              <w:t>边界数据</w:t>
            </w:r>
          </w:p>
        </w:tc>
      </w:tr>
      <w:tr w:rsidR="00D007CE" w:rsidRPr="006A6807" w14:paraId="0ACF9CAA" w14:textId="77777777" w:rsidTr="006A6807">
        <w:trPr>
          <w:jc w:val="center"/>
        </w:trPr>
        <w:tc>
          <w:tcPr>
            <w:tcW w:w="273" w:type="pct"/>
            <w:vAlign w:val="center"/>
          </w:tcPr>
          <w:p w14:paraId="317FF63B" w14:textId="77777777" w:rsidR="00D007CE" w:rsidRPr="006A6807" w:rsidRDefault="00A249E2">
            <w:pPr>
              <w:spacing w:before="0" w:after="0"/>
              <w:jc w:val="center"/>
              <w:rPr>
                <w:sz w:val="14"/>
              </w:rPr>
            </w:pPr>
            <w:r w:rsidRPr="006A6807">
              <w:rPr>
                <w:rFonts w:ascii="宋体" w:eastAsia="宋体" w:hAnsi="宋体"/>
                <w:sz w:val="14"/>
              </w:rPr>
              <w:t>布置参数</w:t>
            </w:r>
          </w:p>
        </w:tc>
        <w:tc>
          <w:tcPr>
            <w:tcW w:w="344" w:type="pct"/>
            <w:vAlign w:val="center"/>
          </w:tcPr>
          <w:p w14:paraId="15160AB4" w14:textId="77777777" w:rsidR="00D007CE" w:rsidRPr="006A6807" w:rsidRDefault="00A249E2">
            <w:pPr>
              <w:spacing w:before="0" w:after="0"/>
              <w:jc w:val="center"/>
              <w:rPr>
                <w:sz w:val="14"/>
              </w:rPr>
            </w:pPr>
            <w:r w:rsidRPr="006A6807">
              <w:rPr>
                <w:rFonts w:ascii="宋体" w:eastAsia="宋体" w:hAnsi="宋体"/>
                <w:sz w:val="14"/>
              </w:rPr>
              <w:t>工作面宽度</w:t>
            </w:r>
          </w:p>
        </w:tc>
        <w:tc>
          <w:tcPr>
            <w:tcW w:w="912" w:type="pct"/>
            <w:vAlign w:val="center"/>
          </w:tcPr>
          <w:p w14:paraId="09A569FE" w14:textId="77777777" w:rsidR="00D007CE" w:rsidRPr="006A6807" w:rsidRDefault="00A249E2">
            <w:pPr>
              <w:spacing w:before="0" w:after="0"/>
              <w:jc w:val="center"/>
              <w:rPr>
                <w:sz w:val="14"/>
              </w:rPr>
            </w:pPr>
            <w:r w:rsidRPr="006A6807">
              <w:rPr>
                <w:rFonts w:ascii="宋体" w:eastAsia="宋体" w:hAnsi="宋体"/>
                <w:sz w:val="14"/>
              </w:rPr>
              <w:t>W_f</w:t>
            </w:r>
          </w:p>
        </w:tc>
        <w:tc>
          <w:tcPr>
            <w:tcW w:w="948" w:type="pct"/>
            <w:vAlign w:val="center"/>
          </w:tcPr>
          <w:p w14:paraId="29DFFD82" w14:textId="77777777" w:rsidR="00D007CE" w:rsidRPr="006A6807" w:rsidRDefault="00A249E2">
            <w:pPr>
              <w:spacing w:before="0" w:after="0"/>
              <w:jc w:val="center"/>
              <w:rPr>
                <w:sz w:val="14"/>
              </w:rPr>
            </w:pPr>
            <w:r w:rsidRPr="006A6807">
              <w:rPr>
                <w:rFonts w:ascii="宋体" w:eastAsia="宋体" w:hAnsi="宋体"/>
                <w:sz w:val="14"/>
              </w:rPr>
              <w:t>120.0</w:t>
            </w:r>
          </w:p>
        </w:tc>
        <w:tc>
          <w:tcPr>
            <w:tcW w:w="272" w:type="pct"/>
            <w:vAlign w:val="center"/>
          </w:tcPr>
          <w:p w14:paraId="110D1B9A" w14:textId="77777777" w:rsidR="00D007CE" w:rsidRPr="006A6807" w:rsidRDefault="00A249E2">
            <w:pPr>
              <w:spacing w:before="0" w:after="0"/>
              <w:jc w:val="center"/>
              <w:rPr>
                <w:sz w:val="14"/>
              </w:rPr>
            </w:pPr>
            <w:r w:rsidRPr="006A6807">
              <w:rPr>
                <w:rFonts w:ascii="宋体" w:eastAsia="宋体" w:hAnsi="宋体"/>
                <w:sz w:val="14"/>
              </w:rPr>
              <w:t>m</w:t>
            </w:r>
          </w:p>
        </w:tc>
        <w:tc>
          <w:tcPr>
            <w:tcW w:w="413" w:type="pct"/>
            <w:vAlign w:val="center"/>
          </w:tcPr>
          <w:p w14:paraId="3EE89F57" w14:textId="77777777" w:rsidR="00D007CE" w:rsidRPr="006A6807" w:rsidRDefault="00A249E2">
            <w:pPr>
              <w:spacing w:before="0" w:after="0"/>
              <w:jc w:val="center"/>
              <w:rPr>
                <w:sz w:val="14"/>
              </w:rPr>
            </w:pPr>
            <w:r w:rsidRPr="006A6807">
              <w:rPr>
                <w:rFonts w:ascii="宋体" w:eastAsia="宋体" w:hAnsi="宋体"/>
                <w:sz w:val="14"/>
              </w:rPr>
              <w:t>当前样例采用值</w:t>
            </w:r>
          </w:p>
        </w:tc>
        <w:tc>
          <w:tcPr>
            <w:tcW w:w="1837" w:type="pct"/>
            <w:vAlign w:val="center"/>
          </w:tcPr>
          <w:p w14:paraId="7D358F83" w14:textId="77777777" w:rsidR="00D007CE" w:rsidRPr="006A6807" w:rsidRDefault="00A249E2">
            <w:pPr>
              <w:spacing w:before="0" w:after="0"/>
              <w:jc w:val="center"/>
              <w:rPr>
                <w:sz w:val="14"/>
              </w:rPr>
            </w:pPr>
            <w:r w:rsidRPr="006A6807">
              <w:rPr>
                <w:rFonts w:ascii="宋体" w:eastAsia="宋体" w:hAnsi="宋体"/>
                <w:sz w:val="14"/>
              </w:rPr>
              <w:t>designParams</w:t>
            </w:r>
          </w:p>
        </w:tc>
      </w:tr>
      <w:tr w:rsidR="00D007CE" w:rsidRPr="006A6807" w14:paraId="2DCFE0F1" w14:textId="77777777" w:rsidTr="006A6807">
        <w:trPr>
          <w:jc w:val="center"/>
        </w:trPr>
        <w:tc>
          <w:tcPr>
            <w:tcW w:w="273" w:type="pct"/>
            <w:vAlign w:val="center"/>
          </w:tcPr>
          <w:p w14:paraId="59B9D3D6" w14:textId="77777777" w:rsidR="00D007CE" w:rsidRPr="006A6807" w:rsidRDefault="00A249E2">
            <w:pPr>
              <w:spacing w:before="0" w:after="0"/>
              <w:jc w:val="center"/>
              <w:rPr>
                <w:sz w:val="14"/>
              </w:rPr>
            </w:pPr>
            <w:r w:rsidRPr="006A6807">
              <w:rPr>
                <w:rFonts w:ascii="宋体" w:eastAsia="宋体" w:hAnsi="宋体"/>
                <w:sz w:val="14"/>
              </w:rPr>
              <w:t>布置参数</w:t>
            </w:r>
          </w:p>
        </w:tc>
        <w:tc>
          <w:tcPr>
            <w:tcW w:w="344" w:type="pct"/>
            <w:vAlign w:val="center"/>
          </w:tcPr>
          <w:p w14:paraId="4900ADC8" w14:textId="77777777" w:rsidR="00D007CE" w:rsidRPr="006A6807" w:rsidRDefault="00A249E2">
            <w:pPr>
              <w:spacing w:before="0" w:after="0"/>
              <w:jc w:val="center"/>
              <w:rPr>
                <w:sz w:val="14"/>
              </w:rPr>
            </w:pPr>
            <w:r w:rsidRPr="006A6807">
              <w:rPr>
                <w:rFonts w:ascii="宋体" w:eastAsia="宋体" w:hAnsi="宋体"/>
                <w:sz w:val="14"/>
              </w:rPr>
              <w:t>工作面长度规则</w:t>
            </w:r>
          </w:p>
        </w:tc>
        <w:tc>
          <w:tcPr>
            <w:tcW w:w="912" w:type="pct"/>
            <w:vAlign w:val="center"/>
          </w:tcPr>
          <w:p w14:paraId="3A17A0DB" w14:textId="77777777" w:rsidR="00D007CE" w:rsidRPr="006A6807" w:rsidRDefault="00A249E2">
            <w:pPr>
              <w:spacing w:before="0" w:after="0"/>
              <w:jc w:val="center"/>
              <w:rPr>
                <w:sz w:val="14"/>
              </w:rPr>
            </w:pPr>
            <w:r w:rsidRPr="006A6807">
              <w:rPr>
                <w:rFonts w:ascii="宋体" w:eastAsia="宋体" w:hAnsi="宋体"/>
                <w:sz w:val="14"/>
              </w:rPr>
              <w:t>L_f</w:t>
            </w:r>
          </w:p>
        </w:tc>
        <w:tc>
          <w:tcPr>
            <w:tcW w:w="948" w:type="pct"/>
            <w:vAlign w:val="center"/>
          </w:tcPr>
          <w:p w14:paraId="3782CB2C" w14:textId="77777777" w:rsidR="00D007CE" w:rsidRPr="006A6807" w:rsidRDefault="00A249E2">
            <w:pPr>
              <w:spacing w:before="0" w:after="0"/>
              <w:jc w:val="center"/>
              <w:rPr>
                <w:sz w:val="14"/>
              </w:rPr>
            </w:pPr>
            <w:r w:rsidRPr="006A6807">
              <w:rPr>
                <w:rFonts w:ascii="宋体" w:eastAsia="宋体" w:hAnsi="宋体"/>
                <w:sz w:val="14"/>
              </w:rPr>
              <w:t>120-260，推荐200</w:t>
            </w:r>
          </w:p>
        </w:tc>
        <w:tc>
          <w:tcPr>
            <w:tcW w:w="272" w:type="pct"/>
            <w:vAlign w:val="center"/>
          </w:tcPr>
          <w:p w14:paraId="2FB93A1E" w14:textId="77777777" w:rsidR="00D007CE" w:rsidRPr="006A6807" w:rsidRDefault="00A249E2">
            <w:pPr>
              <w:spacing w:before="0" w:after="0"/>
              <w:jc w:val="center"/>
              <w:rPr>
                <w:sz w:val="14"/>
              </w:rPr>
            </w:pPr>
            <w:r w:rsidRPr="006A6807">
              <w:rPr>
                <w:rFonts w:ascii="宋体" w:eastAsia="宋体" w:hAnsi="宋体"/>
                <w:sz w:val="14"/>
              </w:rPr>
              <w:t>m</w:t>
            </w:r>
          </w:p>
        </w:tc>
        <w:tc>
          <w:tcPr>
            <w:tcW w:w="413" w:type="pct"/>
            <w:vAlign w:val="center"/>
          </w:tcPr>
          <w:p w14:paraId="6FF75049" w14:textId="77777777" w:rsidR="00D007CE" w:rsidRPr="006A6807" w:rsidRDefault="00A249E2">
            <w:pPr>
              <w:spacing w:before="0" w:after="0"/>
              <w:jc w:val="center"/>
              <w:rPr>
                <w:sz w:val="14"/>
              </w:rPr>
            </w:pPr>
            <w:r w:rsidRPr="006A6807">
              <w:rPr>
                <w:rFonts w:ascii="宋体" w:eastAsia="宋体" w:hAnsi="宋体"/>
                <w:sz w:val="14"/>
              </w:rPr>
              <w:t>规则参数</w:t>
            </w:r>
          </w:p>
        </w:tc>
        <w:tc>
          <w:tcPr>
            <w:tcW w:w="1837" w:type="pct"/>
            <w:vAlign w:val="center"/>
          </w:tcPr>
          <w:p w14:paraId="7DCFF3FB" w14:textId="77777777" w:rsidR="00D007CE" w:rsidRPr="006A6807" w:rsidRDefault="00A249E2">
            <w:pPr>
              <w:spacing w:before="0" w:after="0"/>
              <w:jc w:val="center"/>
              <w:rPr>
                <w:sz w:val="14"/>
              </w:rPr>
            </w:pPr>
            <w:r w:rsidRPr="006A6807">
              <w:rPr>
                <w:rFonts w:ascii="宋体" w:eastAsia="宋体" w:hAnsi="宋体"/>
                <w:sz w:val="14"/>
              </w:rPr>
              <w:t>miningRules</w:t>
            </w:r>
          </w:p>
        </w:tc>
      </w:tr>
      <w:tr w:rsidR="00D007CE" w:rsidRPr="006A6807" w14:paraId="744650E8" w14:textId="77777777" w:rsidTr="006A6807">
        <w:trPr>
          <w:jc w:val="center"/>
        </w:trPr>
        <w:tc>
          <w:tcPr>
            <w:tcW w:w="273" w:type="pct"/>
            <w:vAlign w:val="center"/>
          </w:tcPr>
          <w:p w14:paraId="1AF541AA" w14:textId="77777777" w:rsidR="00D007CE" w:rsidRPr="006A6807" w:rsidRDefault="00A249E2">
            <w:pPr>
              <w:spacing w:before="0" w:after="0"/>
              <w:jc w:val="center"/>
              <w:rPr>
                <w:sz w:val="14"/>
              </w:rPr>
            </w:pPr>
            <w:r w:rsidRPr="006A6807">
              <w:rPr>
                <w:rFonts w:ascii="宋体" w:eastAsia="宋体" w:hAnsi="宋体"/>
                <w:sz w:val="14"/>
              </w:rPr>
              <w:t>布置参数</w:t>
            </w:r>
          </w:p>
        </w:tc>
        <w:tc>
          <w:tcPr>
            <w:tcW w:w="344" w:type="pct"/>
            <w:vAlign w:val="center"/>
          </w:tcPr>
          <w:p w14:paraId="4DE4CE81" w14:textId="77777777" w:rsidR="00D007CE" w:rsidRPr="006A6807" w:rsidRDefault="00A249E2">
            <w:pPr>
              <w:spacing w:before="0" w:after="0"/>
              <w:jc w:val="center"/>
              <w:rPr>
                <w:sz w:val="14"/>
              </w:rPr>
            </w:pPr>
            <w:r w:rsidRPr="006A6807">
              <w:rPr>
                <w:rFonts w:ascii="宋体" w:eastAsia="宋体" w:hAnsi="宋体"/>
                <w:sz w:val="14"/>
              </w:rPr>
              <w:t>推进长度校核阈值</w:t>
            </w:r>
          </w:p>
        </w:tc>
        <w:tc>
          <w:tcPr>
            <w:tcW w:w="912" w:type="pct"/>
            <w:vAlign w:val="center"/>
          </w:tcPr>
          <w:p w14:paraId="5DD30A18" w14:textId="77777777" w:rsidR="00D007CE" w:rsidRPr="006A6807" w:rsidRDefault="00A249E2">
            <w:pPr>
              <w:spacing w:before="0" w:after="0"/>
              <w:jc w:val="center"/>
              <w:rPr>
                <w:sz w:val="14"/>
              </w:rPr>
            </w:pPr>
            <w:r w:rsidRPr="006A6807">
              <w:rPr>
                <w:rFonts w:ascii="宋体" w:eastAsia="宋体" w:hAnsi="宋体"/>
                <w:sz w:val="14"/>
              </w:rPr>
              <w:t>L_a,check</w:t>
            </w:r>
          </w:p>
        </w:tc>
        <w:tc>
          <w:tcPr>
            <w:tcW w:w="948" w:type="pct"/>
            <w:vAlign w:val="center"/>
          </w:tcPr>
          <w:p w14:paraId="043735C1" w14:textId="77777777" w:rsidR="00D007CE" w:rsidRPr="006A6807" w:rsidRDefault="00A249E2">
            <w:pPr>
              <w:spacing w:before="0" w:after="0"/>
              <w:jc w:val="center"/>
              <w:rPr>
                <w:sz w:val="14"/>
              </w:rPr>
            </w:pPr>
            <w:r w:rsidRPr="006A6807">
              <w:rPr>
                <w:rFonts w:ascii="宋体" w:eastAsia="宋体" w:hAnsi="宋体"/>
                <w:sz w:val="14"/>
              </w:rPr>
              <w:t>800.0</w:t>
            </w:r>
          </w:p>
        </w:tc>
        <w:tc>
          <w:tcPr>
            <w:tcW w:w="272" w:type="pct"/>
            <w:vAlign w:val="center"/>
          </w:tcPr>
          <w:p w14:paraId="5515EA54" w14:textId="77777777" w:rsidR="00D007CE" w:rsidRPr="006A6807" w:rsidRDefault="00A249E2">
            <w:pPr>
              <w:spacing w:before="0" w:after="0"/>
              <w:jc w:val="center"/>
              <w:rPr>
                <w:sz w:val="14"/>
              </w:rPr>
            </w:pPr>
            <w:r w:rsidRPr="006A6807">
              <w:rPr>
                <w:rFonts w:ascii="宋体" w:eastAsia="宋体" w:hAnsi="宋体"/>
                <w:sz w:val="14"/>
              </w:rPr>
              <w:t>m</w:t>
            </w:r>
          </w:p>
        </w:tc>
        <w:tc>
          <w:tcPr>
            <w:tcW w:w="413" w:type="pct"/>
            <w:vAlign w:val="center"/>
          </w:tcPr>
          <w:p w14:paraId="44CB81B7" w14:textId="77777777" w:rsidR="00D007CE" w:rsidRPr="006A6807" w:rsidRDefault="00A249E2">
            <w:pPr>
              <w:spacing w:before="0" w:after="0"/>
              <w:jc w:val="center"/>
              <w:rPr>
                <w:sz w:val="14"/>
              </w:rPr>
            </w:pPr>
            <w:r w:rsidRPr="006A6807">
              <w:rPr>
                <w:rFonts w:ascii="宋体" w:eastAsia="宋体" w:hAnsi="宋体"/>
                <w:sz w:val="14"/>
              </w:rPr>
              <w:t>推荐/校核阈值；当前样例用于提示方案修正，不作为硬性达标结果</w:t>
            </w:r>
          </w:p>
        </w:tc>
        <w:tc>
          <w:tcPr>
            <w:tcW w:w="1837" w:type="pct"/>
            <w:vAlign w:val="center"/>
          </w:tcPr>
          <w:p w14:paraId="4E3C2438" w14:textId="77777777" w:rsidR="00D007CE" w:rsidRPr="006A6807" w:rsidRDefault="00A249E2">
            <w:pPr>
              <w:spacing w:before="0" w:after="0"/>
              <w:jc w:val="center"/>
              <w:rPr>
                <w:sz w:val="14"/>
              </w:rPr>
            </w:pPr>
            <w:r w:rsidRPr="006A6807">
              <w:rPr>
                <w:rFonts w:ascii="宋体" w:eastAsia="宋体" w:hAnsi="宋体"/>
                <w:sz w:val="14"/>
              </w:rPr>
              <w:t>miningRules</w:t>
            </w:r>
          </w:p>
        </w:tc>
      </w:tr>
      <w:tr w:rsidR="00D007CE" w:rsidRPr="006A6807" w14:paraId="03DC9994" w14:textId="77777777" w:rsidTr="006A6807">
        <w:trPr>
          <w:jc w:val="center"/>
        </w:trPr>
        <w:tc>
          <w:tcPr>
            <w:tcW w:w="273" w:type="pct"/>
            <w:vAlign w:val="center"/>
          </w:tcPr>
          <w:p w14:paraId="489AC8F2" w14:textId="77777777" w:rsidR="00D007CE" w:rsidRPr="006A6807" w:rsidRDefault="00A249E2">
            <w:pPr>
              <w:spacing w:before="0" w:after="0"/>
              <w:jc w:val="center"/>
              <w:rPr>
                <w:sz w:val="14"/>
              </w:rPr>
            </w:pPr>
            <w:r w:rsidRPr="006A6807">
              <w:rPr>
                <w:rFonts w:ascii="宋体" w:eastAsia="宋体" w:hAnsi="宋体"/>
                <w:sz w:val="14"/>
              </w:rPr>
              <w:t>布置参数</w:t>
            </w:r>
          </w:p>
        </w:tc>
        <w:tc>
          <w:tcPr>
            <w:tcW w:w="344" w:type="pct"/>
            <w:vAlign w:val="center"/>
          </w:tcPr>
          <w:p w14:paraId="751BBEB5" w14:textId="77777777" w:rsidR="00D007CE" w:rsidRPr="006A6807" w:rsidRDefault="00A249E2">
            <w:pPr>
              <w:spacing w:before="0" w:after="0"/>
              <w:jc w:val="center"/>
              <w:rPr>
                <w:sz w:val="14"/>
              </w:rPr>
            </w:pPr>
            <w:r w:rsidRPr="006A6807">
              <w:rPr>
                <w:rFonts w:ascii="宋体" w:eastAsia="宋体" w:hAnsi="宋体"/>
                <w:sz w:val="14"/>
              </w:rPr>
              <w:t>推进方向</w:t>
            </w:r>
          </w:p>
        </w:tc>
        <w:tc>
          <w:tcPr>
            <w:tcW w:w="912" w:type="pct"/>
            <w:vAlign w:val="center"/>
          </w:tcPr>
          <w:p w14:paraId="44701AF1" w14:textId="77777777" w:rsidR="00D007CE" w:rsidRPr="006A6807" w:rsidRDefault="00A249E2">
            <w:pPr>
              <w:spacing w:before="0" w:after="0"/>
              <w:jc w:val="center"/>
              <w:rPr>
                <w:sz w:val="14"/>
              </w:rPr>
            </w:pPr>
            <w:r w:rsidRPr="006A6807">
              <w:rPr>
                <w:rFonts w:ascii="宋体" w:eastAsia="宋体" w:hAnsi="宋体"/>
                <w:sz w:val="14"/>
              </w:rPr>
              <w:t>D</w:t>
            </w:r>
          </w:p>
        </w:tc>
        <w:tc>
          <w:tcPr>
            <w:tcW w:w="948" w:type="pct"/>
            <w:vAlign w:val="center"/>
          </w:tcPr>
          <w:p w14:paraId="1BC66CB0" w14:textId="77777777" w:rsidR="00D007CE" w:rsidRPr="006A6807" w:rsidRDefault="00A249E2">
            <w:pPr>
              <w:spacing w:before="0" w:after="0"/>
              <w:jc w:val="center"/>
              <w:rPr>
                <w:sz w:val="14"/>
              </w:rPr>
            </w:pPr>
            <w:r w:rsidRPr="006A6807">
              <w:rPr>
                <w:rFonts w:ascii="宋体" w:eastAsia="宋体" w:hAnsi="宋体"/>
                <w:sz w:val="14"/>
              </w:rPr>
              <w:t>走向长壁布置，走向: 180.0°</w:t>
            </w:r>
          </w:p>
        </w:tc>
        <w:tc>
          <w:tcPr>
            <w:tcW w:w="272" w:type="pct"/>
            <w:vAlign w:val="center"/>
          </w:tcPr>
          <w:p w14:paraId="26446D50" w14:textId="77777777" w:rsidR="00D007CE" w:rsidRPr="006A6807" w:rsidRDefault="00A249E2">
            <w:pPr>
              <w:spacing w:before="0" w:after="0"/>
              <w:jc w:val="center"/>
              <w:rPr>
                <w:sz w:val="14"/>
              </w:rPr>
            </w:pPr>
            <w:r w:rsidRPr="006A6807">
              <w:rPr>
                <w:rFonts w:ascii="宋体" w:eastAsia="宋体" w:hAnsi="宋体"/>
                <w:sz w:val="14"/>
              </w:rPr>
              <w:t>—</w:t>
            </w:r>
          </w:p>
        </w:tc>
        <w:tc>
          <w:tcPr>
            <w:tcW w:w="413" w:type="pct"/>
            <w:vAlign w:val="center"/>
          </w:tcPr>
          <w:p w14:paraId="2A225395" w14:textId="77777777" w:rsidR="00D007CE" w:rsidRPr="006A6807" w:rsidRDefault="00A249E2">
            <w:pPr>
              <w:spacing w:before="0" w:after="0"/>
              <w:jc w:val="center"/>
              <w:rPr>
                <w:sz w:val="14"/>
              </w:rPr>
            </w:pPr>
            <w:r w:rsidRPr="006A6807">
              <w:rPr>
                <w:rFonts w:ascii="宋体" w:eastAsia="宋体" w:hAnsi="宋体"/>
                <w:sz w:val="14"/>
              </w:rPr>
              <w:t>走向长壁后退式开采</w:t>
            </w:r>
          </w:p>
        </w:tc>
        <w:tc>
          <w:tcPr>
            <w:tcW w:w="1837" w:type="pct"/>
            <w:vAlign w:val="center"/>
          </w:tcPr>
          <w:p w14:paraId="01ED337B" w14:textId="77777777" w:rsidR="00D007CE" w:rsidRPr="006A6807" w:rsidRDefault="00A249E2">
            <w:pPr>
              <w:spacing w:before="0" w:after="0"/>
              <w:jc w:val="center"/>
              <w:rPr>
                <w:sz w:val="14"/>
              </w:rPr>
            </w:pPr>
            <w:r w:rsidRPr="006A6807">
              <w:rPr>
                <w:rFonts w:ascii="宋体" w:eastAsia="宋体" w:hAnsi="宋体"/>
                <w:sz w:val="14"/>
              </w:rPr>
              <w:t>设计结果</w:t>
            </w:r>
          </w:p>
        </w:tc>
      </w:tr>
      <w:tr w:rsidR="00D007CE" w:rsidRPr="006A6807" w14:paraId="498A91DE" w14:textId="77777777" w:rsidTr="006A6807">
        <w:trPr>
          <w:jc w:val="center"/>
        </w:trPr>
        <w:tc>
          <w:tcPr>
            <w:tcW w:w="273" w:type="pct"/>
            <w:vAlign w:val="center"/>
          </w:tcPr>
          <w:p w14:paraId="40FC7678" w14:textId="77777777" w:rsidR="00D007CE" w:rsidRPr="006A6807" w:rsidRDefault="00A249E2">
            <w:pPr>
              <w:spacing w:before="0" w:after="0"/>
              <w:jc w:val="center"/>
              <w:rPr>
                <w:sz w:val="14"/>
              </w:rPr>
            </w:pPr>
            <w:r w:rsidRPr="006A6807">
              <w:rPr>
                <w:rFonts w:ascii="宋体" w:eastAsia="宋体" w:hAnsi="宋体"/>
                <w:sz w:val="14"/>
              </w:rPr>
              <w:t>风险参数</w:t>
            </w:r>
          </w:p>
        </w:tc>
        <w:tc>
          <w:tcPr>
            <w:tcW w:w="344" w:type="pct"/>
            <w:vAlign w:val="center"/>
          </w:tcPr>
          <w:p w14:paraId="3059B0CD" w14:textId="77777777" w:rsidR="00D007CE" w:rsidRPr="006A6807" w:rsidRDefault="00A249E2">
            <w:pPr>
              <w:spacing w:before="0" w:after="0"/>
              <w:jc w:val="center"/>
              <w:rPr>
                <w:sz w:val="14"/>
              </w:rPr>
            </w:pPr>
            <w:r w:rsidRPr="006A6807">
              <w:rPr>
                <w:rFonts w:ascii="宋体" w:eastAsia="宋体" w:hAnsi="宋体"/>
                <w:sz w:val="14"/>
              </w:rPr>
              <w:t>ODI权重</w:t>
            </w:r>
          </w:p>
        </w:tc>
        <w:tc>
          <w:tcPr>
            <w:tcW w:w="912" w:type="pct"/>
            <w:vAlign w:val="center"/>
          </w:tcPr>
          <w:p w14:paraId="7BE08382" w14:textId="77777777" w:rsidR="00D007CE" w:rsidRPr="006A6807" w:rsidRDefault="00A249E2">
            <w:pPr>
              <w:spacing w:before="0" w:after="0"/>
              <w:rPr>
                <w:sz w:val="14"/>
              </w:rPr>
            </w:pPr>
            <w:r w:rsidRPr="006A6807">
              <w:rPr>
                <w:sz w:val="14"/>
              </w:rPr>
              <w:t>w_s/w_a/w_u</w:t>
            </w:r>
          </w:p>
        </w:tc>
        <w:tc>
          <w:tcPr>
            <w:tcW w:w="948" w:type="pct"/>
            <w:vAlign w:val="center"/>
          </w:tcPr>
          <w:p w14:paraId="6F2206AA" w14:textId="77777777" w:rsidR="00D007CE" w:rsidRPr="006A6807" w:rsidRDefault="00A249E2">
            <w:pPr>
              <w:spacing w:before="0" w:after="0"/>
              <w:rPr>
                <w:sz w:val="14"/>
              </w:rPr>
            </w:pPr>
            <w:r w:rsidRPr="006A6807">
              <w:rPr>
                <w:sz w:val="14"/>
              </w:rPr>
              <w:t>0.45/0.30/0.25</w:t>
            </w:r>
          </w:p>
        </w:tc>
        <w:tc>
          <w:tcPr>
            <w:tcW w:w="272" w:type="pct"/>
            <w:vAlign w:val="center"/>
          </w:tcPr>
          <w:p w14:paraId="07668C17" w14:textId="77777777" w:rsidR="00D007CE" w:rsidRPr="006A6807" w:rsidRDefault="00A249E2">
            <w:pPr>
              <w:spacing w:before="0" w:after="0"/>
              <w:jc w:val="center"/>
              <w:rPr>
                <w:sz w:val="14"/>
              </w:rPr>
            </w:pPr>
            <w:r w:rsidRPr="006A6807">
              <w:rPr>
                <w:rFonts w:ascii="宋体" w:eastAsia="宋体" w:hAnsi="宋体"/>
                <w:sz w:val="14"/>
              </w:rPr>
              <w:t>—</w:t>
            </w:r>
          </w:p>
        </w:tc>
        <w:tc>
          <w:tcPr>
            <w:tcW w:w="413" w:type="pct"/>
            <w:vAlign w:val="center"/>
          </w:tcPr>
          <w:p w14:paraId="04190A3A" w14:textId="77777777" w:rsidR="00D007CE" w:rsidRPr="006A6807" w:rsidRDefault="00A249E2">
            <w:pPr>
              <w:spacing w:before="0" w:after="0"/>
              <w:rPr>
                <w:sz w:val="14"/>
              </w:rPr>
            </w:pPr>
            <w:r w:rsidRPr="006A6807">
              <w:rPr>
                <w:sz w:val="14"/>
              </w:rPr>
              <w:t>地表沉陷</w:t>
            </w:r>
            <w:r w:rsidRPr="006A6807">
              <w:rPr>
                <w:sz w:val="14"/>
              </w:rPr>
              <w:t>/</w:t>
            </w:r>
            <w:r w:rsidRPr="006A6807">
              <w:rPr>
                <w:sz w:val="14"/>
              </w:rPr>
              <w:t>含水层扰动</w:t>
            </w:r>
            <w:r w:rsidRPr="006A6807">
              <w:rPr>
                <w:sz w:val="14"/>
              </w:rPr>
              <w:t>/</w:t>
            </w:r>
            <w:r w:rsidRPr="006A6807">
              <w:rPr>
                <w:sz w:val="14"/>
              </w:rPr>
              <w:t>上行开采；综合规划基准权重</w:t>
            </w:r>
          </w:p>
        </w:tc>
        <w:tc>
          <w:tcPr>
            <w:tcW w:w="1837" w:type="pct"/>
            <w:vAlign w:val="center"/>
          </w:tcPr>
          <w:p w14:paraId="4FAA0B91" w14:textId="77777777" w:rsidR="00D007CE" w:rsidRPr="006A6807" w:rsidRDefault="00A249E2">
            <w:pPr>
              <w:spacing w:before="0" w:after="0"/>
              <w:jc w:val="center"/>
              <w:rPr>
                <w:sz w:val="14"/>
              </w:rPr>
            </w:pPr>
            <w:r w:rsidRPr="006A6807">
              <w:rPr>
                <w:rFonts w:ascii="宋体" w:eastAsia="宋体" w:hAnsi="宋体"/>
                <w:sz w:val="14"/>
              </w:rPr>
              <w:t>ODI场结果</w:t>
            </w:r>
          </w:p>
        </w:tc>
      </w:tr>
      <w:tr w:rsidR="00D007CE" w:rsidRPr="006A6807" w14:paraId="47912AE3" w14:textId="77777777" w:rsidTr="006A6807">
        <w:trPr>
          <w:jc w:val="center"/>
        </w:trPr>
        <w:tc>
          <w:tcPr>
            <w:tcW w:w="273" w:type="pct"/>
            <w:vAlign w:val="center"/>
          </w:tcPr>
          <w:p w14:paraId="640AC378" w14:textId="77777777" w:rsidR="00D007CE" w:rsidRPr="006A6807" w:rsidRDefault="00A249E2">
            <w:pPr>
              <w:spacing w:before="0" w:after="0"/>
              <w:jc w:val="center"/>
              <w:rPr>
                <w:sz w:val="14"/>
              </w:rPr>
            </w:pPr>
            <w:r w:rsidRPr="006A6807">
              <w:rPr>
                <w:rFonts w:ascii="宋体" w:eastAsia="宋体" w:hAnsi="宋体"/>
                <w:sz w:val="14"/>
              </w:rPr>
              <w:t>风险参数</w:t>
            </w:r>
          </w:p>
        </w:tc>
        <w:tc>
          <w:tcPr>
            <w:tcW w:w="344" w:type="pct"/>
            <w:vAlign w:val="center"/>
          </w:tcPr>
          <w:p w14:paraId="0BF9B9EC" w14:textId="77777777" w:rsidR="00D007CE" w:rsidRPr="006A6807" w:rsidRDefault="00A249E2">
            <w:pPr>
              <w:spacing w:before="0" w:after="0"/>
              <w:jc w:val="center"/>
              <w:rPr>
                <w:sz w:val="14"/>
              </w:rPr>
            </w:pPr>
            <w:r w:rsidRPr="006A6807">
              <w:rPr>
                <w:rFonts w:ascii="宋体" w:eastAsia="宋体" w:hAnsi="宋体"/>
                <w:sz w:val="14"/>
              </w:rPr>
              <w:t>ODI统计阈值</w:t>
            </w:r>
          </w:p>
        </w:tc>
        <w:tc>
          <w:tcPr>
            <w:tcW w:w="912" w:type="pct"/>
            <w:vAlign w:val="center"/>
          </w:tcPr>
          <w:p w14:paraId="065E58B9" w14:textId="77777777" w:rsidR="00D007CE" w:rsidRPr="006A6807" w:rsidRDefault="00A249E2">
            <w:pPr>
              <w:spacing w:before="0" w:after="0"/>
              <w:jc w:val="center"/>
              <w:rPr>
                <w:sz w:val="14"/>
              </w:rPr>
            </w:pPr>
            <w:r w:rsidRPr="006A6807">
              <w:rPr>
                <w:rFonts w:ascii="宋体" w:eastAsia="宋体" w:hAnsi="宋体"/>
                <w:sz w:val="14"/>
              </w:rPr>
              <w:t>T_ODI</w:t>
            </w:r>
          </w:p>
        </w:tc>
        <w:tc>
          <w:tcPr>
            <w:tcW w:w="948" w:type="pct"/>
            <w:vAlign w:val="center"/>
          </w:tcPr>
          <w:p w14:paraId="6C7E5758" w14:textId="77777777" w:rsidR="00D007CE" w:rsidRPr="006A6807" w:rsidRDefault="00A249E2">
            <w:pPr>
              <w:spacing w:before="0" w:after="0"/>
              <w:jc w:val="center"/>
              <w:rPr>
                <w:sz w:val="14"/>
              </w:rPr>
            </w:pPr>
            <w:r w:rsidRPr="006A6807">
              <w:rPr>
                <w:rFonts w:ascii="宋体" w:eastAsia="宋体" w:hAnsi="宋体"/>
                <w:sz w:val="14"/>
              </w:rPr>
              <w:t>0.70/0.80</w:t>
            </w:r>
          </w:p>
        </w:tc>
        <w:tc>
          <w:tcPr>
            <w:tcW w:w="272" w:type="pct"/>
            <w:vAlign w:val="center"/>
          </w:tcPr>
          <w:p w14:paraId="45E9B644" w14:textId="77777777" w:rsidR="00D007CE" w:rsidRPr="006A6807" w:rsidRDefault="00A249E2">
            <w:pPr>
              <w:spacing w:before="0" w:after="0"/>
              <w:jc w:val="center"/>
              <w:rPr>
                <w:sz w:val="14"/>
              </w:rPr>
            </w:pPr>
            <w:r w:rsidRPr="006A6807">
              <w:rPr>
                <w:rFonts w:ascii="宋体" w:eastAsia="宋体" w:hAnsi="宋体"/>
                <w:sz w:val="14"/>
              </w:rPr>
              <w:t>—</w:t>
            </w:r>
          </w:p>
        </w:tc>
        <w:tc>
          <w:tcPr>
            <w:tcW w:w="413" w:type="pct"/>
            <w:vAlign w:val="center"/>
          </w:tcPr>
          <w:p w14:paraId="32022CBD" w14:textId="77777777" w:rsidR="00D007CE" w:rsidRPr="006A6807" w:rsidRDefault="00A249E2">
            <w:pPr>
              <w:spacing w:before="0" w:after="0"/>
              <w:rPr>
                <w:sz w:val="14"/>
              </w:rPr>
            </w:pPr>
            <w:r w:rsidRPr="006A6807">
              <w:rPr>
                <w:sz w:val="14"/>
              </w:rPr>
              <w:t>用于方案级超阈值暴露统计；真实</w:t>
            </w:r>
            <w:r w:rsidRPr="006A6807">
              <w:rPr>
                <w:sz w:val="14"/>
              </w:rPr>
              <w:lastRenderedPageBreak/>
              <w:t>工程需结合现场阈值标定</w:t>
            </w:r>
          </w:p>
        </w:tc>
        <w:tc>
          <w:tcPr>
            <w:tcW w:w="1837" w:type="pct"/>
            <w:vAlign w:val="center"/>
          </w:tcPr>
          <w:p w14:paraId="187B26EE" w14:textId="77777777" w:rsidR="00D007CE" w:rsidRPr="006A6807" w:rsidRDefault="00A249E2">
            <w:pPr>
              <w:spacing w:before="0" w:after="0"/>
              <w:jc w:val="center"/>
              <w:rPr>
                <w:sz w:val="14"/>
              </w:rPr>
            </w:pPr>
            <w:r w:rsidRPr="006A6807">
              <w:rPr>
                <w:rFonts w:ascii="宋体" w:eastAsia="宋体" w:hAnsi="宋体"/>
                <w:sz w:val="14"/>
              </w:rPr>
              <w:lastRenderedPageBreak/>
              <w:t>本文统计口径</w:t>
            </w:r>
          </w:p>
        </w:tc>
      </w:tr>
      <w:tr w:rsidR="00D007CE" w:rsidRPr="006A6807" w14:paraId="7211A578" w14:textId="77777777" w:rsidTr="006A6807">
        <w:trPr>
          <w:jc w:val="center"/>
        </w:trPr>
        <w:tc>
          <w:tcPr>
            <w:tcW w:w="273" w:type="pct"/>
            <w:vAlign w:val="center"/>
          </w:tcPr>
          <w:p w14:paraId="272729AC" w14:textId="77777777" w:rsidR="00D007CE" w:rsidRPr="006A6807" w:rsidRDefault="00A249E2">
            <w:pPr>
              <w:spacing w:before="0" w:after="0"/>
              <w:jc w:val="center"/>
              <w:rPr>
                <w:sz w:val="14"/>
              </w:rPr>
            </w:pPr>
            <w:r w:rsidRPr="006A6807">
              <w:rPr>
                <w:rFonts w:ascii="宋体" w:eastAsia="宋体" w:hAnsi="宋体"/>
                <w:sz w:val="14"/>
              </w:rPr>
              <w:t>评价权重</w:t>
            </w:r>
          </w:p>
        </w:tc>
        <w:tc>
          <w:tcPr>
            <w:tcW w:w="344" w:type="pct"/>
            <w:vAlign w:val="center"/>
          </w:tcPr>
          <w:p w14:paraId="247671D8" w14:textId="77777777" w:rsidR="00D007CE" w:rsidRPr="006A6807" w:rsidRDefault="00A249E2">
            <w:pPr>
              <w:spacing w:before="0" w:after="0"/>
              <w:jc w:val="center"/>
              <w:rPr>
                <w:sz w:val="14"/>
              </w:rPr>
            </w:pPr>
            <w:r w:rsidRPr="006A6807">
              <w:rPr>
                <w:rFonts w:ascii="宋体" w:eastAsia="宋体" w:hAnsi="宋体"/>
                <w:sz w:val="14"/>
              </w:rPr>
              <w:t>工程评分权重</w:t>
            </w:r>
          </w:p>
        </w:tc>
        <w:tc>
          <w:tcPr>
            <w:tcW w:w="912" w:type="pct"/>
            <w:vAlign w:val="center"/>
          </w:tcPr>
          <w:p w14:paraId="6EFA3472" w14:textId="77777777" w:rsidR="00D007CE" w:rsidRPr="006A6807" w:rsidRDefault="00A249E2">
            <w:pPr>
              <w:spacing w:before="0" w:after="0"/>
              <w:jc w:val="center"/>
              <w:rPr>
                <w:sz w:val="14"/>
              </w:rPr>
            </w:pPr>
            <w:r w:rsidRPr="006A6807">
              <w:rPr>
                <w:rFonts w:ascii="宋体" w:eastAsia="宋体" w:hAnsi="宋体"/>
                <w:sz w:val="14"/>
              </w:rPr>
              <w:t>w</w:t>
            </w:r>
          </w:p>
        </w:tc>
        <w:tc>
          <w:tcPr>
            <w:tcW w:w="948" w:type="pct"/>
            <w:vAlign w:val="center"/>
          </w:tcPr>
          <w:p w14:paraId="0FBAF679" w14:textId="77777777" w:rsidR="00D007CE" w:rsidRPr="006A6807" w:rsidRDefault="00A249E2">
            <w:pPr>
              <w:spacing w:before="0" w:after="0"/>
              <w:jc w:val="center"/>
              <w:rPr>
                <w:sz w:val="14"/>
              </w:rPr>
            </w:pPr>
            <w:r w:rsidRPr="006A6807">
              <w:rPr>
                <w:rFonts w:ascii="宋体" w:eastAsia="宋体" w:hAnsi="宋体"/>
                <w:sz w:val="14"/>
              </w:rPr>
              <w:t>厚度0.35，顶板0.25，瓦斯0.20，水0.15，构造0.05</w:t>
            </w:r>
          </w:p>
        </w:tc>
        <w:tc>
          <w:tcPr>
            <w:tcW w:w="272" w:type="pct"/>
            <w:vAlign w:val="center"/>
          </w:tcPr>
          <w:p w14:paraId="128E3994" w14:textId="77777777" w:rsidR="00D007CE" w:rsidRPr="006A6807" w:rsidRDefault="00A249E2">
            <w:pPr>
              <w:spacing w:before="0" w:after="0"/>
              <w:jc w:val="center"/>
              <w:rPr>
                <w:sz w:val="14"/>
              </w:rPr>
            </w:pPr>
            <w:r w:rsidRPr="006A6807">
              <w:rPr>
                <w:rFonts w:ascii="宋体" w:eastAsia="宋体" w:hAnsi="宋体"/>
                <w:sz w:val="14"/>
              </w:rPr>
              <w:t>—</w:t>
            </w:r>
          </w:p>
        </w:tc>
        <w:tc>
          <w:tcPr>
            <w:tcW w:w="413" w:type="pct"/>
            <w:vAlign w:val="center"/>
          </w:tcPr>
          <w:p w14:paraId="7543B063" w14:textId="77777777" w:rsidR="00D007CE" w:rsidRPr="006A6807" w:rsidRDefault="00A249E2">
            <w:pPr>
              <w:spacing w:before="0" w:after="0"/>
              <w:jc w:val="center"/>
              <w:rPr>
                <w:sz w:val="14"/>
              </w:rPr>
            </w:pPr>
            <w:r w:rsidRPr="006A6807">
              <w:rPr>
                <w:rFonts w:ascii="宋体" w:eastAsia="宋体" w:hAnsi="宋体"/>
                <w:sz w:val="14"/>
              </w:rPr>
              <w:t>设计评分采用的因素权重</w:t>
            </w:r>
          </w:p>
        </w:tc>
        <w:tc>
          <w:tcPr>
            <w:tcW w:w="1837" w:type="pct"/>
            <w:vAlign w:val="center"/>
          </w:tcPr>
          <w:p w14:paraId="40D2CD10" w14:textId="77777777" w:rsidR="00D007CE" w:rsidRPr="006A6807" w:rsidRDefault="00A249E2">
            <w:pPr>
              <w:spacing w:before="0" w:after="0"/>
              <w:jc w:val="center"/>
              <w:rPr>
                <w:sz w:val="14"/>
              </w:rPr>
            </w:pPr>
            <w:r w:rsidRPr="006A6807">
              <w:rPr>
                <w:rFonts w:ascii="宋体" w:eastAsia="宋体" w:hAnsi="宋体"/>
                <w:sz w:val="14"/>
              </w:rPr>
              <w:t>miningRules</w:t>
            </w:r>
          </w:p>
        </w:tc>
      </w:tr>
      <w:tr w:rsidR="00D007CE" w:rsidRPr="006A6807" w14:paraId="234F8185" w14:textId="77777777" w:rsidTr="006A6807">
        <w:trPr>
          <w:jc w:val="center"/>
        </w:trPr>
        <w:tc>
          <w:tcPr>
            <w:tcW w:w="273" w:type="pct"/>
            <w:tcBorders>
              <w:bottom w:val="single" w:sz="8" w:space="0" w:color="000000"/>
            </w:tcBorders>
            <w:vAlign w:val="center"/>
          </w:tcPr>
          <w:p w14:paraId="2A05D173" w14:textId="77777777" w:rsidR="00D007CE" w:rsidRPr="006A6807" w:rsidRDefault="00A249E2">
            <w:pPr>
              <w:spacing w:before="0" w:after="0"/>
              <w:rPr>
                <w:sz w:val="14"/>
              </w:rPr>
            </w:pPr>
            <w:r w:rsidRPr="006A6807">
              <w:rPr>
                <w:sz w:val="14"/>
              </w:rPr>
              <w:t>候选池</w:t>
            </w:r>
          </w:p>
        </w:tc>
        <w:tc>
          <w:tcPr>
            <w:tcW w:w="344" w:type="pct"/>
            <w:tcBorders>
              <w:bottom w:val="single" w:sz="8" w:space="0" w:color="000000"/>
            </w:tcBorders>
            <w:vAlign w:val="center"/>
          </w:tcPr>
          <w:p w14:paraId="3C40EF23" w14:textId="77777777" w:rsidR="00D007CE" w:rsidRPr="006A6807" w:rsidRDefault="00A249E2">
            <w:pPr>
              <w:spacing w:before="0" w:after="0"/>
              <w:rPr>
                <w:sz w:val="14"/>
              </w:rPr>
            </w:pPr>
            <w:r w:rsidRPr="006A6807">
              <w:rPr>
                <w:sz w:val="14"/>
              </w:rPr>
              <w:t>候选方案规模</w:t>
            </w:r>
          </w:p>
        </w:tc>
        <w:tc>
          <w:tcPr>
            <w:tcW w:w="912" w:type="pct"/>
            <w:tcBorders>
              <w:bottom w:val="single" w:sz="8" w:space="0" w:color="000000"/>
            </w:tcBorders>
            <w:vAlign w:val="center"/>
          </w:tcPr>
          <w:p w14:paraId="2222DAB2" w14:textId="77777777" w:rsidR="00D007CE" w:rsidRPr="006A6807" w:rsidRDefault="00A249E2">
            <w:pPr>
              <w:spacing w:before="0" w:after="0"/>
              <w:rPr>
                <w:sz w:val="14"/>
              </w:rPr>
            </w:pPr>
            <w:r w:rsidRPr="006A6807">
              <w:rPr>
                <w:sz w:val="14"/>
              </w:rPr>
              <w:t>N_c</w:t>
            </w:r>
          </w:p>
        </w:tc>
        <w:tc>
          <w:tcPr>
            <w:tcW w:w="948" w:type="pct"/>
            <w:tcBorders>
              <w:bottom w:val="single" w:sz="8" w:space="0" w:color="000000"/>
            </w:tcBorders>
            <w:vAlign w:val="center"/>
          </w:tcPr>
          <w:p w14:paraId="2E2CB55C" w14:textId="77777777" w:rsidR="00D007CE" w:rsidRPr="006A6807" w:rsidRDefault="00A249E2">
            <w:pPr>
              <w:spacing w:before="0" w:after="0"/>
              <w:rPr>
                <w:sz w:val="14"/>
              </w:rPr>
            </w:pPr>
            <w:r w:rsidRPr="006A6807">
              <w:rPr>
                <w:sz w:val="14"/>
              </w:rPr>
              <w:t>2417/1149</w:t>
            </w:r>
          </w:p>
        </w:tc>
        <w:tc>
          <w:tcPr>
            <w:tcW w:w="272" w:type="pct"/>
            <w:tcBorders>
              <w:bottom w:val="single" w:sz="8" w:space="0" w:color="000000"/>
            </w:tcBorders>
            <w:vAlign w:val="center"/>
          </w:tcPr>
          <w:p w14:paraId="043643F9" w14:textId="77777777" w:rsidR="00D007CE" w:rsidRPr="006A6807" w:rsidRDefault="00A249E2">
            <w:pPr>
              <w:spacing w:before="0" w:after="0"/>
              <w:rPr>
                <w:sz w:val="14"/>
              </w:rPr>
            </w:pPr>
            <w:r w:rsidRPr="006A6807">
              <w:rPr>
                <w:sz w:val="14"/>
              </w:rPr>
              <w:t>个</w:t>
            </w:r>
          </w:p>
        </w:tc>
        <w:tc>
          <w:tcPr>
            <w:tcW w:w="413" w:type="pct"/>
            <w:tcBorders>
              <w:bottom w:val="single" w:sz="8" w:space="0" w:color="000000"/>
            </w:tcBorders>
            <w:vAlign w:val="center"/>
          </w:tcPr>
          <w:p w14:paraId="30DA47C1" w14:textId="77777777" w:rsidR="00D007CE" w:rsidRPr="006A6807" w:rsidRDefault="00A249E2">
            <w:pPr>
              <w:spacing w:before="0" w:after="0"/>
              <w:rPr>
                <w:sz w:val="14"/>
              </w:rPr>
            </w:pPr>
            <w:r w:rsidRPr="006A6807">
              <w:rPr>
                <w:sz w:val="14"/>
              </w:rPr>
              <w:t>工程效率</w:t>
            </w:r>
            <w:r w:rsidRPr="006A6807">
              <w:rPr>
                <w:sz w:val="14"/>
              </w:rPr>
              <w:t>/</w:t>
            </w:r>
            <w:r w:rsidRPr="006A6807">
              <w:rPr>
                <w:sz w:val="14"/>
              </w:rPr>
              <w:t>资源回收模式候选总数</w:t>
            </w:r>
          </w:p>
        </w:tc>
        <w:tc>
          <w:tcPr>
            <w:tcW w:w="1837" w:type="pct"/>
            <w:tcBorders>
              <w:bottom w:val="single" w:sz="8" w:space="0" w:color="000000"/>
            </w:tcBorders>
            <w:vAlign w:val="center"/>
          </w:tcPr>
          <w:p w14:paraId="40FF759B" w14:textId="77777777" w:rsidR="00D007CE" w:rsidRPr="006A6807" w:rsidRDefault="00A249E2">
            <w:pPr>
              <w:spacing w:before="0" w:after="0"/>
              <w:rPr>
                <w:sz w:val="14"/>
              </w:rPr>
            </w:pPr>
            <w:r w:rsidRPr="006A6807">
              <w:rPr>
                <w:sz w:val="14"/>
              </w:rPr>
              <w:t>planningResults</w:t>
            </w:r>
          </w:p>
        </w:tc>
      </w:tr>
    </w:tbl>
    <w:p w14:paraId="3C28865C" w14:textId="77777777" w:rsidR="00A046E0" w:rsidRPr="00801D65" w:rsidRDefault="00A046E0">
      <w:pPr>
        <w:spacing w:after="40"/>
        <w:ind w:firstLine="420"/>
      </w:pPr>
    </w:p>
    <w:p w14:paraId="79B7565A" w14:textId="77777777" w:rsidR="007E22B6" w:rsidRDefault="00A249E2" w:rsidP="00A046E0">
      <w:pPr>
        <w:pStyle w:val="12"/>
      </w:pPr>
      <w:r>
        <w:rPr>
          <w:rFonts w:ascii="宋体" w:eastAsia="宋体" w:hAnsi="宋体"/>
          <w:sz w:val="21"/>
        </w:rPr>
        <w:t>2.2 连续参数场构建结果</w:t>
      </w:r>
    </w:p>
    <w:p w14:paraId="0978C039" w14:textId="77777777" w:rsidR="00801D65" w:rsidRPr="00801D65" w:rsidRDefault="00801D65" w:rsidP="00801D65">
      <w:pPr>
        <w:pStyle w:val="10"/>
        <w:spacing w:after="40"/>
        <w:ind w:firstLine="420"/>
        <w:rPr>
          <w:rFonts w:ascii="宋体" w:hAnsi="宋体"/>
        </w:rPr>
      </w:pPr>
      <w:r>
        <w:t>采区规划首先需要解决离散地质信息向连续规划约束转换的问题。对于研究区样例而言，</w:t>
      </w:r>
      <w:r>
        <w:t>15</w:t>
      </w:r>
      <w:r>
        <w:t>个钻孔样点提供了煤层厚度、岩石硬度、瓦斯含量和涌水量等离散属性；通过空间插值和统一边界裁剪处理，这些点状信息被转换为可与规划域、</w:t>
      </w:r>
      <w:r>
        <w:t>ODI</w:t>
      </w:r>
      <w:r>
        <w:t>风险场和工作面布局叠加分析的连续参数场。该处理思路与透明工作面、智能精准开采地质模型和采煤工作面三维模型动态修正研究所强调的多源地质信息统一表达具有一致性</w:t>
      </w:r>
      <w:r>
        <w:t>[30-32]</w:t>
      </w:r>
      <w:r>
        <w:t>。</w:t>
      </w:r>
    </w:p>
    <w:p w14:paraId="7872F231" w14:textId="77777777" w:rsidR="00801D65" w:rsidRPr="00801D65" w:rsidRDefault="00801D65" w:rsidP="00801D65">
      <w:pPr>
        <w:pStyle w:val="10"/>
        <w:spacing w:after="40"/>
        <w:ind w:firstLine="420"/>
        <w:rPr>
          <w:rFonts w:ascii="宋体" w:hAnsi="宋体"/>
        </w:rPr>
      </w:pPr>
      <w:r>
        <w:t>需要说明的是，本文结果图重点展示煤层厚度场，是因为煤厚直接参与资源覆盖和工作面布置评价，且样点统计口径已经完成复核；岩石硬度、瓦斯含量和涌水量等属性在当前样例中主要用于说明连续参数场的可扩展输入结构，尚未展开为独立评价图层。因此，本文不把单一煤厚场结果外推为完整地质建模成果，而将其作为离散钻孔信息进入采区规划链路的示范性参数场。</w:t>
      </w:r>
    </w:p>
    <w:p w14:paraId="6CC23770" w14:textId="77777777" w:rsidR="00195275" w:rsidRDefault="00A249E2">
      <w:pPr>
        <w:jc w:val="center"/>
      </w:pPr>
      <w:r>
        <w:rPr>
          <w:rFonts w:ascii="宋体" w:eastAsia="宋体" w:hAnsi="宋体"/>
          <w:noProof/>
        </w:rPr>
        <w:drawing>
          <wp:inline distT="0" distB="0" distL="0" distR="0" wp14:anchorId="772D9111" wp14:editId="2A2333AF">
            <wp:extent cx="2788920" cy="216087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研究区主要地质参数场分布图.png"/>
                    <pic:cNvPicPr/>
                  </pic:nvPicPr>
                  <pic:blipFill>
                    <a:blip r:embed="rId10"/>
                    <a:stretch>
                      <a:fillRect/>
                    </a:stretch>
                  </pic:blipFill>
                  <pic:spPr>
                    <a:xfrm>
                      <a:off x="0" y="0"/>
                      <a:ext cx="2788920" cy="2160876"/>
                    </a:xfrm>
                    <a:prstGeom prst="rect">
                      <a:avLst/>
                    </a:prstGeom>
                  </pic:spPr>
                </pic:pic>
              </a:graphicData>
            </a:graphic>
          </wp:inline>
        </w:drawing>
      </w:r>
    </w:p>
    <w:p w14:paraId="71D5A46B" w14:textId="77777777" w:rsidR="00195275" w:rsidRDefault="00A249E2">
      <w:pPr>
        <w:pStyle w:val="14"/>
      </w:pPr>
      <w:r>
        <w:t>图</w:t>
      </w:r>
      <w:r>
        <w:t xml:space="preserve">3 </w:t>
      </w:r>
      <w:r>
        <w:t>研究区主要地质参数场分布图</w:t>
      </w:r>
      <w:r>
        <w:br/>
        <w:t>Fig.3 Distribution of main geological parameter fields in the study area</w:t>
      </w:r>
    </w:p>
    <w:p w14:paraId="2C1189E5" w14:textId="77777777" w:rsidR="00801D65" w:rsidRPr="00801D65" w:rsidRDefault="00801D65" w:rsidP="00801D65">
      <w:pPr>
        <w:pStyle w:val="10"/>
        <w:spacing w:after="40"/>
        <w:ind w:firstLine="420"/>
        <w:rPr>
          <w:rFonts w:ascii="宋体" w:hAnsi="宋体"/>
        </w:rPr>
      </w:pPr>
      <w:r>
        <w:rPr>
          <w:rFonts w:ascii="宋体" w:eastAsia="宋体" w:hAnsi="宋体"/>
        </w:rPr>
        <w:t>从图3可见，研究区煤层厚度样本范围为2.8～4.8 m，平均值为3.7933 m。高厚度样点主要包括ZK-106（4.8 m）及周边样点，低厚度样点以ZK-107（2.8 m）为代表。这种厚度差异说明，若仅依据几何边界进行布置，容易忽略资源条件在空间上的非均匀性。</w:t>
      </w:r>
    </w:p>
    <w:p w14:paraId="37E3D4C2" w14:textId="77777777" w:rsidR="00801D65" w:rsidRPr="00801D65" w:rsidRDefault="00801D65" w:rsidP="00801D65">
      <w:pPr>
        <w:pStyle w:val="10"/>
        <w:spacing w:after="40"/>
        <w:ind w:firstLine="420"/>
        <w:rPr>
          <w:rFonts w:ascii="宋体" w:hAnsi="宋体"/>
        </w:rPr>
      </w:pPr>
      <w:r>
        <w:rPr>
          <w:rFonts w:ascii="宋体" w:eastAsia="宋体" w:hAnsi="宋体"/>
        </w:rPr>
        <w:t>对于采区规划而言，厚度较高区域在资源覆盖和回收价值评价中具有更高吸引力，而厚度较低区域更适合作为边界调整、煤柱保留或低优先级布置区域。因此，连续参数场不是单纯的地质展示图，而是后续工作面排序、覆盖率统计和风险叠加分析的基础底图。</w:t>
      </w:r>
    </w:p>
    <w:p w14:paraId="3A65E3A7" w14:textId="77777777" w:rsidR="00801D65" w:rsidRPr="00801D65" w:rsidRDefault="00801D65" w:rsidP="00801D65">
      <w:pPr>
        <w:pStyle w:val="10"/>
        <w:spacing w:after="40"/>
        <w:ind w:firstLine="420"/>
        <w:rPr>
          <w:rFonts w:ascii="宋体" w:hAnsi="宋体"/>
        </w:rPr>
      </w:pPr>
      <w:r>
        <w:rPr>
          <w:rFonts w:ascii="宋体" w:eastAsia="宋体" w:hAnsi="宋体"/>
        </w:rPr>
        <w:t>需要强调的是，本文并不试图在该部分证明某种复杂地质建模算法的优越性，而是强调连续参数场在采区规划链路中的工程作用：它使离散钻孔信息能够以统一空间参照参与工作面生成、ODI风险计算和方案级统计。</w:t>
      </w:r>
    </w:p>
    <w:p w14:paraId="71DB5AF3" w14:textId="77777777" w:rsidR="007E22B6" w:rsidRDefault="00801D65" w:rsidP="00801D65">
      <w:pPr>
        <w:pStyle w:val="10"/>
        <w:spacing w:after="40"/>
        <w:ind w:firstLine="420"/>
      </w:pPr>
      <w:r>
        <w:rPr>
          <w:rFonts w:ascii="宋体" w:eastAsia="宋体" w:hAnsi="宋体"/>
        </w:rPr>
        <w:t>此外，参数场还为ODI风险表征提供了空间载体。由于多场景风险需要在同一边界、同一坐标和同一网格上进行叠加，参数场、风险场和规划对象之间的一致性直接决定了后续结果是否可比较、可传递和可复核。</w:t>
      </w:r>
    </w:p>
    <w:p w14:paraId="073D21F4" w14:textId="77777777" w:rsidR="007E22B6" w:rsidRDefault="007E22B6"/>
    <w:p w14:paraId="4F4C42EA" w14:textId="77777777" w:rsidR="007E22B6" w:rsidRDefault="00A249E2" w:rsidP="00A046E0">
      <w:pPr>
        <w:pStyle w:val="12"/>
      </w:pPr>
      <w:r>
        <w:rPr>
          <w:rFonts w:ascii="宋体" w:eastAsia="宋体" w:hAnsi="宋体"/>
          <w:sz w:val="21"/>
        </w:rPr>
        <w:t>2.3 多场景 ODI 风险表征结果</w:t>
      </w:r>
    </w:p>
    <w:p w14:paraId="3BAFEA78" w14:textId="77777777" w:rsidR="00801D65" w:rsidRPr="00801D65" w:rsidRDefault="00801D65" w:rsidP="00801D65">
      <w:pPr>
        <w:pStyle w:val="10"/>
        <w:spacing w:after="40"/>
        <w:ind w:firstLine="420"/>
        <w:rPr>
          <w:rFonts w:ascii="宋体" w:hAnsi="宋体"/>
        </w:rPr>
      </w:pPr>
      <w:r>
        <w:t>采区规划中的风险约束并非来源于单一判据，而是通常表现为地表沉陷、含水层扰动、导水裂隙带发育和上行开采等多场景下覆岩扰动的综合影响。国内关于关键层位置、导水裂隙主通道、非充分采动、顶板水害防控和保水采煤的研究表明，覆岩破坏与含水层受扰需要结合岩层结构、采高、工作面尺度、含水层空间富水性和导水通道共同判读</w:t>
      </w:r>
      <w:r>
        <w:t>[22-25,33-37,39-41,45,48-50]</w:t>
      </w:r>
      <w:r>
        <w:t>。若不同风险场景分别以各自判据独立参与规划，容易造成约束尺度不统一、比较依据不一致以及中间结果难以复用的问题。为此，本文引入</w:t>
      </w:r>
      <w:r>
        <w:t>ODI</w:t>
      </w:r>
      <w:r>
        <w:t>作为统一风险组织口径，将异构风险结果归一到同一尺度下，以支撑不同场景风险在同一规划框架中的统一表达、比较与传递。</w:t>
      </w:r>
    </w:p>
    <w:p w14:paraId="66C2C0CD" w14:textId="77777777" w:rsidR="00801D65" w:rsidRPr="00801D65" w:rsidRDefault="00801D65" w:rsidP="00801D65">
      <w:pPr>
        <w:pStyle w:val="10"/>
        <w:spacing w:after="40"/>
        <w:ind w:firstLine="420"/>
        <w:rPr>
          <w:rFonts w:ascii="宋体" w:hAnsi="宋体"/>
        </w:rPr>
      </w:pPr>
      <w:r>
        <w:t>从研究区样例结果看，多场景</w:t>
      </w:r>
      <w:r>
        <w:t>ODI</w:t>
      </w:r>
      <w:r>
        <w:t>结果能够在同一研究区边界、钻孔参照和色标口径下表达。本轮复核确认，综合</w:t>
      </w:r>
      <w:r>
        <w:t>ODI</w:t>
      </w:r>
      <w:r>
        <w:t>场采用</w:t>
      </w:r>
      <w:r>
        <w:t>80×56</w:t>
      </w:r>
      <w:r>
        <w:t>网格，共</w:t>
      </w:r>
      <w:r>
        <w:t>4480</w:t>
      </w:r>
      <w:r>
        <w:t>个栅格；归一化后</w:t>
      </w:r>
      <w:r>
        <w:t>ODI</w:t>
      </w:r>
      <w:r>
        <w:t>均值为</w:t>
      </w:r>
      <w:r>
        <w:t>0.4669</w:t>
      </w:r>
      <w:r>
        <w:t>，中位数为</w:t>
      </w:r>
      <w:r>
        <w:t>0.4542</w:t>
      </w:r>
      <w:r>
        <w:t>，</w:t>
      </w:r>
      <w:r>
        <w:t>P90</w:t>
      </w:r>
      <w:r>
        <w:t>为</w:t>
      </w:r>
      <w:r>
        <w:t>0.7474</w:t>
      </w:r>
      <w:r>
        <w:t>；其中</w:t>
      </w:r>
      <w:r>
        <w:t>ODI&gt;0.70</w:t>
      </w:r>
      <w:r>
        <w:t>的栅格占</w:t>
      </w:r>
      <w:r>
        <w:t>15.89%</w:t>
      </w:r>
      <w:r>
        <w:t>，</w:t>
      </w:r>
      <w:r>
        <w:t>ODI&gt;0.80</w:t>
      </w:r>
      <w:r>
        <w:t>的栅格占</w:t>
      </w:r>
      <w:r>
        <w:t>3.55%</w:t>
      </w:r>
      <w:r>
        <w:t>。这说明风险信息已经从概念性指标转化为可计算、可统计和可进入规划比选的空间场。</w:t>
      </w:r>
    </w:p>
    <w:p w14:paraId="586B760D" w14:textId="77777777" w:rsidR="00195275" w:rsidRDefault="00A249E2">
      <w:pPr>
        <w:jc w:val="center"/>
      </w:pPr>
      <w:r>
        <w:rPr>
          <w:rFonts w:ascii="宋体" w:eastAsia="宋体" w:hAnsi="宋体"/>
          <w:noProof/>
        </w:rPr>
        <w:drawing>
          <wp:inline distT="0" distB="0" distL="0" distR="0" wp14:anchorId="238299D1" wp14:editId="6453A736">
            <wp:extent cx="2788920" cy="186425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多场景ODI分布结果对比图.png"/>
                    <pic:cNvPicPr/>
                  </pic:nvPicPr>
                  <pic:blipFill>
                    <a:blip r:embed="rId11"/>
                    <a:stretch>
                      <a:fillRect/>
                    </a:stretch>
                  </pic:blipFill>
                  <pic:spPr>
                    <a:xfrm>
                      <a:off x="0" y="0"/>
                      <a:ext cx="2788920" cy="1864259"/>
                    </a:xfrm>
                    <a:prstGeom prst="rect">
                      <a:avLst/>
                    </a:prstGeom>
                  </pic:spPr>
                </pic:pic>
              </a:graphicData>
            </a:graphic>
          </wp:inline>
        </w:drawing>
      </w:r>
    </w:p>
    <w:p w14:paraId="2D9CBB0C" w14:textId="77777777" w:rsidR="00195275" w:rsidRDefault="00A249E2">
      <w:pPr>
        <w:pStyle w:val="14"/>
      </w:pPr>
      <w:r>
        <w:t>图</w:t>
      </w:r>
      <w:r>
        <w:t xml:space="preserve">4 </w:t>
      </w:r>
      <w:r>
        <w:t>多场景</w:t>
      </w:r>
      <w:r>
        <w:t>ODI</w:t>
      </w:r>
      <w:r>
        <w:t>分布结果对比图</w:t>
      </w:r>
      <w:r>
        <w:br/>
        <w:t>Fig.4 Comparison of multi-scenario ODI distribution results</w:t>
      </w:r>
    </w:p>
    <w:p w14:paraId="70C08B88" w14:textId="77777777" w:rsidR="00801D65" w:rsidRPr="00801D65" w:rsidRDefault="00801D65" w:rsidP="00801D65">
      <w:pPr>
        <w:pStyle w:val="10"/>
        <w:spacing w:after="40"/>
        <w:ind w:firstLine="420"/>
        <w:rPr>
          <w:rFonts w:ascii="宋体" w:hAnsi="宋体"/>
        </w:rPr>
      </w:pPr>
      <w:r>
        <w:t>从风险分布特征看，不同场景下的</w:t>
      </w:r>
      <w:r>
        <w:t>ODI</w:t>
      </w:r>
      <w:r>
        <w:t>高值区并不完全重合。地表沉陷场景更偏向表征采动引起的地表影响范围，含水层扰动场景更强调导水裂隙带和含水层受扰风险，上行开采场景则更关注上覆扰动条件下的安全边界。相关研究已经指出，导水裂隙带高度、主关键层位置、工作面尺寸、含水层富水性和顶板水害类型均会改变风险主控因素</w:t>
      </w:r>
      <w:r>
        <w:t>[22-25,34-37,40-41,45,49-50]</w:t>
      </w:r>
      <w:r>
        <w:t>。统一为</w:t>
      </w:r>
      <w:r>
        <w:t>ODI</w:t>
      </w:r>
      <w:r>
        <w:t>后，不同场景可在同一统计口径下比较，从而避免多指标、多量纲并列时难以进入方案筛选的问题。</w:t>
      </w:r>
    </w:p>
    <w:p w14:paraId="25B5C7E2" w14:textId="77777777" w:rsidR="00801D65" w:rsidRPr="00801D65" w:rsidRDefault="00801D65" w:rsidP="00801D65">
      <w:pPr>
        <w:pStyle w:val="10"/>
        <w:spacing w:after="40"/>
        <w:ind w:firstLine="420"/>
        <w:rPr>
          <w:rFonts w:ascii="宋体" w:hAnsi="宋体"/>
        </w:rPr>
      </w:pPr>
      <w:r>
        <w:t>在规划语境下，</w:t>
      </w:r>
      <w:r>
        <w:t>ODI</w:t>
      </w:r>
      <w:r>
        <w:t>的价值体现在两个层面：一是描述研究区高扰动敏感区的空间背景，二是提供候选方案区域内的风险暴露统计。在同一</w:t>
      </w:r>
      <w:r>
        <w:t>ODI</w:t>
      </w:r>
      <w:r>
        <w:t>场下，方案</w:t>
      </w:r>
      <w:r>
        <w:t>A</w:t>
      </w:r>
      <w:r>
        <w:t>、</w:t>
      </w:r>
      <w:r>
        <w:t>B</w:t>
      </w:r>
      <w:r>
        <w:t>、</w:t>
      </w:r>
      <w:r>
        <w:t>C</w:t>
      </w:r>
      <w:r>
        <w:t>的</w:t>
      </w:r>
      <w:r>
        <w:t>ODI</w:t>
      </w:r>
      <w:r>
        <w:t>均值分别为</w:t>
      </w:r>
      <w:r>
        <w:t>0.4463</w:t>
      </w:r>
      <w:r>
        <w:t>、</w:t>
      </w:r>
      <w:r>
        <w:t>0.4552</w:t>
      </w:r>
      <w:r>
        <w:t>和</w:t>
      </w:r>
      <w:r>
        <w:t>0.4416</w:t>
      </w:r>
      <w:r>
        <w:t>，</w:t>
      </w:r>
      <w:r>
        <w:t>P90</w:t>
      </w:r>
      <w:r>
        <w:t>分别为</w:t>
      </w:r>
      <w:r>
        <w:t>0.6407</w:t>
      </w:r>
      <w:r>
        <w:t>、</w:t>
      </w:r>
      <w:r>
        <w:t>0.6462</w:t>
      </w:r>
      <w:r>
        <w:t>和</w:t>
      </w:r>
      <w:r>
        <w:t>0.6353</w:t>
      </w:r>
      <w:r>
        <w:t>，</w:t>
      </w:r>
      <w:r>
        <w:t>ODI&gt;0.70</w:t>
      </w:r>
      <w:r>
        <w:t>比例分别为</w:t>
      </w:r>
      <w:r>
        <w:t>0.44%</w:t>
      </w:r>
      <w:r>
        <w:t>、</w:t>
      </w:r>
      <w:r>
        <w:t>0.56%</w:t>
      </w:r>
      <w:r>
        <w:t>和</w:t>
      </w:r>
      <w:r>
        <w:t>1.22%</w:t>
      </w:r>
      <w:r>
        <w:t>。其中</w:t>
      </w:r>
      <w:r>
        <w:t>C</w:t>
      </w:r>
      <w:r>
        <w:t>方案为在已保存候选池内按统一</w:t>
      </w:r>
      <w:r>
        <w:t>ODI</w:t>
      </w:r>
      <w:r>
        <w:t>场重新筛选得到的合格低风险候选。</w:t>
      </w:r>
    </w:p>
    <w:p w14:paraId="49C1FD19" w14:textId="77777777" w:rsidR="00801D65" w:rsidRDefault="00801D65" w:rsidP="00801D65">
      <w:pPr>
        <w:pStyle w:val="10"/>
        <w:spacing w:after="40"/>
        <w:ind w:firstLine="420"/>
        <w:rPr>
          <w:rFonts w:ascii="宋体" w:hAnsi="宋体"/>
        </w:rPr>
      </w:pPr>
      <w:r>
        <w:rPr>
          <w:rFonts w:ascii="宋体" w:eastAsia="宋体" w:hAnsi="宋体"/>
        </w:rPr>
        <w:t>由此，ODI不再是布局完成后的附加说明图层，而是能够在候选方案生成前即参与约束设定和风险排序。对于研究区样例而言，ODI场的建立完成了从“边界+钻孔输入”到“风险约束可参与规划”的关键转换。</w:t>
      </w:r>
    </w:p>
    <w:p w14:paraId="32177350" w14:textId="77777777" w:rsidR="00A046E0" w:rsidRDefault="00A046E0" w:rsidP="00A046E0">
      <w:pPr>
        <w:pStyle w:val="15"/>
        <w:spacing w:after="40"/>
        <w:ind w:firstLine="420"/>
        <w:rPr>
          <w:rFonts w:ascii="宋体" w:hAnsi="宋体"/>
        </w:rPr>
      </w:pPr>
      <w:r>
        <w:t>表</w:t>
      </w:r>
      <w:r>
        <w:t xml:space="preserve">2 </w:t>
      </w:r>
      <w:r>
        <w:t>多场景</w:t>
      </w:r>
      <w:r>
        <w:t xml:space="preserve"> ODI </w:t>
      </w:r>
      <w:r>
        <w:t>风险组织关系</w:t>
      </w:r>
      <w:r>
        <w:br/>
        <w:t>Table 2 Risk organization relationships under multi-scenario ODI</w:t>
      </w:r>
    </w:p>
    <w:tbl>
      <w:tblPr>
        <w:tblW w:w="5000" w:type="pct"/>
        <w:jc w:val="center"/>
        <w:tblCellSpacing w:w="15" w:type="dxa"/>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1811"/>
        <w:gridCol w:w="2417"/>
        <w:gridCol w:w="2714"/>
        <w:gridCol w:w="2786"/>
      </w:tblGrid>
      <w:tr w:rsidR="00A046E0" w:rsidRPr="006A6807" w14:paraId="150B95BC" w14:textId="77777777" w:rsidTr="006A6807">
        <w:trPr>
          <w:tblHeader/>
          <w:tblCellSpacing w:w="15" w:type="dxa"/>
          <w:jc w:val="center"/>
        </w:trPr>
        <w:tc>
          <w:tcPr>
            <w:tcW w:w="892" w:type="pct"/>
            <w:tcBorders>
              <w:top w:val="single" w:sz="8" w:space="0" w:color="000000"/>
              <w:bottom w:val="single" w:sz="6" w:space="0" w:color="000000"/>
            </w:tcBorders>
            <w:vAlign w:val="center"/>
            <w:hideMark/>
          </w:tcPr>
          <w:p w14:paraId="48AF85A0" w14:textId="77777777" w:rsidR="00D007CE" w:rsidRPr="006A6807" w:rsidRDefault="00A249E2">
            <w:pPr>
              <w:spacing w:before="0" w:after="0"/>
              <w:jc w:val="center"/>
              <w:rPr>
                <w:sz w:val="14"/>
              </w:rPr>
            </w:pPr>
            <w:r w:rsidRPr="006A6807">
              <w:rPr>
                <w:rFonts w:ascii="宋体" w:eastAsia="宋体" w:hAnsi="宋体"/>
                <w:sz w:val="14"/>
              </w:rPr>
              <w:t>场景</w:t>
            </w:r>
          </w:p>
        </w:tc>
        <w:tc>
          <w:tcPr>
            <w:tcW w:w="1206" w:type="pct"/>
            <w:tcBorders>
              <w:top w:val="single" w:sz="8" w:space="0" w:color="000000"/>
              <w:bottom w:val="single" w:sz="6" w:space="0" w:color="000000"/>
            </w:tcBorders>
            <w:vAlign w:val="center"/>
            <w:hideMark/>
          </w:tcPr>
          <w:p w14:paraId="10A6227F" w14:textId="77777777" w:rsidR="00D007CE" w:rsidRPr="006A6807" w:rsidRDefault="00A249E2">
            <w:pPr>
              <w:spacing w:before="0" w:after="0"/>
              <w:jc w:val="center"/>
              <w:rPr>
                <w:sz w:val="14"/>
              </w:rPr>
            </w:pPr>
            <w:r w:rsidRPr="006A6807">
              <w:rPr>
                <w:rFonts w:ascii="宋体" w:eastAsia="宋体" w:hAnsi="宋体"/>
                <w:sz w:val="14"/>
              </w:rPr>
              <w:t>关注对象</w:t>
            </w:r>
          </w:p>
        </w:tc>
        <w:tc>
          <w:tcPr>
            <w:tcW w:w="1356" w:type="pct"/>
            <w:tcBorders>
              <w:top w:val="single" w:sz="8" w:space="0" w:color="000000"/>
              <w:bottom w:val="single" w:sz="6" w:space="0" w:color="000000"/>
            </w:tcBorders>
            <w:vAlign w:val="center"/>
            <w:hideMark/>
          </w:tcPr>
          <w:p w14:paraId="50860DAB" w14:textId="77777777" w:rsidR="00D007CE" w:rsidRPr="006A6807" w:rsidRDefault="00A249E2">
            <w:pPr>
              <w:spacing w:before="0" w:after="0"/>
              <w:jc w:val="center"/>
              <w:rPr>
                <w:sz w:val="14"/>
              </w:rPr>
            </w:pPr>
            <w:r w:rsidRPr="006A6807">
              <w:rPr>
                <w:rFonts w:ascii="宋体" w:eastAsia="宋体" w:hAnsi="宋体"/>
                <w:sz w:val="14"/>
              </w:rPr>
              <w:t>输入依据</w:t>
            </w:r>
          </w:p>
        </w:tc>
        <w:tc>
          <w:tcPr>
            <w:tcW w:w="1385" w:type="pct"/>
            <w:tcBorders>
              <w:top w:val="single" w:sz="8" w:space="0" w:color="000000"/>
              <w:bottom w:val="single" w:sz="6" w:space="0" w:color="000000"/>
            </w:tcBorders>
            <w:vAlign w:val="center"/>
            <w:hideMark/>
          </w:tcPr>
          <w:p w14:paraId="41C7476A" w14:textId="77777777" w:rsidR="00D007CE" w:rsidRPr="006A6807" w:rsidRDefault="00A249E2">
            <w:pPr>
              <w:spacing w:before="0" w:after="0"/>
              <w:jc w:val="center"/>
              <w:rPr>
                <w:sz w:val="14"/>
              </w:rPr>
            </w:pPr>
            <w:r w:rsidRPr="006A6807">
              <w:rPr>
                <w:rFonts w:ascii="宋体" w:eastAsia="宋体" w:hAnsi="宋体"/>
                <w:sz w:val="14"/>
              </w:rPr>
              <w:t>规划作用</w:t>
            </w:r>
          </w:p>
        </w:tc>
      </w:tr>
      <w:tr w:rsidR="00A046E0" w:rsidRPr="006A6807" w14:paraId="22E43654" w14:textId="77777777" w:rsidTr="006A6807">
        <w:trPr>
          <w:tblCellSpacing w:w="15" w:type="dxa"/>
          <w:jc w:val="center"/>
        </w:trPr>
        <w:tc>
          <w:tcPr>
            <w:tcW w:w="892" w:type="pct"/>
            <w:vAlign w:val="center"/>
            <w:hideMark/>
          </w:tcPr>
          <w:p w14:paraId="787C1A2C" w14:textId="77777777" w:rsidR="00D007CE" w:rsidRPr="006A6807" w:rsidRDefault="00A249E2">
            <w:pPr>
              <w:spacing w:before="0" w:after="0"/>
              <w:jc w:val="center"/>
              <w:rPr>
                <w:sz w:val="14"/>
              </w:rPr>
            </w:pPr>
            <w:r w:rsidRPr="006A6807">
              <w:rPr>
                <w:rFonts w:ascii="宋体" w:eastAsia="宋体" w:hAnsi="宋体"/>
                <w:sz w:val="14"/>
              </w:rPr>
              <w:t>地表沉陷</w:t>
            </w:r>
          </w:p>
        </w:tc>
        <w:tc>
          <w:tcPr>
            <w:tcW w:w="1206" w:type="pct"/>
            <w:vAlign w:val="center"/>
            <w:hideMark/>
          </w:tcPr>
          <w:p w14:paraId="4C04F1C2" w14:textId="77777777" w:rsidR="00D007CE" w:rsidRPr="006A6807" w:rsidRDefault="00A249E2">
            <w:pPr>
              <w:spacing w:before="0" w:after="0"/>
              <w:jc w:val="center"/>
              <w:rPr>
                <w:sz w:val="14"/>
              </w:rPr>
            </w:pPr>
            <w:r w:rsidRPr="006A6807">
              <w:rPr>
                <w:rFonts w:ascii="宋体" w:eastAsia="宋体" w:hAnsi="宋体"/>
                <w:sz w:val="14"/>
              </w:rPr>
              <w:t>地表移动与沉陷风险</w:t>
            </w:r>
          </w:p>
        </w:tc>
        <w:tc>
          <w:tcPr>
            <w:tcW w:w="1356" w:type="pct"/>
            <w:vAlign w:val="center"/>
            <w:hideMark/>
          </w:tcPr>
          <w:p w14:paraId="74BB8F57" w14:textId="77777777" w:rsidR="00D007CE" w:rsidRPr="006A6807" w:rsidRDefault="00A249E2">
            <w:pPr>
              <w:spacing w:before="0" w:after="0"/>
              <w:jc w:val="center"/>
              <w:rPr>
                <w:sz w:val="14"/>
              </w:rPr>
            </w:pPr>
            <w:r w:rsidRPr="006A6807">
              <w:rPr>
                <w:rFonts w:ascii="宋体" w:eastAsia="宋体" w:hAnsi="宋体"/>
                <w:sz w:val="14"/>
              </w:rPr>
              <w:t>沉陷预测、保护约束</w:t>
            </w:r>
          </w:p>
        </w:tc>
        <w:tc>
          <w:tcPr>
            <w:tcW w:w="1385" w:type="pct"/>
            <w:vAlign w:val="center"/>
            <w:hideMark/>
          </w:tcPr>
          <w:p w14:paraId="5A770413" w14:textId="77777777" w:rsidR="00D007CE" w:rsidRPr="006A6807" w:rsidRDefault="00A249E2">
            <w:pPr>
              <w:spacing w:before="0" w:after="0"/>
              <w:jc w:val="center"/>
              <w:rPr>
                <w:sz w:val="14"/>
              </w:rPr>
            </w:pPr>
            <w:r w:rsidRPr="006A6807">
              <w:rPr>
                <w:rFonts w:ascii="宋体" w:eastAsia="宋体" w:hAnsi="宋体"/>
                <w:sz w:val="14"/>
              </w:rPr>
              <w:t>约束工作面布局范围</w:t>
            </w:r>
          </w:p>
        </w:tc>
      </w:tr>
      <w:tr w:rsidR="00A046E0" w:rsidRPr="006A6807" w14:paraId="1D41B772" w14:textId="77777777" w:rsidTr="006A6807">
        <w:trPr>
          <w:tblCellSpacing w:w="15" w:type="dxa"/>
          <w:jc w:val="center"/>
        </w:trPr>
        <w:tc>
          <w:tcPr>
            <w:tcW w:w="892" w:type="pct"/>
            <w:vAlign w:val="center"/>
            <w:hideMark/>
          </w:tcPr>
          <w:p w14:paraId="2804FDCC" w14:textId="77777777" w:rsidR="00D007CE" w:rsidRPr="006A6807" w:rsidRDefault="00A249E2">
            <w:pPr>
              <w:spacing w:before="0" w:after="0"/>
              <w:jc w:val="center"/>
              <w:rPr>
                <w:sz w:val="14"/>
              </w:rPr>
            </w:pPr>
            <w:r w:rsidRPr="006A6807">
              <w:rPr>
                <w:rFonts w:ascii="宋体" w:eastAsia="宋体" w:hAnsi="宋体"/>
                <w:sz w:val="14"/>
              </w:rPr>
              <w:t>含水层扰动</w:t>
            </w:r>
          </w:p>
        </w:tc>
        <w:tc>
          <w:tcPr>
            <w:tcW w:w="1206" w:type="pct"/>
            <w:vAlign w:val="center"/>
            <w:hideMark/>
          </w:tcPr>
          <w:p w14:paraId="6289474F" w14:textId="77777777" w:rsidR="00D007CE" w:rsidRPr="006A6807" w:rsidRDefault="00A249E2">
            <w:pPr>
              <w:spacing w:before="0" w:after="0"/>
              <w:jc w:val="center"/>
              <w:rPr>
                <w:sz w:val="14"/>
              </w:rPr>
            </w:pPr>
            <w:r w:rsidRPr="006A6807">
              <w:rPr>
                <w:rFonts w:ascii="宋体" w:eastAsia="宋体" w:hAnsi="宋体"/>
                <w:sz w:val="14"/>
              </w:rPr>
              <w:t>导水裂隙带与含水层受扰</w:t>
            </w:r>
          </w:p>
        </w:tc>
        <w:tc>
          <w:tcPr>
            <w:tcW w:w="1356" w:type="pct"/>
            <w:vAlign w:val="center"/>
            <w:hideMark/>
          </w:tcPr>
          <w:p w14:paraId="4781977D" w14:textId="77777777" w:rsidR="00D007CE" w:rsidRPr="006A6807" w:rsidRDefault="00A249E2">
            <w:pPr>
              <w:spacing w:before="0" w:after="0"/>
              <w:jc w:val="center"/>
              <w:rPr>
                <w:sz w:val="14"/>
              </w:rPr>
            </w:pPr>
            <w:r w:rsidRPr="006A6807">
              <w:rPr>
                <w:rFonts w:ascii="宋体" w:eastAsia="宋体" w:hAnsi="宋体"/>
                <w:sz w:val="14"/>
              </w:rPr>
              <w:t>导水带高度、含水层敏感性</w:t>
            </w:r>
          </w:p>
        </w:tc>
        <w:tc>
          <w:tcPr>
            <w:tcW w:w="1385" w:type="pct"/>
            <w:vAlign w:val="center"/>
            <w:hideMark/>
          </w:tcPr>
          <w:p w14:paraId="519D5E91" w14:textId="77777777" w:rsidR="00D007CE" w:rsidRPr="006A6807" w:rsidRDefault="00A249E2">
            <w:pPr>
              <w:spacing w:before="0" w:after="0"/>
              <w:jc w:val="center"/>
              <w:rPr>
                <w:sz w:val="14"/>
              </w:rPr>
            </w:pPr>
            <w:r w:rsidRPr="006A6807">
              <w:rPr>
                <w:rFonts w:ascii="宋体" w:eastAsia="宋体" w:hAnsi="宋体"/>
                <w:sz w:val="14"/>
              </w:rPr>
              <w:t>参与风险筛选与避让</w:t>
            </w:r>
          </w:p>
        </w:tc>
      </w:tr>
      <w:tr w:rsidR="00A046E0" w:rsidRPr="006A6807" w14:paraId="6985DA0B" w14:textId="77777777" w:rsidTr="006A6807">
        <w:trPr>
          <w:tblCellSpacing w:w="15" w:type="dxa"/>
          <w:jc w:val="center"/>
        </w:trPr>
        <w:tc>
          <w:tcPr>
            <w:tcW w:w="892" w:type="pct"/>
            <w:vAlign w:val="center"/>
            <w:hideMark/>
          </w:tcPr>
          <w:p w14:paraId="7D2750ED" w14:textId="77777777" w:rsidR="00D007CE" w:rsidRPr="006A6807" w:rsidRDefault="00A249E2">
            <w:pPr>
              <w:spacing w:before="0" w:after="0"/>
              <w:jc w:val="center"/>
              <w:rPr>
                <w:sz w:val="14"/>
              </w:rPr>
            </w:pPr>
            <w:r w:rsidRPr="006A6807">
              <w:rPr>
                <w:rFonts w:ascii="宋体" w:eastAsia="宋体" w:hAnsi="宋体"/>
                <w:sz w:val="14"/>
              </w:rPr>
              <w:t>上行开采</w:t>
            </w:r>
          </w:p>
        </w:tc>
        <w:tc>
          <w:tcPr>
            <w:tcW w:w="1206" w:type="pct"/>
            <w:vAlign w:val="center"/>
            <w:hideMark/>
          </w:tcPr>
          <w:p w14:paraId="68587CFF" w14:textId="77777777" w:rsidR="00D007CE" w:rsidRPr="006A6807" w:rsidRDefault="00A249E2">
            <w:pPr>
              <w:spacing w:before="0" w:after="0"/>
              <w:jc w:val="center"/>
              <w:rPr>
                <w:sz w:val="14"/>
              </w:rPr>
            </w:pPr>
            <w:r w:rsidRPr="006A6807">
              <w:rPr>
                <w:rFonts w:ascii="宋体" w:eastAsia="宋体" w:hAnsi="宋体"/>
                <w:sz w:val="14"/>
              </w:rPr>
              <w:t>上覆岩层扰动与安全边界</w:t>
            </w:r>
          </w:p>
        </w:tc>
        <w:tc>
          <w:tcPr>
            <w:tcW w:w="1356" w:type="pct"/>
            <w:vAlign w:val="center"/>
            <w:hideMark/>
          </w:tcPr>
          <w:p w14:paraId="25C027DE" w14:textId="77777777" w:rsidR="00D007CE" w:rsidRPr="006A6807" w:rsidRDefault="00A249E2">
            <w:pPr>
              <w:spacing w:before="0" w:after="0"/>
              <w:jc w:val="center"/>
              <w:rPr>
                <w:sz w:val="14"/>
              </w:rPr>
            </w:pPr>
            <w:r w:rsidRPr="006A6807">
              <w:rPr>
                <w:rFonts w:ascii="宋体" w:eastAsia="宋体" w:hAnsi="宋体"/>
                <w:sz w:val="14"/>
              </w:rPr>
              <w:t>采动应力、覆岩破坏特征</w:t>
            </w:r>
          </w:p>
        </w:tc>
        <w:tc>
          <w:tcPr>
            <w:tcW w:w="1385" w:type="pct"/>
            <w:vAlign w:val="center"/>
            <w:hideMark/>
          </w:tcPr>
          <w:p w14:paraId="57C63255" w14:textId="77777777" w:rsidR="00D007CE" w:rsidRPr="006A6807" w:rsidRDefault="00A249E2">
            <w:pPr>
              <w:spacing w:before="0" w:after="0"/>
              <w:jc w:val="center"/>
              <w:rPr>
                <w:sz w:val="14"/>
              </w:rPr>
            </w:pPr>
            <w:r w:rsidRPr="006A6807">
              <w:rPr>
                <w:rFonts w:ascii="宋体" w:eastAsia="宋体" w:hAnsi="宋体"/>
                <w:sz w:val="14"/>
              </w:rPr>
              <w:t>支撑可行性评价</w:t>
            </w:r>
          </w:p>
        </w:tc>
      </w:tr>
      <w:tr w:rsidR="00A046E0" w:rsidRPr="006A6807" w14:paraId="13CAD5BA" w14:textId="77777777" w:rsidTr="006A6807">
        <w:trPr>
          <w:tblCellSpacing w:w="15" w:type="dxa"/>
          <w:jc w:val="center"/>
        </w:trPr>
        <w:tc>
          <w:tcPr>
            <w:tcW w:w="892" w:type="pct"/>
            <w:tcBorders>
              <w:bottom w:val="single" w:sz="8" w:space="0" w:color="000000"/>
            </w:tcBorders>
            <w:vAlign w:val="center"/>
            <w:hideMark/>
          </w:tcPr>
          <w:p w14:paraId="4F0AB8CE" w14:textId="77777777" w:rsidR="00D007CE" w:rsidRPr="006A6807" w:rsidRDefault="00A249E2">
            <w:pPr>
              <w:spacing w:before="0" w:after="0"/>
              <w:jc w:val="center"/>
              <w:rPr>
                <w:sz w:val="14"/>
              </w:rPr>
            </w:pPr>
            <w:r w:rsidRPr="006A6807">
              <w:rPr>
                <w:rFonts w:ascii="宋体" w:eastAsia="宋体" w:hAnsi="宋体"/>
                <w:sz w:val="14"/>
              </w:rPr>
              <w:t>综合ODI</w:t>
            </w:r>
          </w:p>
        </w:tc>
        <w:tc>
          <w:tcPr>
            <w:tcW w:w="1206" w:type="pct"/>
            <w:tcBorders>
              <w:bottom w:val="single" w:sz="8" w:space="0" w:color="000000"/>
            </w:tcBorders>
            <w:vAlign w:val="center"/>
            <w:hideMark/>
          </w:tcPr>
          <w:p w14:paraId="69608462" w14:textId="77777777" w:rsidR="00D007CE" w:rsidRPr="006A6807" w:rsidRDefault="00A249E2">
            <w:pPr>
              <w:spacing w:before="0" w:after="0"/>
              <w:jc w:val="center"/>
              <w:rPr>
                <w:sz w:val="14"/>
              </w:rPr>
            </w:pPr>
            <w:r w:rsidRPr="006A6807">
              <w:rPr>
                <w:rFonts w:ascii="宋体" w:eastAsia="宋体" w:hAnsi="宋体"/>
                <w:sz w:val="14"/>
              </w:rPr>
              <w:t>多场景叠加扰动</w:t>
            </w:r>
          </w:p>
        </w:tc>
        <w:tc>
          <w:tcPr>
            <w:tcW w:w="1356" w:type="pct"/>
            <w:tcBorders>
              <w:bottom w:val="single" w:sz="8" w:space="0" w:color="000000"/>
            </w:tcBorders>
            <w:vAlign w:val="center"/>
            <w:hideMark/>
          </w:tcPr>
          <w:p w14:paraId="36C3A3BB" w14:textId="77777777" w:rsidR="00D007CE" w:rsidRPr="006A6807" w:rsidRDefault="00A249E2">
            <w:pPr>
              <w:spacing w:before="0" w:after="0"/>
              <w:jc w:val="center"/>
              <w:rPr>
                <w:sz w:val="14"/>
              </w:rPr>
            </w:pPr>
            <w:r w:rsidRPr="006A6807">
              <w:rPr>
                <w:rFonts w:ascii="宋体" w:eastAsia="宋体" w:hAnsi="宋体"/>
                <w:sz w:val="14"/>
              </w:rPr>
              <w:t>多源风险归一化结果</w:t>
            </w:r>
          </w:p>
        </w:tc>
        <w:tc>
          <w:tcPr>
            <w:tcW w:w="1385" w:type="pct"/>
            <w:tcBorders>
              <w:bottom w:val="single" w:sz="8" w:space="0" w:color="000000"/>
            </w:tcBorders>
            <w:vAlign w:val="center"/>
            <w:hideMark/>
          </w:tcPr>
          <w:p w14:paraId="0A6D07A4" w14:textId="77777777" w:rsidR="00D007CE" w:rsidRPr="006A6807" w:rsidRDefault="00A249E2">
            <w:pPr>
              <w:spacing w:before="0" w:after="0"/>
              <w:jc w:val="center"/>
              <w:rPr>
                <w:sz w:val="14"/>
              </w:rPr>
            </w:pPr>
            <w:r w:rsidRPr="006A6807">
              <w:rPr>
                <w:rFonts w:ascii="宋体" w:eastAsia="宋体" w:hAnsi="宋体"/>
                <w:sz w:val="14"/>
              </w:rPr>
              <w:t>形成统一方案级指标</w:t>
            </w:r>
          </w:p>
        </w:tc>
      </w:tr>
    </w:tbl>
    <w:p w14:paraId="67760E6B" w14:textId="77777777" w:rsidR="00A046E0" w:rsidRPr="00A046E0" w:rsidRDefault="00A046E0" w:rsidP="00801D65">
      <w:pPr>
        <w:spacing w:after="40"/>
        <w:ind w:firstLine="420"/>
        <w:rPr>
          <w:rFonts w:ascii="宋体" w:hAnsi="宋体"/>
        </w:rPr>
      </w:pPr>
    </w:p>
    <w:p w14:paraId="37141482" w14:textId="77777777" w:rsidR="00DE4743" w:rsidRDefault="00DE4743" w:rsidP="00A046E0">
      <w:pPr>
        <w:pStyle w:val="11"/>
      </w:pPr>
      <w:r>
        <w:rPr>
          <w:sz w:val="21"/>
        </w:rPr>
        <w:t xml:space="preserve">3 </w:t>
      </w:r>
      <w:r>
        <w:rPr>
          <w:sz w:val="21"/>
        </w:rPr>
        <w:t>候选方案对比与风险统计</w:t>
      </w:r>
    </w:p>
    <w:p w14:paraId="18639FD0" w14:textId="77777777" w:rsidR="007E22B6" w:rsidRDefault="00DE4743" w:rsidP="00A046E0">
      <w:pPr>
        <w:pStyle w:val="12"/>
      </w:pPr>
      <w:r>
        <w:rPr>
          <w:sz w:val="21"/>
        </w:rPr>
        <w:t xml:space="preserve">3.1 </w:t>
      </w:r>
      <w:r>
        <w:rPr>
          <w:sz w:val="21"/>
        </w:rPr>
        <w:t>候选方案生成结果与对比</w:t>
      </w:r>
    </w:p>
    <w:p w14:paraId="40F6A735" w14:textId="77777777" w:rsidR="00DE4743" w:rsidRPr="00DE4743" w:rsidRDefault="00DE4743" w:rsidP="00DE4743">
      <w:pPr>
        <w:pStyle w:val="10"/>
        <w:spacing w:after="40"/>
        <w:ind w:firstLine="420"/>
        <w:rPr>
          <w:rFonts w:ascii="宋体" w:hAnsi="宋体"/>
        </w:rPr>
      </w:pPr>
      <w:r>
        <w:t>在有效布置域、连续参数场和</w:t>
      </w:r>
      <w:r>
        <w:t>ODI</w:t>
      </w:r>
      <w:r>
        <w:t>风险场共同作用下，本文进一步提取工程效率优先、资源回收优先和扰动控制优先等候选结果，用于说明不同目标偏好下方案指标的变化。与仅展示单一导出样例相比，候选方案对比能够更直接回答</w:t>
      </w:r>
      <w:r>
        <w:t>“ODI</w:t>
      </w:r>
      <w:r>
        <w:t>约束如何影响方案筛选</w:t>
      </w:r>
      <w:r>
        <w:t>”</w:t>
      </w:r>
      <w:r>
        <w:t>的问题。</w:t>
      </w:r>
    </w:p>
    <w:p w14:paraId="51798261" w14:textId="77777777" w:rsidR="00DE4743" w:rsidRPr="00DE4743" w:rsidRDefault="00DE4743" w:rsidP="00DE4743">
      <w:pPr>
        <w:pStyle w:val="10"/>
        <w:spacing w:after="40"/>
        <w:ind w:firstLine="420"/>
        <w:rPr>
          <w:rFonts w:ascii="宋体" w:hAnsi="宋体"/>
        </w:rPr>
      </w:pPr>
      <w:r>
        <w:t>为增强案例验证的对照性，本文将</w:t>
      </w:r>
      <w:r>
        <w:t>A</w:t>
      </w:r>
      <w:r>
        <w:t>、</w:t>
      </w:r>
      <w:r>
        <w:t>B</w:t>
      </w:r>
      <w:r>
        <w:t>、</w:t>
      </w:r>
      <w:r>
        <w:t>C</w:t>
      </w:r>
      <w:r>
        <w:t>三类方案置于相同研究区边界、相同钻孔参数场、相同</w:t>
      </w:r>
      <w:r>
        <w:t>ODI</w:t>
      </w:r>
      <w:r>
        <w:t>风险场和相同几何约束下进行比较。其中，</w:t>
      </w:r>
      <w:r>
        <w:t>A</w:t>
      </w:r>
      <w:r>
        <w:t>方案代表工程效率偏好，重点体现工作面数量、推进长度均衡性和组织效率；</w:t>
      </w:r>
      <w:r>
        <w:t>B</w:t>
      </w:r>
      <w:r>
        <w:t>方案代表资源回收偏好，重点体现覆盖率和煤厚场利用；</w:t>
      </w:r>
      <w:r>
        <w:t>C</w:t>
      </w:r>
      <w:r>
        <w:t>方案代表</w:t>
      </w:r>
      <w:r>
        <w:t>ODI</w:t>
      </w:r>
      <w:r>
        <w:t>风险约束偏好，重点体现低扰动暴露。该对照属于同一候选池内的目标偏好对照，而不是独立人工经验方案与自动方案的现场对照。</w:t>
      </w:r>
    </w:p>
    <w:p w14:paraId="3D8BB32E" w14:textId="77777777" w:rsidR="00DE4743" w:rsidRPr="00DE4743" w:rsidRDefault="00DE4743" w:rsidP="00DE4743">
      <w:pPr>
        <w:pStyle w:val="10"/>
        <w:spacing w:after="40"/>
        <w:ind w:firstLine="360"/>
        <w:rPr>
          <w:rFonts w:ascii="宋体" w:hAnsi="宋体"/>
        </w:rPr>
      </w:pPr>
      <w:r>
        <w:rPr>
          <w:sz w:val="18"/>
        </w:rPr>
        <w:t>表</w:t>
      </w:r>
      <w:r>
        <w:rPr>
          <w:sz w:val="18"/>
        </w:rPr>
        <w:t>3</w:t>
      </w:r>
      <w:r>
        <w:rPr>
          <w:sz w:val="18"/>
        </w:rPr>
        <w:t>列出了当前已复核的候选方案。工程效率优先方案</w:t>
      </w:r>
      <w:r>
        <w:rPr>
          <w:sz w:val="18"/>
        </w:rPr>
        <w:t>A</w:t>
      </w:r>
      <w:r>
        <w:rPr>
          <w:sz w:val="18"/>
        </w:rPr>
        <w:t>来自</w:t>
      </w:r>
      <w:r>
        <w:rPr>
          <w:sz w:val="18"/>
        </w:rPr>
        <w:t>efficiency</w:t>
      </w:r>
      <w:r>
        <w:rPr>
          <w:sz w:val="18"/>
        </w:rPr>
        <w:t>模式，候选池规模为</w:t>
      </w:r>
      <w:r>
        <w:rPr>
          <w:sz w:val="18"/>
        </w:rPr>
        <w:t>2417</w:t>
      </w:r>
      <w:r>
        <w:rPr>
          <w:sz w:val="18"/>
        </w:rPr>
        <w:t>，覆盖率为</w:t>
      </w:r>
      <w:r>
        <w:rPr>
          <w:sz w:val="18"/>
        </w:rPr>
        <w:t>89.34%</w:t>
      </w:r>
      <w:r>
        <w:rPr>
          <w:sz w:val="18"/>
        </w:rPr>
        <w:t>，工程效率评分为</w:t>
      </w:r>
      <w:r>
        <w:rPr>
          <w:sz w:val="18"/>
        </w:rPr>
        <w:t>87.82</w:t>
      </w:r>
      <w:r>
        <w:rPr>
          <w:sz w:val="18"/>
        </w:rPr>
        <w:t>；资源回收优先方案</w:t>
      </w:r>
      <w:r>
        <w:rPr>
          <w:sz w:val="18"/>
        </w:rPr>
        <w:t>B</w:t>
      </w:r>
      <w:r>
        <w:rPr>
          <w:sz w:val="18"/>
        </w:rPr>
        <w:t>来自</w:t>
      </w:r>
      <w:r>
        <w:rPr>
          <w:sz w:val="18"/>
        </w:rPr>
        <w:t>recovery</w:t>
      </w:r>
      <w:r>
        <w:rPr>
          <w:sz w:val="18"/>
        </w:rPr>
        <w:t>模式，候选池规模为</w:t>
      </w:r>
      <w:r>
        <w:rPr>
          <w:sz w:val="18"/>
        </w:rPr>
        <w:t>1149</w:t>
      </w:r>
      <w:r>
        <w:rPr>
          <w:sz w:val="18"/>
        </w:rPr>
        <w:t>，覆盖率为</w:t>
      </w:r>
      <w:r>
        <w:rPr>
          <w:sz w:val="18"/>
        </w:rPr>
        <w:t>98.52%</w:t>
      </w:r>
      <w:r>
        <w:rPr>
          <w:sz w:val="18"/>
        </w:rPr>
        <w:t>，资源回收评分为</w:t>
      </w:r>
      <w:r>
        <w:rPr>
          <w:sz w:val="18"/>
        </w:rPr>
        <w:t>89.76</w:t>
      </w:r>
      <w:r>
        <w:rPr>
          <w:sz w:val="18"/>
        </w:rPr>
        <w:t>；</w:t>
      </w:r>
      <w:r>
        <w:rPr>
          <w:sz w:val="18"/>
        </w:rPr>
        <w:t>ODI</w:t>
      </w:r>
      <w:r>
        <w:rPr>
          <w:sz w:val="18"/>
        </w:rPr>
        <w:t>筛选方案</w:t>
      </w:r>
      <w:r>
        <w:rPr>
          <w:sz w:val="18"/>
        </w:rPr>
        <w:t>C</w:t>
      </w:r>
      <w:r>
        <w:rPr>
          <w:sz w:val="18"/>
        </w:rPr>
        <w:t>来自统一候选池复核，覆盖率为</w:t>
      </w:r>
      <w:r>
        <w:rPr>
          <w:sz w:val="18"/>
        </w:rPr>
        <w:t>80.67%</w:t>
      </w:r>
      <w:r>
        <w:rPr>
          <w:sz w:val="18"/>
        </w:rPr>
        <w:t>，工程效率评分为</w:t>
      </w:r>
      <w:r>
        <w:rPr>
          <w:sz w:val="18"/>
        </w:rPr>
        <w:t>79.27</w:t>
      </w:r>
      <w:r>
        <w:rPr>
          <w:sz w:val="18"/>
        </w:rPr>
        <w:t>，</w:t>
      </w:r>
      <w:r>
        <w:rPr>
          <w:sz w:val="18"/>
        </w:rPr>
        <w:t>ODI</w:t>
      </w:r>
      <w:r>
        <w:rPr>
          <w:sz w:val="18"/>
        </w:rPr>
        <w:t>均值为</w:t>
      </w:r>
      <w:r>
        <w:rPr>
          <w:sz w:val="18"/>
        </w:rPr>
        <w:t>0.4416</w:t>
      </w:r>
      <w:r>
        <w:rPr>
          <w:sz w:val="18"/>
        </w:rPr>
        <w:t>，</w:t>
      </w:r>
      <w:r>
        <w:rPr>
          <w:sz w:val="18"/>
        </w:rPr>
        <w:t>P90</w:t>
      </w:r>
      <w:r>
        <w:rPr>
          <w:sz w:val="18"/>
        </w:rPr>
        <w:t>为</w:t>
      </w:r>
      <w:r>
        <w:rPr>
          <w:sz w:val="18"/>
        </w:rPr>
        <w:t>0.6353</w:t>
      </w:r>
      <w:r>
        <w:rPr>
          <w:sz w:val="18"/>
        </w:rPr>
        <w:t>，</w:t>
      </w:r>
      <w:r>
        <w:rPr>
          <w:sz w:val="18"/>
        </w:rPr>
        <w:t>ODI&gt;0.70</w:t>
      </w:r>
      <w:r>
        <w:rPr>
          <w:sz w:val="18"/>
        </w:rPr>
        <w:t>比例为</w:t>
      </w:r>
      <w:r>
        <w:rPr>
          <w:sz w:val="18"/>
        </w:rPr>
        <w:t>1.22%</w:t>
      </w:r>
      <w:r>
        <w:rPr>
          <w:sz w:val="18"/>
        </w:rPr>
        <w:t>。</w:t>
      </w:r>
    </w:p>
    <w:p w14:paraId="3365D3CA" w14:textId="77777777" w:rsidR="00DE4743" w:rsidRPr="00DE4743" w:rsidRDefault="00DE4743" w:rsidP="00DE4743">
      <w:pPr>
        <w:pStyle w:val="10"/>
        <w:spacing w:after="40"/>
        <w:ind w:firstLine="420"/>
        <w:rPr>
          <w:rFonts w:ascii="宋体" w:hAnsi="宋体"/>
        </w:rPr>
      </w:pPr>
      <w:r>
        <w:t>上述结果表明，不同目标偏好会导致覆盖率、资源回收和风险暴露之间出现明显权衡。与</w:t>
      </w:r>
      <w:r>
        <w:t>A</w:t>
      </w:r>
      <w:r>
        <w:t>方案相比，</w:t>
      </w:r>
      <w:r>
        <w:t>C</w:t>
      </w:r>
      <w:r>
        <w:t>方案覆盖率降低</w:t>
      </w:r>
      <w:r>
        <w:t>8.67</w:t>
      </w:r>
      <w:r>
        <w:t>个百分点，但</w:t>
      </w:r>
      <w:r>
        <w:t>ODI</w:t>
      </w:r>
      <w:r>
        <w:t>均值降低</w:t>
      </w:r>
      <w:r>
        <w:t>1.07%</w:t>
      </w:r>
      <w:r>
        <w:t>，</w:t>
      </w:r>
      <w:r>
        <w:t>P90</w:t>
      </w:r>
      <w:r>
        <w:t>降低</w:t>
      </w:r>
      <w:r>
        <w:t>0.86%</w:t>
      </w:r>
      <w:r>
        <w:t>，风险综合得分降低</w:t>
      </w:r>
      <w:r>
        <w:t>0.70%</w:t>
      </w:r>
      <w:r>
        <w:t>；与</w:t>
      </w:r>
      <w:r>
        <w:t>B</w:t>
      </w:r>
      <w:r>
        <w:t>方案相比，</w:t>
      </w:r>
      <w:r>
        <w:t>C</w:t>
      </w:r>
      <w:r>
        <w:t>方案覆盖率降低</w:t>
      </w:r>
      <w:r>
        <w:t>17.85</w:t>
      </w:r>
      <w:r>
        <w:t>个百分点，但</w:t>
      </w:r>
      <w:r>
        <w:t>ODI</w:t>
      </w:r>
      <w:r>
        <w:t>均值降低</w:t>
      </w:r>
      <w:r>
        <w:t>3.00%</w:t>
      </w:r>
      <w:r>
        <w:t>，</w:t>
      </w:r>
      <w:r>
        <w:t>P90</w:t>
      </w:r>
      <w:r>
        <w:t>降低</w:t>
      </w:r>
      <w:r>
        <w:t>1.69%</w:t>
      </w:r>
      <w:r>
        <w:t>，风险综合得分降低</w:t>
      </w:r>
      <w:r>
        <w:t>2.12%</w:t>
      </w:r>
      <w:r>
        <w:t>。</w:t>
      </w:r>
      <w:r>
        <w:t>B</w:t>
      </w:r>
      <w:r>
        <w:t>方案相对于</w:t>
      </w:r>
      <w:r>
        <w:t>A</w:t>
      </w:r>
      <w:r>
        <w:t>方案覆盖率提高</w:t>
      </w:r>
      <w:r>
        <w:t>9.18</w:t>
      </w:r>
      <w:r>
        <w:t>个百分点，但</w:t>
      </w:r>
      <w:r>
        <w:t>ODI</w:t>
      </w:r>
      <w:r>
        <w:t>均值和</w:t>
      </w:r>
      <w:r>
        <w:t>P90</w:t>
      </w:r>
      <w:r>
        <w:t>分别提高</w:t>
      </w:r>
      <w:r>
        <w:t>1.99%</w:t>
      </w:r>
      <w:r>
        <w:t>和</w:t>
      </w:r>
      <w:r>
        <w:t>0.85%</w:t>
      </w:r>
      <w:r>
        <w:t>。这说明资源覆盖增益可能伴随扰动风险统计值上升，</w:t>
      </w:r>
      <w:r>
        <w:t>ODI</w:t>
      </w:r>
      <w:r>
        <w:t>前置约束能够把这种风险</w:t>
      </w:r>
      <w:r>
        <w:t>-</w:t>
      </w:r>
      <w:r>
        <w:t>收益取舍显式化。旧</w:t>
      </w:r>
      <w:r>
        <w:t>disturbance</w:t>
      </w:r>
      <w:r>
        <w:t>保存结果中的候选</w:t>
      </w:r>
      <w:r>
        <w:t>C_old</w:t>
      </w:r>
      <w:r>
        <w:t>在统一</w:t>
      </w:r>
      <w:r>
        <w:t>ODI</w:t>
      </w:r>
      <w:r>
        <w:t>场下均值为</w:t>
      </w:r>
      <w:r>
        <w:t>0.4560</w:t>
      </w:r>
      <w:r>
        <w:t>，</w:t>
      </w:r>
      <w:r>
        <w:t>P90</w:t>
      </w:r>
      <w:r>
        <w:t>为</w:t>
      </w:r>
      <w:r>
        <w:t>0.6472</w:t>
      </w:r>
      <w:r>
        <w:t>，因此本文不再将其作为统一口径下的</w:t>
      </w:r>
      <w:r>
        <w:t>ODI</w:t>
      </w:r>
      <w:r>
        <w:t>筛选方案。</w:t>
      </w:r>
    </w:p>
    <w:p w14:paraId="647AAB52" w14:textId="77777777" w:rsidR="00DE4743" w:rsidRPr="00DE4743" w:rsidRDefault="00DE4743" w:rsidP="00DE4743">
      <w:pPr>
        <w:pStyle w:val="10"/>
        <w:spacing w:after="40"/>
        <w:ind w:firstLine="420"/>
        <w:rPr>
          <w:rFonts w:ascii="宋体" w:hAnsi="宋体"/>
        </w:rPr>
      </w:pPr>
      <w:r>
        <w:t>从方案合理性看，</w:t>
      </w:r>
      <w:r>
        <w:t>A</w:t>
      </w:r>
      <w:r>
        <w:t>方案覆盖率和工程效率较高，说明几何组织较为充分；</w:t>
      </w:r>
      <w:r>
        <w:t>B</w:t>
      </w:r>
      <w:r>
        <w:t>方案覆盖率最高且资源回收评分较高，说明连续参数场能够推动方案向资源富集区域扩展；</w:t>
      </w:r>
      <w:r>
        <w:t>C</w:t>
      </w:r>
      <w:r>
        <w:t>方案覆盖率较低，但</w:t>
      </w:r>
      <w:r>
        <w:t>ODI</w:t>
      </w:r>
      <w:r>
        <w:t>均值、</w:t>
      </w:r>
      <w:r>
        <w:t>P90</w:t>
      </w:r>
      <w:r>
        <w:t>和风险综合得分均低于</w:t>
      </w:r>
      <w:r>
        <w:t>A</w:t>
      </w:r>
      <w:r>
        <w:t>、</w:t>
      </w:r>
      <w:r>
        <w:t>B</w:t>
      </w:r>
      <w:r>
        <w:t>方案，说明其牺牲部分覆盖面积以降低总体扰动暴露。这种结果符合采区规划中资源利用与风险控制相互制约的工程常识，也说明本文方法能够把隐含在图层中的风险差异转化为方案级统计证据。</w:t>
      </w:r>
    </w:p>
    <w:p w14:paraId="510B58CE" w14:textId="77777777" w:rsidR="00D007CE" w:rsidRDefault="00A249E2">
      <w:pPr>
        <w:pStyle w:val="15"/>
      </w:pPr>
      <w:r>
        <w:t>表</w:t>
      </w:r>
      <w:r>
        <w:t xml:space="preserve">3 </w:t>
      </w:r>
      <w:r>
        <w:t>候选方案对比与数据复核状态</w:t>
      </w:r>
      <w:r>
        <w:br/>
        <w:t>Table 3 Candidate-scheme comparison and data verification status</w:t>
      </w:r>
    </w:p>
    <w:tbl>
      <w:tblPr>
        <w:tblW w:w="5000" w:type="pct"/>
        <w:jc w:val="center"/>
        <w:tblCellMar>
          <w:left w:w="10" w:type="dxa"/>
          <w:right w:w="10" w:type="dxa"/>
        </w:tblCellMar>
        <w:tblLook w:val="04A0" w:firstRow="1" w:lastRow="0" w:firstColumn="1" w:lastColumn="0" w:noHBand="0" w:noVBand="1"/>
      </w:tblPr>
      <w:tblGrid>
        <w:gridCol w:w="1076"/>
        <w:gridCol w:w="2138"/>
        <w:gridCol w:w="1773"/>
        <w:gridCol w:w="2200"/>
        <w:gridCol w:w="2471"/>
      </w:tblGrid>
      <w:tr w:rsidR="00D007CE" w:rsidRPr="006A6807" w14:paraId="75B5678E" w14:textId="77777777" w:rsidTr="006A6807">
        <w:trPr>
          <w:jc w:val="center"/>
        </w:trPr>
        <w:tc>
          <w:tcPr>
            <w:tcW w:w="557" w:type="pct"/>
            <w:tcBorders>
              <w:top w:val="single" w:sz="8" w:space="0" w:color="000000"/>
              <w:bottom w:val="single" w:sz="6" w:space="0" w:color="000000"/>
            </w:tcBorders>
            <w:vAlign w:val="center"/>
          </w:tcPr>
          <w:p w14:paraId="3B5AC5E1" w14:textId="77777777" w:rsidR="00D24CB0" w:rsidRDefault="00691361">
            <w:r>
              <w:rPr>
                <w:sz w:val="14"/>
              </w:rPr>
              <w:t>方案</w:t>
            </w:r>
          </w:p>
        </w:tc>
        <w:tc>
          <w:tcPr>
            <w:tcW w:w="1107" w:type="pct"/>
            <w:tcBorders>
              <w:top w:val="single" w:sz="8" w:space="0" w:color="000000"/>
              <w:bottom w:val="single" w:sz="6" w:space="0" w:color="000000"/>
            </w:tcBorders>
            <w:vAlign w:val="center"/>
          </w:tcPr>
          <w:p w14:paraId="246629EC" w14:textId="77777777" w:rsidR="00D24CB0" w:rsidRDefault="00691361">
            <w:r>
              <w:rPr>
                <w:sz w:val="14"/>
              </w:rPr>
              <w:t>来源</w:t>
            </w:r>
            <w:r>
              <w:rPr>
                <w:sz w:val="14"/>
              </w:rPr>
              <w:t>/</w:t>
            </w:r>
            <w:r>
              <w:rPr>
                <w:sz w:val="14"/>
              </w:rPr>
              <w:t>含义</w:t>
            </w:r>
          </w:p>
        </w:tc>
        <w:tc>
          <w:tcPr>
            <w:tcW w:w="918" w:type="pct"/>
            <w:tcBorders>
              <w:top w:val="single" w:sz="8" w:space="0" w:color="000000"/>
              <w:bottom w:val="single" w:sz="6" w:space="0" w:color="000000"/>
            </w:tcBorders>
            <w:vAlign w:val="center"/>
          </w:tcPr>
          <w:p w14:paraId="7E630CC3" w14:textId="77777777" w:rsidR="00D24CB0" w:rsidRDefault="00691361">
            <w:r>
              <w:rPr>
                <w:sz w:val="14"/>
              </w:rPr>
              <w:t>关键指标</w:t>
            </w:r>
          </w:p>
        </w:tc>
        <w:tc>
          <w:tcPr>
            <w:tcW w:w="1139" w:type="pct"/>
            <w:tcBorders>
              <w:top w:val="single" w:sz="8" w:space="0" w:color="000000"/>
              <w:bottom w:val="single" w:sz="6" w:space="0" w:color="000000"/>
            </w:tcBorders>
            <w:vAlign w:val="center"/>
          </w:tcPr>
          <w:p w14:paraId="38ED805D" w14:textId="77777777" w:rsidR="00D24CB0" w:rsidRDefault="00691361">
            <w:r>
              <w:rPr>
                <w:sz w:val="14"/>
              </w:rPr>
              <w:t>ODI</w:t>
            </w:r>
            <w:r>
              <w:rPr>
                <w:sz w:val="14"/>
              </w:rPr>
              <w:t>统计</w:t>
            </w:r>
          </w:p>
        </w:tc>
        <w:tc>
          <w:tcPr>
            <w:tcW w:w="1280" w:type="pct"/>
            <w:tcBorders>
              <w:top w:val="single" w:sz="8" w:space="0" w:color="000000"/>
              <w:bottom w:val="single" w:sz="6" w:space="0" w:color="000000"/>
            </w:tcBorders>
            <w:vAlign w:val="center"/>
          </w:tcPr>
          <w:p w14:paraId="0A623C71" w14:textId="77777777" w:rsidR="00D24CB0" w:rsidRDefault="00691361">
            <w:r>
              <w:rPr>
                <w:sz w:val="14"/>
              </w:rPr>
              <w:t>复核状态</w:t>
            </w:r>
          </w:p>
        </w:tc>
      </w:tr>
      <w:tr w:rsidR="00D007CE" w:rsidRPr="006A6807" w14:paraId="64928C95" w14:textId="77777777" w:rsidTr="006A6807">
        <w:trPr>
          <w:jc w:val="center"/>
        </w:trPr>
        <w:tc>
          <w:tcPr>
            <w:tcW w:w="557" w:type="pct"/>
            <w:vAlign w:val="center"/>
          </w:tcPr>
          <w:p w14:paraId="4B52AEBE" w14:textId="77777777" w:rsidR="00D24CB0" w:rsidRDefault="00691361">
            <w:r>
              <w:rPr>
                <w:sz w:val="14"/>
              </w:rPr>
              <w:t>A</w:t>
            </w:r>
          </w:p>
        </w:tc>
        <w:tc>
          <w:tcPr>
            <w:tcW w:w="1107" w:type="pct"/>
            <w:vAlign w:val="center"/>
          </w:tcPr>
          <w:p w14:paraId="3E06881D" w14:textId="77777777" w:rsidR="00D24CB0" w:rsidRDefault="00691361">
            <w:r>
              <w:rPr>
                <w:sz w:val="14"/>
              </w:rPr>
              <w:t>efficiency</w:t>
            </w:r>
            <w:r>
              <w:rPr>
                <w:sz w:val="14"/>
              </w:rPr>
              <w:t>；工程效率优先</w:t>
            </w:r>
          </w:p>
        </w:tc>
        <w:tc>
          <w:tcPr>
            <w:tcW w:w="918" w:type="pct"/>
            <w:vAlign w:val="center"/>
          </w:tcPr>
          <w:p w14:paraId="1BA09941" w14:textId="77777777" w:rsidR="00D24CB0" w:rsidRDefault="00691361">
            <w:r>
              <w:rPr>
                <w:sz w:val="14"/>
              </w:rPr>
              <w:t>工作面</w:t>
            </w:r>
            <w:r>
              <w:rPr>
                <w:sz w:val="14"/>
              </w:rPr>
              <w:t>5</w:t>
            </w:r>
            <w:r>
              <w:rPr>
                <w:sz w:val="14"/>
              </w:rPr>
              <w:t>个；覆盖率</w:t>
            </w:r>
            <w:r>
              <w:rPr>
                <w:sz w:val="14"/>
              </w:rPr>
              <w:t>89.34%</w:t>
            </w:r>
            <w:r>
              <w:rPr>
                <w:sz w:val="14"/>
              </w:rPr>
              <w:t>；工程效率评分</w:t>
            </w:r>
            <w:r>
              <w:rPr>
                <w:sz w:val="14"/>
              </w:rPr>
              <w:t>87.82</w:t>
            </w:r>
          </w:p>
        </w:tc>
        <w:tc>
          <w:tcPr>
            <w:tcW w:w="1139" w:type="pct"/>
            <w:vAlign w:val="center"/>
          </w:tcPr>
          <w:p w14:paraId="7B24087C" w14:textId="77777777" w:rsidR="00D24CB0" w:rsidRDefault="00691361">
            <w:r>
              <w:rPr>
                <w:sz w:val="14"/>
              </w:rPr>
              <w:t>均值</w:t>
            </w:r>
            <w:r>
              <w:rPr>
                <w:sz w:val="14"/>
              </w:rPr>
              <w:t>0.4463</w:t>
            </w:r>
            <w:r>
              <w:rPr>
                <w:sz w:val="14"/>
              </w:rPr>
              <w:t>；</w:t>
            </w:r>
            <w:r>
              <w:rPr>
                <w:sz w:val="14"/>
              </w:rPr>
              <w:t>P90=0.6407</w:t>
            </w:r>
            <w:r>
              <w:rPr>
                <w:sz w:val="14"/>
              </w:rPr>
              <w:t>；</w:t>
            </w:r>
            <w:r>
              <w:rPr>
                <w:sz w:val="14"/>
              </w:rPr>
              <w:t>ODI&gt;0.70</w:t>
            </w:r>
            <w:r>
              <w:rPr>
                <w:sz w:val="14"/>
              </w:rPr>
              <w:t>为</w:t>
            </w:r>
            <w:r>
              <w:rPr>
                <w:sz w:val="14"/>
              </w:rPr>
              <w:t>0.44%</w:t>
            </w:r>
          </w:p>
        </w:tc>
        <w:tc>
          <w:tcPr>
            <w:tcW w:w="1280" w:type="pct"/>
            <w:vAlign w:val="center"/>
          </w:tcPr>
          <w:p w14:paraId="30666DE4" w14:textId="77777777" w:rsidR="00D24CB0" w:rsidRDefault="00691361">
            <w:r>
              <w:rPr>
                <w:sz w:val="14"/>
              </w:rPr>
              <w:t>统一</w:t>
            </w:r>
            <w:r>
              <w:rPr>
                <w:sz w:val="14"/>
              </w:rPr>
              <w:t>ODI</w:t>
            </w:r>
            <w:r>
              <w:rPr>
                <w:sz w:val="14"/>
              </w:rPr>
              <w:t>场已复核</w:t>
            </w:r>
          </w:p>
        </w:tc>
      </w:tr>
      <w:tr w:rsidR="00D007CE" w:rsidRPr="006A6807" w14:paraId="2D9B3ABB" w14:textId="77777777" w:rsidTr="006A6807">
        <w:trPr>
          <w:jc w:val="center"/>
        </w:trPr>
        <w:tc>
          <w:tcPr>
            <w:tcW w:w="557" w:type="pct"/>
            <w:vAlign w:val="center"/>
          </w:tcPr>
          <w:p w14:paraId="65281847" w14:textId="77777777" w:rsidR="00D24CB0" w:rsidRDefault="00691361">
            <w:r>
              <w:rPr>
                <w:sz w:val="14"/>
              </w:rPr>
              <w:t>B</w:t>
            </w:r>
          </w:p>
        </w:tc>
        <w:tc>
          <w:tcPr>
            <w:tcW w:w="1107" w:type="pct"/>
            <w:vAlign w:val="center"/>
          </w:tcPr>
          <w:p w14:paraId="4E384810" w14:textId="77777777" w:rsidR="00D24CB0" w:rsidRDefault="00691361">
            <w:r>
              <w:rPr>
                <w:sz w:val="14"/>
              </w:rPr>
              <w:t>recovery</w:t>
            </w:r>
            <w:r>
              <w:rPr>
                <w:sz w:val="14"/>
              </w:rPr>
              <w:t>；资源回收优先</w:t>
            </w:r>
          </w:p>
        </w:tc>
        <w:tc>
          <w:tcPr>
            <w:tcW w:w="918" w:type="pct"/>
            <w:vAlign w:val="center"/>
          </w:tcPr>
          <w:p w14:paraId="603179B5" w14:textId="77777777" w:rsidR="00D24CB0" w:rsidRDefault="00691361">
            <w:r>
              <w:rPr>
                <w:sz w:val="14"/>
              </w:rPr>
              <w:t>工作面</w:t>
            </w:r>
            <w:r>
              <w:rPr>
                <w:sz w:val="14"/>
              </w:rPr>
              <w:t>9</w:t>
            </w:r>
            <w:r>
              <w:rPr>
                <w:sz w:val="14"/>
              </w:rPr>
              <w:t>个；覆盖率</w:t>
            </w:r>
            <w:r>
              <w:rPr>
                <w:sz w:val="14"/>
              </w:rPr>
              <w:t>98.52%</w:t>
            </w:r>
            <w:r>
              <w:rPr>
                <w:sz w:val="14"/>
              </w:rPr>
              <w:t>；工程效率</w:t>
            </w:r>
            <w:r>
              <w:rPr>
                <w:sz w:val="14"/>
              </w:rPr>
              <w:t>98.52</w:t>
            </w:r>
            <w:r>
              <w:rPr>
                <w:sz w:val="14"/>
              </w:rPr>
              <w:t>；资源回收</w:t>
            </w:r>
            <w:r>
              <w:rPr>
                <w:sz w:val="14"/>
              </w:rPr>
              <w:t>89.76</w:t>
            </w:r>
          </w:p>
        </w:tc>
        <w:tc>
          <w:tcPr>
            <w:tcW w:w="1139" w:type="pct"/>
            <w:vAlign w:val="center"/>
          </w:tcPr>
          <w:p w14:paraId="6517042C" w14:textId="77777777" w:rsidR="00D24CB0" w:rsidRDefault="00691361">
            <w:r>
              <w:rPr>
                <w:sz w:val="14"/>
              </w:rPr>
              <w:t>均值</w:t>
            </w:r>
            <w:r>
              <w:rPr>
                <w:sz w:val="14"/>
              </w:rPr>
              <w:t>0.4552</w:t>
            </w:r>
            <w:r>
              <w:rPr>
                <w:sz w:val="14"/>
              </w:rPr>
              <w:t>；</w:t>
            </w:r>
            <w:r>
              <w:rPr>
                <w:sz w:val="14"/>
              </w:rPr>
              <w:t>P90=0.6462</w:t>
            </w:r>
            <w:r>
              <w:rPr>
                <w:sz w:val="14"/>
              </w:rPr>
              <w:t>；</w:t>
            </w:r>
            <w:r>
              <w:rPr>
                <w:sz w:val="14"/>
              </w:rPr>
              <w:t>ODI&gt;0.70</w:t>
            </w:r>
            <w:r>
              <w:rPr>
                <w:sz w:val="14"/>
              </w:rPr>
              <w:t>为</w:t>
            </w:r>
            <w:r>
              <w:rPr>
                <w:sz w:val="14"/>
              </w:rPr>
              <w:t>0.56%</w:t>
            </w:r>
          </w:p>
        </w:tc>
        <w:tc>
          <w:tcPr>
            <w:tcW w:w="1280" w:type="pct"/>
            <w:vAlign w:val="center"/>
          </w:tcPr>
          <w:p w14:paraId="3F07E9A5" w14:textId="77777777" w:rsidR="00D24CB0" w:rsidRDefault="00691361">
            <w:r>
              <w:rPr>
                <w:sz w:val="14"/>
              </w:rPr>
              <w:t>统一</w:t>
            </w:r>
            <w:r>
              <w:rPr>
                <w:sz w:val="14"/>
              </w:rPr>
              <w:t>ODI</w:t>
            </w:r>
            <w:r>
              <w:rPr>
                <w:sz w:val="14"/>
              </w:rPr>
              <w:t>场已复核</w:t>
            </w:r>
          </w:p>
        </w:tc>
      </w:tr>
      <w:tr w:rsidR="00D007CE" w:rsidRPr="006A6807" w14:paraId="1E21A342" w14:textId="77777777" w:rsidTr="006A6807">
        <w:trPr>
          <w:jc w:val="center"/>
        </w:trPr>
        <w:tc>
          <w:tcPr>
            <w:tcW w:w="557" w:type="pct"/>
            <w:vAlign w:val="center"/>
          </w:tcPr>
          <w:p w14:paraId="3728DEF7" w14:textId="77777777" w:rsidR="00D24CB0" w:rsidRDefault="00691361">
            <w:r>
              <w:rPr>
                <w:sz w:val="14"/>
              </w:rPr>
              <w:t>C</w:t>
            </w:r>
          </w:p>
        </w:tc>
        <w:tc>
          <w:tcPr>
            <w:tcW w:w="1107" w:type="pct"/>
            <w:vAlign w:val="center"/>
          </w:tcPr>
          <w:p w14:paraId="35FE8B10" w14:textId="77777777" w:rsidR="00D24CB0" w:rsidRDefault="00691361">
            <w:r>
              <w:rPr>
                <w:sz w:val="14"/>
              </w:rPr>
              <w:t>统一</w:t>
            </w:r>
            <w:r>
              <w:rPr>
                <w:sz w:val="14"/>
              </w:rPr>
              <w:t>ODI</w:t>
            </w:r>
            <w:r>
              <w:rPr>
                <w:sz w:val="14"/>
              </w:rPr>
              <w:t>筛选；合格低风险候选</w:t>
            </w:r>
          </w:p>
        </w:tc>
        <w:tc>
          <w:tcPr>
            <w:tcW w:w="918" w:type="pct"/>
            <w:vAlign w:val="center"/>
          </w:tcPr>
          <w:p w14:paraId="0129BCC8" w14:textId="77777777" w:rsidR="00D24CB0" w:rsidRDefault="00691361">
            <w:r>
              <w:rPr>
                <w:sz w:val="14"/>
              </w:rPr>
              <w:t>工作面</w:t>
            </w:r>
            <w:r>
              <w:rPr>
                <w:sz w:val="14"/>
              </w:rPr>
              <w:t>4</w:t>
            </w:r>
            <w:r>
              <w:rPr>
                <w:sz w:val="14"/>
              </w:rPr>
              <w:t>个；覆盖率</w:t>
            </w:r>
            <w:r>
              <w:rPr>
                <w:sz w:val="14"/>
              </w:rPr>
              <w:t>80.67%</w:t>
            </w:r>
            <w:r>
              <w:rPr>
                <w:sz w:val="14"/>
              </w:rPr>
              <w:t>；工程效率评分</w:t>
            </w:r>
            <w:r>
              <w:rPr>
                <w:sz w:val="14"/>
              </w:rPr>
              <w:t>79.27</w:t>
            </w:r>
          </w:p>
        </w:tc>
        <w:tc>
          <w:tcPr>
            <w:tcW w:w="1139" w:type="pct"/>
            <w:vAlign w:val="center"/>
          </w:tcPr>
          <w:p w14:paraId="393C0193" w14:textId="77777777" w:rsidR="00D24CB0" w:rsidRDefault="00691361">
            <w:r>
              <w:rPr>
                <w:sz w:val="14"/>
              </w:rPr>
              <w:t>均值</w:t>
            </w:r>
            <w:r>
              <w:rPr>
                <w:sz w:val="14"/>
              </w:rPr>
              <w:t>0.4416</w:t>
            </w:r>
            <w:r>
              <w:rPr>
                <w:sz w:val="14"/>
              </w:rPr>
              <w:t>；</w:t>
            </w:r>
            <w:r>
              <w:rPr>
                <w:sz w:val="14"/>
              </w:rPr>
              <w:t>P90=0.6353</w:t>
            </w:r>
            <w:r>
              <w:rPr>
                <w:sz w:val="14"/>
              </w:rPr>
              <w:t>；</w:t>
            </w:r>
            <w:r>
              <w:rPr>
                <w:sz w:val="14"/>
              </w:rPr>
              <w:t>ODI&gt;0.70</w:t>
            </w:r>
            <w:r>
              <w:rPr>
                <w:sz w:val="14"/>
              </w:rPr>
              <w:t>为</w:t>
            </w:r>
            <w:r>
              <w:rPr>
                <w:sz w:val="14"/>
              </w:rPr>
              <w:t>1.22%</w:t>
            </w:r>
          </w:p>
        </w:tc>
        <w:tc>
          <w:tcPr>
            <w:tcW w:w="1280" w:type="pct"/>
            <w:vAlign w:val="center"/>
          </w:tcPr>
          <w:p w14:paraId="4E1531BB" w14:textId="77777777" w:rsidR="00D24CB0" w:rsidRDefault="00691361">
            <w:r>
              <w:rPr>
                <w:sz w:val="14"/>
              </w:rPr>
              <w:t>风险综合得分最低</w:t>
            </w:r>
          </w:p>
        </w:tc>
      </w:tr>
      <w:tr w:rsidR="00D007CE" w:rsidRPr="006A6807" w14:paraId="6356DDDB" w14:textId="77777777" w:rsidTr="006A6807">
        <w:trPr>
          <w:jc w:val="center"/>
        </w:trPr>
        <w:tc>
          <w:tcPr>
            <w:tcW w:w="557" w:type="pct"/>
            <w:vAlign w:val="center"/>
          </w:tcPr>
          <w:p w14:paraId="0B80EA08" w14:textId="77777777" w:rsidR="00D24CB0" w:rsidRDefault="00691361">
            <w:r>
              <w:rPr>
                <w:sz w:val="14"/>
              </w:rPr>
              <w:t>C_old</w:t>
            </w:r>
          </w:p>
        </w:tc>
        <w:tc>
          <w:tcPr>
            <w:tcW w:w="1107" w:type="pct"/>
            <w:vAlign w:val="center"/>
          </w:tcPr>
          <w:p w14:paraId="6B9EDA38" w14:textId="77777777" w:rsidR="00D24CB0" w:rsidRDefault="00691361">
            <w:r>
              <w:rPr>
                <w:sz w:val="14"/>
              </w:rPr>
              <w:t>旧</w:t>
            </w:r>
            <w:r>
              <w:rPr>
                <w:sz w:val="14"/>
              </w:rPr>
              <w:t>disturbance</w:t>
            </w:r>
            <w:r>
              <w:rPr>
                <w:sz w:val="14"/>
              </w:rPr>
              <w:t>保存候选</w:t>
            </w:r>
          </w:p>
        </w:tc>
        <w:tc>
          <w:tcPr>
            <w:tcW w:w="918" w:type="pct"/>
            <w:vAlign w:val="center"/>
          </w:tcPr>
          <w:p w14:paraId="482681B7" w14:textId="77777777" w:rsidR="00D24CB0" w:rsidRDefault="00691361">
            <w:r>
              <w:rPr>
                <w:sz w:val="14"/>
              </w:rPr>
              <w:t>工作面</w:t>
            </w:r>
            <w:r>
              <w:rPr>
                <w:sz w:val="14"/>
              </w:rPr>
              <w:t>13</w:t>
            </w:r>
            <w:r>
              <w:rPr>
                <w:sz w:val="14"/>
              </w:rPr>
              <w:t>个；覆盖率</w:t>
            </w:r>
            <w:r>
              <w:rPr>
                <w:sz w:val="14"/>
              </w:rPr>
              <w:t>75.06%</w:t>
            </w:r>
            <w:r>
              <w:rPr>
                <w:sz w:val="14"/>
              </w:rPr>
              <w:t>；工程效率评分</w:t>
            </w:r>
            <w:r>
              <w:rPr>
                <w:sz w:val="14"/>
              </w:rPr>
              <w:t>71.17</w:t>
            </w:r>
          </w:p>
        </w:tc>
        <w:tc>
          <w:tcPr>
            <w:tcW w:w="1139" w:type="pct"/>
            <w:vAlign w:val="center"/>
          </w:tcPr>
          <w:p w14:paraId="084B2E90" w14:textId="77777777" w:rsidR="00D24CB0" w:rsidRDefault="00691361">
            <w:r>
              <w:rPr>
                <w:sz w:val="14"/>
              </w:rPr>
              <w:t>均值</w:t>
            </w:r>
            <w:r>
              <w:rPr>
                <w:sz w:val="14"/>
              </w:rPr>
              <w:t>0.4560</w:t>
            </w:r>
            <w:r>
              <w:rPr>
                <w:sz w:val="14"/>
              </w:rPr>
              <w:t>；</w:t>
            </w:r>
            <w:r>
              <w:rPr>
                <w:sz w:val="14"/>
              </w:rPr>
              <w:t>P90=0.6472</w:t>
            </w:r>
            <w:r>
              <w:rPr>
                <w:sz w:val="14"/>
              </w:rPr>
              <w:t>；</w:t>
            </w:r>
            <w:r>
              <w:rPr>
                <w:sz w:val="14"/>
              </w:rPr>
              <w:t>ODI&gt;0.70</w:t>
            </w:r>
            <w:r>
              <w:rPr>
                <w:sz w:val="14"/>
              </w:rPr>
              <w:t>为</w:t>
            </w:r>
            <w:r>
              <w:rPr>
                <w:sz w:val="14"/>
              </w:rPr>
              <w:t>0.80%</w:t>
            </w:r>
          </w:p>
        </w:tc>
        <w:tc>
          <w:tcPr>
            <w:tcW w:w="1280" w:type="pct"/>
            <w:vAlign w:val="center"/>
          </w:tcPr>
          <w:p w14:paraId="4745FF10" w14:textId="77777777" w:rsidR="00D24CB0" w:rsidRDefault="00691361">
            <w:r>
              <w:rPr>
                <w:sz w:val="14"/>
              </w:rPr>
              <w:t>旧口径候选，不作为本文</w:t>
            </w:r>
            <w:r>
              <w:rPr>
                <w:sz w:val="14"/>
              </w:rPr>
              <w:t>C</w:t>
            </w:r>
            <w:r>
              <w:rPr>
                <w:sz w:val="14"/>
              </w:rPr>
              <w:t>方案</w:t>
            </w:r>
          </w:p>
        </w:tc>
      </w:tr>
    </w:tbl>
    <w:p w14:paraId="1689FA9F" w14:textId="77777777" w:rsidR="00A046E0" w:rsidRDefault="00A046E0" w:rsidP="00A046E0">
      <w:pPr>
        <w:spacing w:after="40"/>
        <w:rPr>
          <w:rFonts w:ascii="宋体" w:hAnsi="宋体"/>
        </w:rPr>
      </w:pPr>
    </w:p>
    <w:p w14:paraId="466053FE" w14:textId="77777777" w:rsidR="00DE4743" w:rsidRPr="00DE4743" w:rsidRDefault="00DE4743" w:rsidP="00A046E0">
      <w:pPr>
        <w:pStyle w:val="12"/>
      </w:pPr>
      <w:r>
        <w:rPr>
          <w:sz w:val="21"/>
        </w:rPr>
        <w:lastRenderedPageBreak/>
        <w:t xml:space="preserve">3.2 </w:t>
      </w:r>
      <w:r>
        <w:rPr>
          <w:sz w:val="21"/>
        </w:rPr>
        <w:t>阈值与权重敏感性分析</w:t>
      </w:r>
    </w:p>
    <w:p w14:paraId="788313E2" w14:textId="77777777" w:rsidR="00DE4743" w:rsidRPr="00DE4743" w:rsidRDefault="00DE4743" w:rsidP="00DE4743">
      <w:pPr>
        <w:pStyle w:val="10"/>
        <w:spacing w:after="40"/>
        <w:ind w:firstLine="420"/>
        <w:rPr>
          <w:rFonts w:ascii="宋体" w:hAnsi="宋体"/>
        </w:rPr>
      </w:pPr>
      <w:r>
        <w:t>为检验</w:t>
      </w:r>
      <w:r>
        <w:t>ODI</w:t>
      </w:r>
      <w:r>
        <w:t>阈值设定对方案判读的影响，本文在</w:t>
      </w:r>
      <w:r>
        <w:t>0.65</w:t>
      </w:r>
      <w:r>
        <w:t>、</w:t>
      </w:r>
      <w:r>
        <w:t>0.70</w:t>
      </w:r>
      <w:r>
        <w:t>、</w:t>
      </w:r>
      <w:r>
        <w:t>0.75</w:t>
      </w:r>
      <w:r>
        <w:t>和</w:t>
      </w:r>
      <w:r>
        <w:t>0.80</w:t>
      </w:r>
      <w:r>
        <w:t>四组阈值下重新统计</w:t>
      </w:r>
      <w:r>
        <w:t>A</w:t>
      </w:r>
      <w:r>
        <w:t>、</w:t>
      </w:r>
      <w:r>
        <w:t>B</w:t>
      </w:r>
      <w:r>
        <w:t>、</w:t>
      </w:r>
      <w:r>
        <w:t>C</w:t>
      </w:r>
      <w:r>
        <w:t>方案的超阈值暴露比例。当阈值为</w:t>
      </w:r>
      <w:r>
        <w:t>0.65</w:t>
      </w:r>
      <w:r>
        <w:t>时，</w:t>
      </w:r>
      <w:r>
        <w:t>A</w:t>
      </w:r>
      <w:r>
        <w:t>、</w:t>
      </w:r>
      <w:r>
        <w:t>B</w:t>
      </w:r>
      <w:r>
        <w:t>、</w:t>
      </w:r>
      <w:r>
        <w:t>C</w:t>
      </w:r>
      <w:r>
        <w:t>方案超限比例分别为</w:t>
      </w:r>
      <w:r>
        <w:t>7.42%</w:t>
      </w:r>
      <w:r>
        <w:t>、</w:t>
      </w:r>
      <w:r>
        <w:t>9.09%</w:t>
      </w:r>
      <w:r>
        <w:t>和</w:t>
      </w:r>
      <w:r>
        <w:t>6.31%</w:t>
      </w:r>
      <w:r>
        <w:t>；当阈值为</w:t>
      </w:r>
      <w:r>
        <w:t>0.70</w:t>
      </w:r>
      <w:r>
        <w:t>时，三者分别为</w:t>
      </w:r>
      <w:r>
        <w:t>0.44%</w:t>
      </w:r>
      <w:r>
        <w:t>、</w:t>
      </w:r>
      <w:r>
        <w:t>0.56%</w:t>
      </w:r>
      <w:r>
        <w:t>和</w:t>
      </w:r>
      <w:r>
        <w:t>1.22%</w:t>
      </w:r>
      <w:r>
        <w:t>；当阈值提高至</w:t>
      </w:r>
      <w:r>
        <w:t>0.75</w:t>
      </w:r>
      <w:r>
        <w:t>和</w:t>
      </w:r>
      <w:r>
        <w:t>0.80</w:t>
      </w:r>
      <w:r>
        <w:t>时，各方案超限比例均明显下降。该结果说明，超限比例对阈值设定较敏感，不能脱离</w:t>
      </w:r>
      <w:r>
        <w:t>ODI</w:t>
      </w:r>
      <w:r>
        <w:t>均值和</w:t>
      </w:r>
      <w:r>
        <w:t>P90</w:t>
      </w:r>
      <w:r>
        <w:t>单独作为方案优选依据。</w:t>
      </w:r>
    </w:p>
    <w:p w14:paraId="579EB26C" w14:textId="77777777" w:rsidR="00DE4743" w:rsidRPr="00DE4743" w:rsidRDefault="00DE4743" w:rsidP="00DE4743">
      <w:pPr>
        <w:pStyle w:val="10"/>
        <w:spacing w:after="40"/>
        <w:ind w:firstLine="420"/>
        <w:rPr>
          <w:rFonts w:ascii="宋体" w:hAnsi="宋体"/>
        </w:rPr>
      </w:pPr>
      <w:r>
        <w:t>权重敏感性分析进一步表明，在基准权重、地表沉陷分量</w:t>
      </w:r>
      <w:r>
        <w:t>±10%</w:t>
      </w:r>
      <w:r>
        <w:t>、含水层扰动分量</w:t>
      </w:r>
      <w:r>
        <w:t>±10%</w:t>
      </w:r>
      <w:r>
        <w:t>、上行开采分量</w:t>
      </w:r>
      <w:r>
        <w:t>±10%</w:t>
      </w:r>
      <w:r>
        <w:t>以及含水层专项权重条件下，</w:t>
      </w:r>
      <w:r>
        <w:t>C</w:t>
      </w:r>
      <w:r>
        <w:t>方案的风险综合得分均低于</w:t>
      </w:r>
      <w:r>
        <w:t>A</w:t>
      </w:r>
      <w:r>
        <w:t>、</w:t>
      </w:r>
      <w:r>
        <w:t>B</w:t>
      </w:r>
      <w:r>
        <w:t>方案。基准权重下</w:t>
      </w:r>
      <w:r>
        <w:t>A</w:t>
      </w:r>
      <w:r>
        <w:t>、</w:t>
      </w:r>
      <w:r>
        <w:t>B</w:t>
      </w:r>
      <w:r>
        <w:t>、</w:t>
      </w:r>
      <w:r>
        <w:t>C</w:t>
      </w:r>
      <w:r>
        <w:t>风险综合得分分别为</w:t>
      </w:r>
      <w:r>
        <w:t>0.4481</w:t>
      </w:r>
      <w:r>
        <w:t>、</w:t>
      </w:r>
      <w:r>
        <w:t>0.4546</w:t>
      </w:r>
      <w:r>
        <w:t>和</w:t>
      </w:r>
      <w:r>
        <w:t>0.4449</w:t>
      </w:r>
      <w:r>
        <w:t>；在含水层专项权重</w:t>
      </w:r>
      <w:r>
        <w:t>0.15/0.25/0.60</w:t>
      </w:r>
      <w:r>
        <w:t>下，三者分别为</w:t>
      </w:r>
      <w:r>
        <w:t>0.4505</w:t>
      </w:r>
      <w:r>
        <w:t>、</w:t>
      </w:r>
      <w:r>
        <w:t>0.4564</w:t>
      </w:r>
      <w:r>
        <w:t>和</w:t>
      </w:r>
      <w:r>
        <w:t>0.4498</w:t>
      </w:r>
      <w:r>
        <w:t>。</w:t>
      </w:r>
    </w:p>
    <w:p w14:paraId="7E2FB3AB" w14:textId="77777777" w:rsidR="00DE4743" w:rsidRPr="00DE4743" w:rsidRDefault="00DE4743" w:rsidP="00DE4743">
      <w:pPr>
        <w:pStyle w:val="10"/>
        <w:spacing w:after="40"/>
        <w:ind w:firstLine="420"/>
        <w:rPr>
          <w:rFonts w:ascii="宋体" w:hAnsi="宋体"/>
        </w:rPr>
      </w:pPr>
      <w:r>
        <w:t>需要注意，权重敏感性所表明的是当前候选池和扰动范围内的排序一致性，而不是</w:t>
      </w:r>
      <w:r>
        <w:t>ODI</w:t>
      </w:r>
      <w:r>
        <w:t>权重具有普适工程常数属性。因此，本文把敏感性分析作为方案排序可靠性的内部校核，用于回应权重和阈值人为设定可能导致结论波动的问题。</w:t>
      </w:r>
    </w:p>
    <w:p w14:paraId="070CB08B" w14:textId="77777777" w:rsidR="00DE4743" w:rsidRPr="00DE4743" w:rsidRDefault="00DE4743" w:rsidP="00DE4743">
      <w:pPr>
        <w:pStyle w:val="10"/>
        <w:spacing w:after="40"/>
        <w:ind w:firstLine="420"/>
        <w:rPr>
          <w:rFonts w:ascii="宋体" w:hAnsi="宋体"/>
        </w:rPr>
      </w:pPr>
      <w:r>
        <w:t>综合来看，</w:t>
      </w:r>
      <w:r>
        <w:t>C</w:t>
      </w:r>
      <w:r>
        <w:t>方案并不是覆盖率最大或超限比例在所有阈值下都最低的方案，而是在</w:t>
      </w:r>
      <w:r>
        <w:t>ODI</w:t>
      </w:r>
      <w:r>
        <w:t>均值、</w:t>
      </w:r>
      <w:r>
        <w:t>P90</w:t>
      </w:r>
      <w:r>
        <w:t>和风险综合得分联合判据下表现较优的低扰动候选。这一结果强化了本文方法的核心作用：把不同目标方案放入同一风险统计框架中比较，并把单一指标无法解释的风险</w:t>
      </w:r>
      <w:r>
        <w:t>-</w:t>
      </w:r>
      <w:r>
        <w:t>收益取舍显式呈现。</w:t>
      </w:r>
    </w:p>
    <w:p w14:paraId="0CDD7D12" w14:textId="77777777" w:rsidR="00DE4743" w:rsidRDefault="00DE4743" w:rsidP="00DE4743">
      <w:pPr>
        <w:pStyle w:val="10"/>
        <w:spacing w:after="40"/>
        <w:ind w:firstLine="420"/>
        <w:rPr>
          <w:rFonts w:ascii="宋体" w:hAnsi="宋体"/>
        </w:rPr>
      </w:pPr>
      <w:r>
        <w:t>综上，研究区样例表明，统一</w:t>
      </w:r>
      <w:r>
        <w:t>ODI</w:t>
      </w:r>
      <w:r>
        <w:t>场不仅可以生成候选方案的均值、</w:t>
      </w:r>
      <w:r>
        <w:t>P90</w:t>
      </w:r>
      <w:r>
        <w:t>和超阈值暴露比例，还能够支撑阈值敏感性和权重敏感性复核。当前结果已补齐</w:t>
      </w:r>
      <w:r>
        <w:t>A</w:t>
      </w:r>
      <w:r>
        <w:t>、</w:t>
      </w:r>
      <w:r>
        <w:t>B</w:t>
      </w:r>
      <w:r>
        <w:t>、</w:t>
      </w:r>
      <w:r>
        <w:t>C</w:t>
      </w:r>
      <w:r>
        <w:t>方案的统一</w:t>
      </w:r>
      <w:r>
        <w:t>ODI</w:t>
      </w:r>
      <w:r>
        <w:t>统计和全域</w:t>
      </w:r>
      <w:r>
        <w:t>4480</w:t>
      </w:r>
      <w:r>
        <w:t>栅格统计，但仍不宜把单一样例结果表述为真实矿井条件下的最终优选结论。</w:t>
      </w:r>
    </w:p>
    <w:p w14:paraId="2813D456" w14:textId="77777777" w:rsidR="00DE4743" w:rsidRDefault="00DE4743" w:rsidP="00DE4743">
      <w:pPr>
        <w:pStyle w:val="10"/>
        <w:spacing w:after="40"/>
        <w:ind w:firstLine="420"/>
        <w:rPr>
          <w:rFonts w:ascii="宋体" w:hAnsi="宋体"/>
        </w:rPr>
      </w:pPr>
      <w:r>
        <w:t>因此，本案例的验证强度定位为</w:t>
      </w:r>
      <w:r>
        <w:t>“</w:t>
      </w:r>
      <w:r>
        <w:t>方法链可运行性与内部对照验证</w:t>
      </w:r>
      <w:r>
        <w:t>”</w:t>
      </w:r>
      <w:r>
        <w:t>：它表明离散钻孔、连续参数场、</w:t>
      </w:r>
      <w:r>
        <w:t>ODI</w:t>
      </w:r>
      <w:r>
        <w:t>风险场和候选方案对象可以在同一口径下完成计算与比较，并能揭示不同目标偏好下的风险</w:t>
      </w:r>
      <w:r>
        <w:t>-</w:t>
      </w:r>
      <w:r>
        <w:t>收益权衡；但它尚不能替代真实矿井条件下的人工经验方案对照、现场生产约束闭环和开采后实测反馈校核。</w:t>
      </w:r>
    </w:p>
    <w:p w14:paraId="1BC5B4F2" w14:textId="77777777" w:rsidR="00081B10" w:rsidRDefault="00081B10" w:rsidP="00081B10">
      <w:pPr>
        <w:pStyle w:val="15"/>
        <w:spacing w:after="40"/>
        <w:ind w:firstLine="420"/>
        <w:rPr>
          <w:rFonts w:ascii="宋体" w:hAnsi="宋体"/>
        </w:rPr>
      </w:pPr>
      <w:r>
        <w:t>表</w:t>
      </w:r>
      <w:r>
        <w:t>4 ODI</w:t>
      </w:r>
      <w:r>
        <w:t>统计口径与敏感性复核状态</w:t>
      </w:r>
      <w:r>
        <w:br/>
        <w:t>Table 4 ODI statistical scope and sensitivity verification status</w:t>
      </w:r>
    </w:p>
    <w:tbl>
      <w:tblPr>
        <w:tblW w:w="5000" w:type="pct"/>
        <w:jc w:val="center"/>
        <w:tblCellMar>
          <w:left w:w="10" w:type="dxa"/>
          <w:right w:w="10" w:type="dxa"/>
        </w:tblCellMar>
        <w:tblLook w:val="04A0" w:firstRow="1" w:lastRow="0" w:firstColumn="1" w:lastColumn="0" w:noHBand="0" w:noVBand="1"/>
      </w:tblPr>
      <w:tblGrid>
        <w:gridCol w:w="557"/>
        <w:gridCol w:w="1797"/>
        <w:gridCol w:w="2025"/>
        <w:gridCol w:w="3228"/>
        <w:gridCol w:w="2051"/>
      </w:tblGrid>
      <w:tr w:rsidR="00D007CE" w:rsidRPr="006A6807" w14:paraId="37CB5A46" w14:textId="77777777" w:rsidTr="006A6807">
        <w:trPr>
          <w:jc w:val="center"/>
        </w:trPr>
        <w:tc>
          <w:tcPr>
            <w:tcW w:w="585" w:type="pct"/>
            <w:tcBorders>
              <w:top w:val="single" w:sz="8" w:space="0" w:color="000000"/>
              <w:bottom w:val="single" w:sz="6" w:space="0" w:color="000000"/>
            </w:tcBorders>
            <w:vAlign w:val="center"/>
          </w:tcPr>
          <w:p w14:paraId="0ABB6941" w14:textId="77777777" w:rsidR="00D24CB0" w:rsidRDefault="00691361">
            <w:r>
              <w:rPr>
                <w:sz w:val="14"/>
              </w:rPr>
              <w:t>项目</w:t>
            </w:r>
          </w:p>
        </w:tc>
        <w:tc>
          <w:tcPr>
            <w:tcW w:w="1227" w:type="pct"/>
            <w:tcBorders>
              <w:top w:val="single" w:sz="8" w:space="0" w:color="000000"/>
              <w:bottom w:val="single" w:sz="6" w:space="0" w:color="000000"/>
            </w:tcBorders>
            <w:vAlign w:val="center"/>
          </w:tcPr>
          <w:p w14:paraId="52C1A513" w14:textId="77777777" w:rsidR="00D24CB0" w:rsidRDefault="00691361">
            <w:r>
              <w:rPr>
                <w:sz w:val="14"/>
              </w:rPr>
              <w:t>结果</w:t>
            </w:r>
          </w:p>
        </w:tc>
        <w:tc>
          <w:tcPr>
            <w:tcW w:w="1345" w:type="pct"/>
            <w:tcBorders>
              <w:top w:val="single" w:sz="8" w:space="0" w:color="000000"/>
              <w:bottom w:val="single" w:sz="6" w:space="0" w:color="000000"/>
            </w:tcBorders>
            <w:vAlign w:val="center"/>
          </w:tcPr>
          <w:p w14:paraId="69E6A829" w14:textId="77777777" w:rsidR="00D24CB0" w:rsidRDefault="00691361">
            <w:r>
              <w:rPr>
                <w:sz w:val="14"/>
              </w:rPr>
              <w:t>用途</w:t>
            </w:r>
          </w:p>
        </w:tc>
        <w:tc>
          <w:tcPr>
            <w:tcW w:w="485" w:type="pct"/>
            <w:tcBorders>
              <w:top w:val="single" w:sz="8" w:space="0" w:color="000000"/>
              <w:bottom w:val="single" w:sz="6" w:space="0" w:color="000000"/>
            </w:tcBorders>
            <w:vAlign w:val="center"/>
          </w:tcPr>
          <w:p w14:paraId="50CE1A10" w14:textId="77777777" w:rsidR="00D24CB0" w:rsidRDefault="00691361">
            <w:r>
              <w:rPr>
                <w:sz w:val="14"/>
              </w:rPr>
              <w:t>数据文件</w:t>
            </w:r>
          </w:p>
        </w:tc>
        <w:tc>
          <w:tcPr>
            <w:tcW w:w="1359" w:type="pct"/>
            <w:tcBorders>
              <w:top w:val="single" w:sz="8" w:space="0" w:color="000000"/>
              <w:bottom w:val="single" w:sz="6" w:space="0" w:color="000000"/>
            </w:tcBorders>
            <w:vAlign w:val="center"/>
          </w:tcPr>
          <w:p w14:paraId="0DCACA9B" w14:textId="77777777" w:rsidR="00D24CB0" w:rsidRDefault="00691361">
            <w:r>
              <w:rPr>
                <w:sz w:val="14"/>
              </w:rPr>
              <w:t>说明</w:t>
            </w:r>
          </w:p>
        </w:tc>
      </w:tr>
      <w:tr w:rsidR="00D007CE" w:rsidRPr="006A6807" w14:paraId="3FFF04B6" w14:textId="77777777" w:rsidTr="006A6807">
        <w:trPr>
          <w:jc w:val="center"/>
        </w:trPr>
        <w:tc>
          <w:tcPr>
            <w:tcW w:w="585" w:type="pct"/>
            <w:vAlign w:val="center"/>
          </w:tcPr>
          <w:p w14:paraId="0F531197" w14:textId="77777777" w:rsidR="00D24CB0" w:rsidRDefault="00691361">
            <w:r>
              <w:rPr>
                <w:sz w:val="14"/>
              </w:rPr>
              <w:t>全域</w:t>
            </w:r>
            <w:r>
              <w:rPr>
                <w:sz w:val="14"/>
              </w:rPr>
              <w:t>ODI</w:t>
            </w:r>
            <w:r>
              <w:rPr>
                <w:sz w:val="14"/>
              </w:rPr>
              <w:t>场</w:t>
            </w:r>
          </w:p>
        </w:tc>
        <w:tc>
          <w:tcPr>
            <w:tcW w:w="1227" w:type="pct"/>
            <w:vAlign w:val="center"/>
          </w:tcPr>
          <w:p w14:paraId="00D67F63" w14:textId="77777777" w:rsidR="00D24CB0" w:rsidRDefault="00691361">
            <w:r>
              <w:rPr>
                <w:sz w:val="14"/>
              </w:rPr>
              <w:t>80×56</w:t>
            </w:r>
            <w:r>
              <w:rPr>
                <w:sz w:val="14"/>
              </w:rPr>
              <w:t>；</w:t>
            </w:r>
            <w:r>
              <w:rPr>
                <w:sz w:val="14"/>
              </w:rPr>
              <w:t>4480</w:t>
            </w:r>
            <w:r>
              <w:rPr>
                <w:sz w:val="14"/>
              </w:rPr>
              <w:t>栅格；均值</w:t>
            </w:r>
            <w:r>
              <w:rPr>
                <w:sz w:val="14"/>
              </w:rPr>
              <w:t>0.4669</w:t>
            </w:r>
            <w:r>
              <w:rPr>
                <w:sz w:val="14"/>
              </w:rPr>
              <w:t>；</w:t>
            </w:r>
            <w:r>
              <w:rPr>
                <w:sz w:val="14"/>
              </w:rPr>
              <w:t>P90=0.7474</w:t>
            </w:r>
            <w:r>
              <w:rPr>
                <w:sz w:val="14"/>
              </w:rPr>
              <w:t>；</w:t>
            </w:r>
            <w:r>
              <w:rPr>
                <w:sz w:val="14"/>
              </w:rPr>
              <w:t>ODI&gt;0.70</w:t>
            </w:r>
            <w:r>
              <w:rPr>
                <w:sz w:val="14"/>
              </w:rPr>
              <w:t>为</w:t>
            </w:r>
            <w:r>
              <w:rPr>
                <w:sz w:val="14"/>
              </w:rPr>
              <w:t>15.89%</w:t>
            </w:r>
          </w:p>
        </w:tc>
        <w:tc>
          <w:tcPr>
            <w:tcW w:w="1345" w:type="pct"/>
            <w:vAlign w:val="center"/>
          </w:tcPr>
          <w:p w14:paraId="3FE1AEEA" w14:textId="77777777" w:rsidR="00D24CB0" w:rsidRDefault="00691361">
            <w:r>
              <w:rPr>
                <w:sz w:val="14"/>
              </w:rPr>
              <w:t>研究区风险背景</w:t>
            </w:r>
          </w:p>
        </w:tc>
        <w:tc>
          <w:tcPr>
            <w:tcW w:w="485" w:type="pct"/>
            <w:vAlign w:val="center"/>
          </w:tcPr>
          <w:p w14:paraId="50001875" w14:textId="77777777" w:rsidR="00D24CB0" w:rsidRDefault="00691361">
            <w:r>
              <w:rPr>
                <w:sz w:val="14"/>
              </w:rPr>
              <w:t>000_mindong_layout_odi_field.json</w:t>
            </w:r>
          </w:p>
        </w:tc>
        <w:tc>
          <w:tcPr>
            <w:tcW w:w="1359" w:type="pct"/>
            <w:vAlign w:val="center"/>
          </w:tcPr>
          <w:p w14:paraId="2EB71074" w14:textId="77777777" w:rsidR="00D24CB0" w:rsidRDefault="00691361">
            <w:r>
              <w:rPr>
                <w:sz w:val="14"/>
              </w:rPr>
              <w:t>已复核</w:t>
            </w:r>
          </w:p>
        </w:tc>
      </w:tr>
      <w:tr w:rsidR="00D007CE" w:rsidRPr="006A6807" w14:paraId="2E47BED1" w14:textId="77777777" w:rsidTr="006A6807">
        <w:trPr>
          <w:jc w:val="center"/>
        </w:trPr>
        <w:tc>
          <w:tcPr>
            <w:tcW w:w="585" w:type="pct"/>
            <w:vAlign w:val="center"/>
          </w:tcPr>
          <w:p w14:paraId="35649A67" w14:textId="77777777" w:rsidR="00D24CB0" w:rsidRDefault="00691361">
            <w:r>
              <w:rPr>
                <w:sz w:val="14"/>
              </w:rPr>
              <w:t>统一方案对比</w:t>
            </w:r>
          </w:p>
        </w:tc>
        <w:tc>
          <w:tcPr>
            <w:tcW w:w="1227" w:type="pct"/>
            <w:vAlign w:val="center"/>
          </w:tcPr>
          <w:p w14:paraId="6F84248D" w14:textId="77777777" w:rsidR="00D24CB0" w:rsidRDefault="00691361">
            <w:r>
              <w:rPr>
                <w:sz w:val="14"/>
              </w:rPr>
              <w:t>A/B/C</w:t>
            </w:r>
            <w:r>
              <w:rPr>
                <w:sz w:val="14"/>
              </w:rPr>
              <w:t>均值为</w:t>
            </w:r>
            <w:r>
              <w:rPr>
                <w:sz w:val="14"/>
              </w:rPr>
              <w:t>0.4463/0.4552/0.4416</w:t>
            </w:r>
            <w:r>
              <w:rPr>
                <w:sz w:val="14"/>
              </w:rPr>
              <w:t>；</w:t>
            </w:r>
            <w:r>
              <w:rPr>
                <w:sz w:val="14"/>
              </w:rPr>
              <w:t>P90</w:t>
            </w:r>
            <w:r>
              <w:rPr>
                <w:sz w:val="14"/>
              </w:rPr>
              <w:t>为</w:t>
            </w:r>
            <w:r>
              <w:rPr>
                <w:sz w:val="14"/>
              </w:rPr>
              <w:t>0.6407/0.6462/0.6353</w:t>
            </w:r>
          </w:p>
        </w:tc>
        <w:tc>
          <w:tcPr>
            <w:tcW w:w="1345" w:type="pct"/>
            <w:vAlign w:val="center"/>
          </w:tcPr>
          <w:p w14:paraId="3B7B2BD6" w14:textId="77777777" w:rsidR="00D24CB0" w:rsidRDefault="00691361">
            <w:r>
              <w:rPr>
                <w:sz w:val="14"/>
              </w:rPr>
              <w:t>方案级风险比较</w:t>
            </w:r>
          </w:p>
        </w:tc>
        <w:tc>
          <w:tcPr>
            <w:tcW w:w="485" w:type="pct"/>
            <w:vAlign w:val="center"/>
          </w:tcPr>
          <w:p w14:paraId="7F4D78E5" w14:textId="77777777" w:rsidR="00D24CB0" w:rsidRDefault="00691361">
            <w:r>
              <w:rPr>
                <w:sz w:val="14"/>
              </w:rPr>
              <w:t>coal_sci_abc_odi_unified_stats_20260418.csv</w:t>
            </w:r>
          </w:p>
        </w:tc>
        <w:tc>
          <w:tcPr>
            <w:tcW w:w="1359" w:type="pct"/>
            <w:vAlign w:val="center"/>
          </w:tcPr>
          <w:p w14:paraId="5A23E652" w14:textId="77777777" w:rsidR="00D24CB0" w:rsidRDefault="00691361">
            <w:r>
              <w:rPr>
                <w:sz w:val="14"/>
              </w:rPr>
              <w:t>同一</w:t>
            </w:r>
            <w:r>
              <w:rPr>
                <w:sz w:val="14"/>
              </w:rPr>
              <w:t>ODI</w:t>
            </w:r>
            <w:r>
              <w:rPr>
                <w:sz w:val="14"/>
              </w:rPr>
              <w:t>场采样</w:t>
            </w:r>
          </w:p>
        </w:tc>
      </w:tr>
      <w:tr w:rsidR="00D007CE" w:rsidRPr="006A6807" w14:paraId="24122C1A" w14:textId="77777777" w:rsidTr="006A6807">
        <w:trPr>
          <w:jc w:val="center"/>
        </w:trPr>
        <w:tc>
          <w:tcPr>
            <w:tcW w:w="585" w:type="pct"/>
            <w:vAlign w:val="center"/>
          </w:tcPr>
          <w:p w14:paraId="11702867" w14:textId="77777777" w:rsidR="00D24CB0" w:rsidRDefault="00691361">
            <w:r>
              <w:rPr>
                <w:sz w:val="14"/>
              </w:rPr>
              <w:t>阈值敏感性</w:t>
            </w:r>
          </w:p>
        </w:tc>
        <w:tc>
          <w:tcPr>
            <w:tcW w:w="1227" w:type="pct"/>
            <w:vAlign w:val="center"/>
          </w:tcPr>
          <w:p w14:paraId="16CAAE0B" w14:textId="77777777" w:rsidR="00D24CB0" w:rsidRDefault="00691361">
            <w:r>
              <w:rPr>
                <w:sz w:val="14"/>
              </w:rPr>
              <w:t>阈值</w:t>
            </w:r>
            <w:r>
              <w:rPr>
                <w:sz w:val="14"/>
              </w:rPr>
              <w:t>0.65/0.70/0.75/0.80</w:t>
            </w:r>
            <w:r>
              <w:rPr>
                <w:sz w:val="14"/>
              </w:rPr>
              <w:t>下，</w:t>
            </w:r>
            <w:r>
              <w:rPr>
                <w:sz w:val="14"/>
              </w:rPr>
              <w:t>C</w:t>
            </w:r>
            <w:r>
              <w:rPr>
                <w:sz w:val="14"/>
              </w:rPr>
              <w:t>超限率为</w:t>
            </w:r>
            <w:r>
              <w:rPr>
                <w:sz w:val="14"/>
              </w:rPr>
              <w:t>6.31%/1.22%/0.13%/0.00%</w:t>
            </w:r>
          </w:p>
        </w:tc>
        <w:tc>
          <w:tcPr>
            <w:tcW w:w="1345" w:type="pct"/>
            <w:vAlign w:val="center"/>
          </w:tcPr>
          <w:p w14:paraId="78839F6E" w14:textId="77777777" w:rsidR="00D24CB0" w:rsidRDefault="00691361">
            <w:r>
              <w:rPr>
                <w:sz w:val="14"/>
              </w:rPr>
              <w:t>检验阈值影响</w:t>
            </w:r>
          </w:p>
        </w:tc>
        <w:tc>
          <w:tcPr>
            <w:tcW w:w="485" w:type="pct"/>
            <w:vAlign w:val="center"/>
          </w:tcPr>
          <w:p w14:paraId="6C882B14" w14:textId="77777777" w:rsidR="00D24CB0" w:rsidRDefault="00691361">
            <w:r>
              <w:rPr>
                <w:sz w:val="14"/>
              </w:rPr>
              <w:t>coal_sci_threshold_sensitivity_candidates_20260418.csv</w:t>
            </w:r>
          </w:p>
        </w:tc>
        <w:tc>
          <w:tcPr>
            <w:tcW w:w="1359" w:type="pct"/>
            <w:vAlign w:val="center"/>
          </w:tcPr>
          <w:p w14:paraId="3EE9A2AA" w14:textId="77777777" w:rsidR="00D24CB0" w:rsidRDefault="00691361">
            <w:r>
              <w:rPr>
                <w:sz w:val="14"/>
              </w:rPr>
              <w:t>A</w:t>
            </w:r>
            <w:r>
              <w:rPr>
                <w:sz w:val="14"/>
              </w:rPr>
              <w:t>、</w:t>
            </w:r>
            <w:r>
              <w:rPr>
                <w:sz w:val="14"/>
              </w:rPr>
              <w:t>B</w:t>
            </w:r>
            <w:r>
              <w:rPr>
                <w:sz w:val="14"/>
              </w:rPr>
              <w:t>同步计算</w:t>
            </w:r>
          </w:p>
        </w:tc>
      </w:tr>
      <w:tr w:rsidR="00D007CE" w:rsidRPr="006A6807" w14:paraId="7583C918" w14:textId="77777777" w:rsidTr="006A6807">
        <w:trPr>
          <w:jc w:val="center"/>
        </w:trPr>
        <w:tc>
          <w:tcPr>
            <w:tcW w:w="585" w:type="pct"/>
            <w:vAlign w:val="center"/>
          </w:tcPr>
          <w:p w14:paraId="68329AD7" w14:textId="77777777" w:rsidR="00D24CB0" w:rsidRDefault="00691361">
            <w:r>
              <w:rPr>
                <w:sz w:val="14"/>
              </w:rPr>
              <w:t>权重敏感性</w:t>
            </w:r>
          </w:p>
        </w:tc>
        <w:tc>
          <w:tcPr>
            <w:tcW w:w="1227" w:type="pct"/>
            <w:vAlign w:val="center"/>
          </w:tcPr>
          <w:p w14:paraId="786B0930" w14:textId="77777777" w:rsidR="00D24CB0" w:rsidRDefault="00691361">
            <w:r>
              <w:rPr>
                <w:sz w:val="14"/>
              </w:rPr>
              <w:t>基准、</w:t>
            </w:r>
            <w:r>
              <w:rPr>
                <w:sz w:val="14"/>
              </w:rPr>
              <w:t>±10%</w:t>
            </w:r>
            <w:r>
              <w:rPr>
                <w:sz w:val="14"/>
              </w:rPr>
              <w:t>扰动和含水层专项权重下，风险综合得分表现为</w:t>
            </w:r>
            <w:r>
              <w:rPr>
                <w:sz w:val="14"/>
              </w:rPr>
              <w:t>C</w:t>
            </w:r>
            <w:r>
              <w:rPr>
                <w:sz w:val="14"/>
              </w:rPr>
              <w:t>最低、</w:t>
            </w:r>
            <w:r>
              <w:rPr>
                <w:sz w:val="14"/>
              </w:rPr>
              <w:t>A</w:t>
            </w:r>
            <w:r>
              <w:rPr>
                <w:sz w:val="14"/>
              </w:rPr>
              <w:t>次之、</w:t>
            </w:r>
            <w:r>
              <w:rPr>
                <w:sz w:val="14"/>
              </w:rPr>
              <w:t>B</w:t>
            </w:r>
            <w:r>
              <w:rPr>
                <w:sz w:val="14"/>
              </w:rPr>
              <w:t>最高</w:t>
            </w:r>
          </w:p>
        </w:tc>
        <w:tc>
          <w:tcPr>
            <w:tcW w:w="1345" w:type="pct"/>
            <w:vAlign w:val="center"/>
          </w:tcPr>
          <w:p w14:paraId="3D4C6389" w14:textId="77777777" w:rsidR="00D24CB0" w:rsidRDefault="00691361">
            <w:r>
              <w:rPr>
                <w:sz w:val="14"/>
              </w:rPr>
              <w:t>检验权重稳定性</w:t>
            </w:r>
          </w:p>
        </w:tc>
        <w:tc>
          <w:tcPr>
            <w:tcW w:w="485" w:type="pct"/>
            <w:vAlign w:val="center"/>
          </w:tcPr>
          <w:p w14:paraId="3693443B" w14:textId="77777777" w:rsidR="00D24CB0" w:rsidRDefault="00691361">
            <w:r>
              <w:rPr>
                <w:sz w:val="14"/>
              </w:rPr>
              <w:t>coal_sci_weight_sensitivity_candidates_20260418.csv</w:t>
            </w:r>
          </w:p>
        </w:tc>
        <w:tc>
          <w:tcPr>
            <w:tcW w:w="1359" w:type="pct"/>
            <w:vAlign w:val="center"/>
          </w:tcPr>
          <w:p w14:paraId="4AAD4D85" w14:textId="77777777" w:rsidR="00D24CB0" w:rsidRDefault="00691361">
            <w:r>
              <w:rPr>
                <w:sz w:val="14"/>
              </w:rPr>
              <w:t>风险得分越小越优</w:t>
            </w:r>
          </w:p>
        </w:tc>
      </w:tr>
      <w:tr w:rsidR="00D007CE" w:rsidRPr="006A6807" w14:paraId="3F8DE04F" w14:textId="77777777" w:rsidTr="006A6807">
        <w:trPr>
          <w:jc w:val="center"/>
        </w:trPr>
        <w:tc>
          <w:tcPr>
            <w:tcW w:w="585" w:type="pct"/>
            <w:vAlign w:val="center"/>
          </w:tcPr>
          <w:p w14:paraId="5BC69F7E" w14:textId="77777777" w:rsidR="00D24CB0" w:rsidRDefault="00691361">
            <w:r>
              <w:rPr>
                <w:sz w:val="14"/>
              </w:rPr>
              <w:t>经济评价</w:t>
            </w:r>
          </w:p>
        </w:tc>
        <w:tc>
          <w:tcPr>
            <w:tcW w:w="1227" w:type="pct"/>
            <w:vAlign w:val="center"/>
          </w:tcPr>
          <w:p w14:paraId="6DE195B0" w14:textId="77777777" w:rsidR="00D24CB0" w:rsidRDefault="00691361">
            <w:r>
              <w:rPr>
                <w:sz w:val="14"/>
              </w:rPr>
              <w:t>仅保留输入关系</w:t>
            </w:r>
          </w:p>
        </w:tc>
        <w:tc>
          <w:tcPr>
            <w:tcW w:w="1345" w:type="pct"/>
            <w:vAlign w:val="center"/>
          </w:tcPr>
          <w:p w14:paraId="023876E1" w14:textId="77777777" w:rsidR="00D24CB0" w:rsidRDefault="00691361">
            <w:r>
              <w:rPr>
                <w:sz w:val="14"/>
              </w:rPr>
              <w:t>下游接口说明</w:t>
            </w:r>
          </w:p>
        </w:tc>
        <w:tc>
          <w:tcPr>
            <w:tcW w:w="485" w:type="pct"/>
            <w:vAlign w:val="center"/>
          </w:tcPr>
          <w:p w14:paraId="4B35459E" w14:textId="77777777" w:rsidR="00D24CB0" w:rsidRDefault="00691361">
            <w:r>
              <w:rPr>
                <w:sz w:val="14"/>
              </w:rPr>
              <w:t>规划对象与接续参数</w:t>
            </w:r>
          </w:p>
        </w:tc>
        <w:tc>
          <w:tcPr>
            <w:tcW w:w="1359" w:type="pct"/>
            <w:vAlign w:val="center"/>
          </w:tcPr>
          <w:p w14:paraId="55BC9ADC" w14:textId="77777777" w:rsidR="00D24CB0" w:rsidRDefault="00691361">
            <w:r>
              <w:rPr>
                <w:sz w:val="14"/>
              </w:rPr>
              <w:t>不写未经独立导出的</w:t>
            </w:r>
            <w:r>
              <w:rPr>
                <w:sz w:val="14"/>
              </w:rPr>
              <w:t>NPV</w:t>
            </w:r>
            <w:r>
              <w:rPr>
                <w:sz w:val="14"/>
              </w:rPr>
              <w:t>和回收期</w:t>
            </w:r>
          </w:p>
        </w:tc>
      </w:tr>
    </w:tbl>
    <w:p w14:paraId="40E3103D" w14:textId="77777777" w:rsidR="007E22B6" w:rsidRDefault="00DE4743" w:rsidP="00A046E0">
      <w:pPr>
        <w:pStyle w:val="11"/>
      </w:pPr>
      <w:r>
        <w:lastRenderedPageBreak/>
        <w:t xml:space="preserve">3.3 </w:t>
      </w:r>
      <w:r>
        <w:t>规划结果传递与评价边界</w:t>
      </w:r>
    </w:p>
    <w:p w14:paraId="61F2D052" w14:textId="77777777" w:rsidR="007E22B6" w:rsidRDefault="00DE4743" w:rsidP="00A046E0">
      <w:pPr>
        <w:pStyle w:val="11"/>
      </w:pPr>
      <w:r>
        <w:t>本文方法的一个重要特点，是不把采区规划的几何布局视为终点，而是强调规划结果可以继续作为采掘接续和工程经济评价的上游输入。煤矿智能化技术体系与三维地质建模研究已经将工作面接续设计、储量计算和设备配套纳入数据化流程</w:t>
      </w:r>
      <w:r>
        <w:t>[28,31-32]</w:t>
      </w:r>
      <w:r>
        <w:t>，煤矿地下水库储水空间、库容和调度研究也说明，采动空间对象可继续服务于后续水资源调控和风险管理</w:t>
      </w:r>
      <w:r>
        <w:t>[42-47]</w:t>
      </w:r>
      <w:r>
        <w:t>。在本样例中，工作面边界、巷道路径、推进长度、布置面积和</w:t>
      </w:r>
      <w:r>
        <w:t>ODI</w:t>
      </w:r>
      <w:r>
        <w:t>统计量均已形成可传递的规划结果，后续环节可据此组织生产顺序、产量核算和经济评价。</w:t>
      </w:r>
    </w:p>
    <w:p w14:paraId="3B2EC3AA" w14:textId="77777777" w:rsidR="007E22B6" w:rsidRDefault="00DE4743" w:rsidP="00A046E0">
      <w:pPr>
        <w:pStyle w:val="11"/>
      </w:pPr>
      <w:r>
        <w:rPr>
          <w:sz w:val="21"/>
        </w:rPr>
        <w:t>在采掘接续层面，规划阶段形成的工作面边界和推进关系可映射为接续任务对象。当前样例仅保留对象传递口径说明，不插入缺乏独立数据支撑的接续图件；其证据重点是</w:t>
      </w:r>
      <w:r>
        <w:rPr>
          <w:sz w:val="21"/>
        </w:rPr>
        <w:t>“</w:t>
      </w:r>
      <w:r>
        <w:rPr>
          <w:sz w:val="21"/>
        </w:rPr>
        <w:t>对象可传递、链路可延伸</w:t>
      </w:r>
      <w:r>
        <w:rPr>
          <w:sz w:val="21"/>
        </w:rPr>
        <w:t>”</w:t>
      </w:r>
      <w:r>
        <w:rPr>
          <w:sz w:val="21"/>
        </w:rPr>
        <w:t>，而不是未经独立导出的量化优选结论。</w:t>
      </w:r>
    </w:p>
    <w:p w14:paraId="0C151D7D" w14:textId="77777777" w:rsidR="007E22B6" w:rsidRDefault="00DE4743" w:rsidP="00A046E0">
      <w:pPr>
        <w:pStyle w:val="11"/>
      </w:pPr>
      <w:r>
        <w:rPr>
          <w:sz w:val="21"/>
        </w:rPr>
        <w:t>在调控层面，规划结果还可进一步转化为工作面级控制变量。当前已复核的</w:t>
      </w:r>
      <w:r>
        <w:rPr>
          <w:sz w:val="21"/>
        </w:rPr>
        <w:t>A</w:t>
      </w:r>
      <w:r>
        <w:rPr>
          <w:sz w:val="21"/>
        </w:rPr>
        <w:t>、</w:t>
      </w:r>
      <w:r>
        <w:rPr>
          <w:sz w:val="21"/>
        </w:rPr>
        <w:t>B</w:t>
      </w:r>
      <w:r>
        <w:rPr>
          <w:sz w:val="21"/>
        </w:rPr>
        <w:t>、</w:t>
      </w:r>
      <w:r>
        <w:rPr>
          <w:sz w:val="21"/>
        </w:rPr>
        <w:t>C</w:t>
      </w:r>
      <w:r>
        <w:rPr>
          <w:sz w:val="21"/>
        </w:rPr>
        <w:t>方案均采用同一</w:t>
      </w:r>
      <w:r>
        <w:rPr>
          <w:sz w:val="21"/>
        </w:rPr>
        <w:t>ODI</w:t>
      </w:r>
      <w:r>
        <w:rPr>
          <w:sz w:val="21"/>
        </w:rPr>
        <w:t>场和</w:t>
      </w:r>
      <w:r>
        <w:rPr>
          <w:sz w:val="21"/>
        </w:rPr>
        <w:t>4500</w:t>
      </w:r>
      <w:r>
        <w:rPr>
          <w:sz w:val="21"/>
        </w:rPr>
        <w:t>个采样点形成方案级统计，其</w:t>
      </w:r>
      <w:r>
        <w:rPr>
          <w:sz w:val="21"/>
        </w:rPr>
        <w:t>ODI</w:t>
      </w:r>
      <w:r>
        <w:rPr>
          <w:sz w:val="21"/>
        </w:rPr>
        <w:t>均值、</w:t>
      </w:r>
      <w:r>
        <w:rPr>
          <w:sz w:val="21"/>
        </w:rPr>
        <w:t>P90</w:t>
      </w:r>
      <w:r>
        <w:rPr>
          <w:sz w:val="21"/>
        </w:rPr>
        <w:t>和超阈值暴露比例可作为后续采高、煤柱宽度、推进方向和工作面宽度调整的反馈指标。</w:t>
      </w:r>
    </w:p>
    <w:p w14:paraId="2118F7E3" w14:textId="77777777" w:rsidR="007E22B6" w:rsidRDefault="00DE4743" w:rsidP="00A046E0">
      <w:pPr>
        <w:pStyle w:val="11"/>
      </w:pPr>
      <w:r>
        <w:rPr>
          <w:sz w:val="21"/>
        </w:rPr>
        <w:t>在工程经济评价层面，规划与接续结果可以继续进入收入、成本、风险联动成本和现金流分析过程。当前样例已完成规划对象向后续评价口径的传递，但尚不具备独立导出的真实矿井经济对照数据，因此本文仅说明工程经济评价的输入关系与计算口径，不给出未经数据支撑的现金流曲线或经济优选结论。</w:t>
      </w:r>
    </w:p>
    <w:p w14:paraId="55EA9123" w14:textId="77777777" w:rsidR="007E22B6" w:rsidRDefault="00DE4743" w:rsidP="00A046E0">
      <w:pPr>
        <w:pStyle w:val="11"/>
      </w:pPr>
      <w:r>
        <w:t>综上，研究区样例表明，本文方法已完成</w:t>
      </w:r>
      <w:r>
        <w:t>“</w:t>
      </w:r>
      <w:r>
        <w:t>边界与钻孔输入</w:t>
      </w:r>
      <w:r>
        <w:t>—</w:t>
      </w:r>
      <w:r>
        <w:t>参数场构建</w:t>
      </w:r>
      <w:r>
        <w:t>—ODI</w:t>
      </w:r>
      <w:r>
        <w:t>风险组织</w:t>
      </w:r>
      <w:r>
        <w:t>—</w:t>
      </w:r>
      <w:r>
        <w:t>候选方案池</w:t>
      </w:r>
      <w:r>
        <w:t>—</w:t>
      </w:r>
      <w:r>
        <w:t>方案级统计</w:t>
      </w:r>
      <w:r>
        <w:t>—</w:t>
      </w:r>
      <w:r>
        <w:t>后续评价输入</w:t>
      </w:r>
      <w:r>
        <w:t>”</w:t>
      </w:r>
      <w:r>
        <w:t>的连续运行过程。当前结果表明方法链和对象链在样例条件下具备贯通性，但仍需通过更多实矿案例和现场约束闭环检验工程适用性。</w:t>
      </w:r>
    </w:p>
    <w:p w14:paraId="22CEC51B" w14:textId="77777777" w:rsidR="007E22B6" w:rsidRDefault="00DE4743" w:rsidP="00A046E0">
      <w:pPr>
        <w:pStyle w:val="11"/>
      </w:pPr>
      <w:r>
        <w:rPr>
          <w:rFonts w:ascii="宋体" w:eastAsia="宋体" w:hAnsi="宋体"/>
          <w:sz w:val="21"/>
        </w:rPr>
        <w:t>4 讨论</w:t>
      </w:r>
    </w:p>
    <w:p w14:paraId="716C6B08" w14:textId="77777777" w:rsidR="007E22B6" w:rsidRDefault="00DE4743" w:rsidP="00A046E0">
      <w:pPr>
        <w:pStyle w:val="12"/>
      </w:pPr>
      <w:r>
        <w:rPr>
          <w:sz w:val="21"/>
        </w:rPr>
        <w:t xml:space="preserve">4.1 ODI </w:t>
      </w:r>
      <w:r>
        <w:rPr>
          <w:sz w:val="21"/>
        </w:rPr>
        <w:t>前置约束对采区规划的作用与边界</w:t>
      </w:r>
    </w:p>
    <w:p w14:paraId="67530405" w14:textId="77777777" w:rsidR="007E22B6" w:rsidRDefault="00DE4743" w:rsidP="00A046E0">
      <w:pPr>
        <w:pStyle w:val="12"/>
      </w:pPr>
      <w:r>
        <w:t>传统采区规划多采用</w:t>
      </w:r>
      <w:r>
        <w:t>“</w:t>
      </w:r>
      <w:r>
        <w:t>先形成布局方案、再开展风险校核</w:t>
      </w:r>
      <w:r>
        <w:t>”</w:t>
      </w:r>
      <w:r>
        <w:t>的串行方式。该流程的主要问题在于，风险信息只有在布局完成后才参与修正，一旦高扰动区与工作面边界发生冲突，就需要重新调整边界、煤柱和巷道组织。国内绿色开采、保水采煤和顶板水害防控研究反复表明，覆岩破坏与含水层扰动具有明显的空间前置约束属性，若规划阶段忽略关键层、导水裂隙带和含水层富水性差异，后续工程调整成本会明显增加</w:t>
      </w:r>
      <w:r>
        <w:t>[26,33-37,41,45,48-50]</w:t>
      </w:r>
      <w:r>
        <w:t>。本文将</w:t>
      </w:r>
      <w:r>
        <w:t>ODI</w:t>
      </w:r>
      <w:r>
        <w:t>转化为候选方案生成阶段即可调用的空间统计量，使风险控制从后验校核前移到候选池筛选与排序环节。</w:t>
      </w:r>
    </w:p>
    <w:p w14:paraId="76CE263B" w14:textId="77777777" w:rsidR="007E22B6" w:rsidRDefault="00DE4743" w:rsidP="00A046E0">
      <w:pPr>
        <w:pStyle w:val="12"/>
      </w:pPr>
      <w:r>
        <w:rPr>
          <w:sz w:val="21"/>
        </w:rPr>
        <w:t>ODI</w:t>
      </w:r>
      <w:r>
        <w:rPr>
          <w:sz w:val="21"/>
        </w:rPr>
        <w:t>前置约束的优势不在于替代地表沉陷、含水层扰动或上行开采等专项分析，而在于为多源风险结果提供同一比较口径。在同一</w:t>
      </w:r>
      <w:r>
        <w:rPr>
          <w:sz w:val="21"/>
        </w:rPr>
        <w:t>ODI</w:t>
      </w:r>
      <w:r>
        <w:rPr>
          <w:sz w:val="21"/>
        </w:rPr>
        <w:t>场下，方案可以同时报告均值、</w:t>
      </w:r>
      <w:r>
        <w:rPr>
          <w:sz w:val="21"/>
        </w:rPr>
        <w:t>P90</w:t>
      </w:r>
      <w:r>
        <w:rPr>
          <w:sz w:val="21"/>
        </w:rPr>
        <w:t>和超阈值暴露比例，从而避免仅凭单一风险图或单一阈值判断方案优劣。本样例中</w:t>
      </w:r>
      <w:r>
        <w:rPr>
          <w:sz w:val="21"/>
        </w:rPr>
        <w:t>C</w:t>
      </w:r>
      <w:r>
        <w:rPr>
          <w:sz w:val="21"/>
        </w:rPr>
        <w:t>方案的超阈值比例并非在所有阈值下都最低，但其均值、</w:t>
      </w:r>
      <w:r>
        <w:rPr>
          <w:sz w:val="21"/>
        </w:rPr>
        <w:t>P90</w:t>
      </w:r>
      <w:r>
        <w:rPr>
          <w:sz w:val="21"/>
        </w:rPr>
        <w:t>和风险综合得分较低，说明方案风险需要用多统计量联合解释。</w:t>
      </w:r>
    </w:p>
    <w:p w14:paraId="5D9D8D48" w14:textId="77777777" w:rsidR="007E22B6" w:rsidRDefault="00DE4743" w:rsidP="00A046E0">
      <w:pPr>
        <w:pStyle w:val="12"/>
      </w:pPr>
      <w:r>
        <w:rPr>
          <w:sz w:val="21"/>
        </w:rPr>
        <w:t>ODI</w:t>
      </w:r>
      <w:r>
        <w:rPr>
          <w:sz w:val="21"/>
        </w:rPr>
        <w:t>也存在信息压缩带来的误判风险。线性加权会把不同风险场景压缩为单一指标，可能掩盖某一分量的局部高值；阈值和权重的选择也会影响超限暴露比例和排序结果。因此，工程应用中不宜只输出</w:t>
      </w:r>
      <w:r>
        <w:rPr>
          <w:sz w:val="21"/>
        </w:rPr>
        <w:t>ODI</w:t>
      </w:r>
      <w:r>
        <w:rPr>
          <w:sz w:val="21"/>
        </w:rPr>
        <w:t>综合图层，而应同步保留地表沉陷、含水层扰动、上行开采等分量图层，并将权重敏感性、阈值敏感性和关键保护对象校核作为必要的复核步骤。</w:t>
      </w:r>
    </w:p>
    <w:p w14:paraId="0041FA12" w14:textId="77777777" w:rsidR="007E22B6" w:rsidRDefault="00DE4743" w:rsidP="00A046E0">
      <w:pPr>
        <w:pStyle w:val="12"/>
      </w:pPr>
      <w:r>
        <w:rPr>
          <w:rFonts w:ascii="宋体" w:eastAsia="宋体" w:hAnsi="宋体"/>
          <w:sz w:val="21"/>
        </w:rPr>
        <w:lastRenderedPageBreak/>
        <w:t>4.2 参数场驱动的规划方法相对于传统经验布置的意义</w:t>
      </w:r>
    </w:p>
    <w:p w14:paraId="7E234220" w14:textId="77777777" w:rsidR="007E22B6" w:rsidRDefault="00DE4743" w:rsidP="00A046E0">
      <w:pPr>
        <w:pStyle w:val="12"/>
      </w:pPr>
      <w:r>
        <w:t>采区规划结果的可靠性不仅取决于边界几何条件，还与地质属性的空间连续变化密切相关。传统经验式布置能够快速形成初始形态，但对钻孔控制下的煤厚变化、资源富集区和低厚度区响应不足，容易造成资源评价与几何布置脱节。连续参数场的作用，是把离散钻孔样点转化为可与有效布置域、</w:t>
      </w:r>
      <w:r>
        <w:t>ODI</w:t>
      </w:r>
      <w:r>
        <w:t>场和工作面对象叠加的空间变量；这一认识与透明工作面、智能精准开采地质模型和采煤工作面动态修正技术中强调的</w:t>
      </w:r>
      <w:r>
        <w:t>“</w:t>
      </w:r>
      <w:r>
        <w:t>地质模型支撑开采决策</w:t>
      </w:r>
      <w:r>
        <w:t>”</w:t>
      </w:r>
      <w:r>
        <w:t>是一致的</w:t>
      </w:r>
      <w:r>
        <w:t>[30-32]</w:t>
      </w:r>
      <w:r>
        <w:t>。</w:t>
      </w:r>
    </w:p>
    <w:p w14:paraId="29ACD1AB" w14:textId="77777777" w:rsidR="007E22B6" w:rsidRDefault="00DE4743" w:rsidP="00A046E0">
      <w:pPr>
        <w:pStyle w:val="12"/>
      </w:pPr>
      <w:r>
        <w:rPr>
          <w:sz w:val="21"/>
        </w:rPr>
        <w:t>本样例中，煤厚样点由</w:t>
      </w:r>
      <w:r>
        <w:rPr>
          <w:sz w:val="21"/>
        </w:rPr>
        <w:t>2.8 m</w:t>
      </w:r>
      <w:r>
        <w:rPr>
          <w:sz w:val="21"/>
        </w:rPr>
        <w:t>变化到</w:t>
      </w:r>
      <w:r>
        <w:rPr>
          <w:sz w:val="21"/>
        </w:rPr>
        <w:t>4.8 m</w:t>
      </w:r>
      <w:r>
        <w:rPr>
          <w:sz w:val="21"/>
        </w:rPr>
        <w:t>，平均值为</w:t>
      </w:r>
      <w:r>
        <w:rPr>
          <w:sz w:val="21"/>
        </w:rPr>
        <w:t>3.7933 m</w:t>
      </w:r>
      <w:r>
        <w:rPr>
          <w:sz w:val="21"/>
        </w:rPr>
        <w:t>。厚煤区在资源覆盖评价中具有更高权重，低厚度区则提示边界调整、煤柱保留或低优先级布置的必要性。由此可见，参数场不是单纯的制图结果，而是候选方案评分和资源回收评价的输入条件。</w:t>
      </w:r>
    </w:p>
    <w:p w14:paraId="65F461B7" w14:textId="77777777" w:rsidR="007E22B6" w:rsidRDefault="00DE4743" w:rsidP="00A046E0">
      <w:pPr>
        <w:pStyle w:val="12"/>
      </w:pPr>
      <w:r>
        <w:t>同时，连续参数场质量会直接影响规划结果。钻孔数量、空间分布、插值方法、网格尺度和异常值处理都会改变参数场形态，进而影响工作面覆盖率、资源回收评分和</w:t>
      </w:r>
      <w:r>
        <w:t>ODI</w:t>
      </w:r>
      <w:r>
        <w:t>统计。智能精准开采工作面地质模型研究强调，地面、井下、孔中和采掘过程信息需要逐级融合并动态更新，才能提高工作面尺度地质表达精度</w:t>
      </w:r>
      <w:r>
        <w:t>[31-32]</w:t>
      </w:r>
      <w:r>
        <w:t>。本文当前采用样例数据验证方法链路，尚未比较</w:t>
      </w:r>
      <w:r>
        <w:t>IDW</w:t>
      </w:r>
      <w:r>
        <w:t>、克里金等不同插值方法对方案排序的影响；后续若用于工程定案，应补充交叉验证、插值误差分析和网格尺度敏感性分析。</w:t>
      </w:r>
    </w:p>
    <w:p w14:paraId="6B558617" w14:textId="77777777" w:rsidR="007E22B6" w:rsidRDefault="00DE4743" w:rsidP="00A046E0">
      <w:pPr>
        <w:pStyle w:val="12"/>
      </w:pPr>
      <w:r>
        <w:rPr>
          <w:rFonts w:ascii="宋体" w:eastAsia="宋体" w:hAnsi="宋体"/>
          <w:sz w:val="21"/>
        </w:rPr>
        <w:t>4.3 后续深化方向</w:t>
      </w:r>
    </w:p>
    <w:p w14:paraId="4B060DAD" w14:textId="77777777" w:rsidR="007E22B6" w:rsidRDefault="00DE4743" w:rsidP="00A046E0">
      <w:pPr>
        <w:pStyle w:val="12"/>
      </w:pPr>
      <w:r>
        <w:t>本文当前结果主要表明，所提方法在样例条件下具备链路贯通能力，即能够实现采区边界、钻孔样点、连续参数场、</w:t>
      </w:r>
      <w:r>
        <w:t>ODI</w:t>
      </w:r>
      <w:r>
        <w:t>风险场、候选方案池和规划对象之间的连续组织与传递。</w:t>
      </w:r>
      <w:r>
        <w:t>A</w:t>
      </w:r>
      <w:r>
        <w:t>、</w:t>
      </w:r>
      <w:r>
        <w:t>B</w:t>
      </w:r>
      <w:r>
        <w:t>、</w:t>
      </w:r>
      <w:r>
        <w:t>C</w:t>
      </w:r>
      <w:r>
        <w:t>候选方案已在同一</w:t>
      </w:r>
      <w:r>
        <w:t>ODI</w:t>
      </w:r>
      <w:r>
        <w:t>场下完成均值、</w:t>
      </w:r>
      <w:r>
        <w:t>P90</w:t>
      </w:r>
      <w:r>
        <w:t>和超阈值暴露比例补算，可支撑初步方案对比，但仍不足以形成真实矿井条件下的工程优选结论。</w:t>
      </w:r>
    </w:p>
    <w:p w14:paraId="42478049" w14:textId="77777777" w:rsidR="007E22B6" w:rsidRDefault="00DE4743" w:rsidP="00A046E0">
      <w:pPr>
        <w:pStyle w:val="12"/>
      </w:pPr>
      <w:r>
        <w:t>方法的适用边界主要包括三方面：第一，</w:t>
      </w:r>
      <w:r>
        <w:t>ODI</w:t>
      </w:r>
      <w:r>
        <w:t>权重和阈值需要结合矿区历史观测、保护对象等级和现场安全制度重新标定；第二，候选方案池需要纳入断层、既有巷道、通风运输能力、设备能力和生产制度等现场闭环约束；第三，经济评价需要真实煤价、成本、税费、投资和风险停产参数支撑，不能仅凭接口传递关系给出现金流优选。已有保水采煤、顶板水害防控和地下水库研究均说明，风险控制指标必须回到具体矿区的水文地质结构、保护目标和运行制度中标定，不能把单一样例阈值直接外推为通用工程标准</w:t>
      </w:r>
      <w:r>
        <w:t>[26,41-48,50]</w:t>
      </w:r>
      <w:r>
        <w:t>。</w:t>
      </w:r>
    </w:p>
    <w:p w14:paraId="4C115393" w14:textId="77777777" w:rsidR="007E22B6" w:rsidRDefault="00DE4743" w:rsidP="00A046E0">
      <w:pPr>
        <w:pStyle w:val="12"/>
      </w:pPr>
      <w:r>
        <w:t>后续研究应从样例级验证转向多矿井对照验证：一方面补充传统经验方案、无</w:t>
      </w:r>
      <w:r>
        <w:t>ODI</w:t>
      </w:r>
      <w:r>
        <w:t>方案和不同插值方案的基准对比，另一方面在真实接续排程和经济参数下检验</w:t>
      </w:r>
      <w:r>
        <w:t>ODI</w:t>
      </w:r>
      <w:r>
        <w:t>前置约束对风险暴露和资源回收水平的影响。只有完成上述验证后，本文方法才能从</w:t>
      </w:r>
      <w:r>
        <w:t>“</w:t>
      </w:r>
      <w:r>
        <w:t>可复核的规划链路</w:t>
      </w:r>
      <w:r>
        <w:t>”</w:t>
      </w:r>
      <w:r>
        <w:t>进一步发展为</w:t>
      </w:r>
      <w:r>
        <w:t>“</w:t>
      </w:r>
      <w:r>
        <w:t>可辅助工程方案论证的决策工具</w:t>
      </w:r>
      <w:r>
        <w:t>”</w:t>
      </w:r>
      <w:r>
        <w:t>。</w:t>
      </w:r>
    </w:p>
    <w:p w14:paraId="4FC00D30" w14:textId="77777777" w:rsidR="007E22B6" w:rsidRDefault="00DE4743" w:rsidP="00A046E0">
      <w:pPr>
        <w:pStyle w:val="11"/>
      </w:pPr>
      <w:r>
        <w:rPr>
          <w:rFonts w:ascii="宋体" w:eastAsia="宋体" w:hAnsi="宋体"/>
          <w:sz w:val="21"/>
        </w:rPr>
        <w:t>5 结论</w:t>
      </w:r>
    </w:p>
    <w:p w14:paraId="15C6BBAA" w14:textId="77777777" w:rsidR="00DE4743" w:rsidRPr="00DE4743" w:rsidRDefault="00DE4743" w:rsidP="00DE4743">
      <w:pPr>
        <w:pStyle w:val="10"/>
        <w:spacing w:after="40"/>
        <w:ind w:firstLine="420"/>
        <w:rPr>
          <w:rFonts w:ascii="宋体" w:hAnsi="宋体"/>
        </w:rPr>
      </w:pPr>
      <w:r>
        <w:t>1</w:t>
      </w:r>
      <w:r>
        <w:t>）针对采区规划中地质信息离散、风险约束异构以及规划结果与后续评价脱节的问题，提出了基于</w:t>
      </w:r>
      <w:r>
        <w:t>ODI</w:t>
      </w:r>
      <w:r>
        <w:t>约束的采区候选方案生成与多目标比选方法，构建了</w:t>
      </w:r>
      <w:r>
        <w:t>“</w:t>
      </w:r>
      <w:r>
        <w:t>有效布置域</w:t>
      </w:r>
      <w:r>
        <w:t>—</w:t>
      </w:r>
      <w:r>
        <w:t>连续参数场</w:t>
      </w:r>
      <w:r>
        <w:t>—ODI</w:t>
      </w:r>
      <w:r>
        <w:t>风险场</w:t>
      </w:r>
      <w:r>
        <w:t>—</w:t>
      </w:r>
      <w:r>
        <w:t>候选方案池</w:t>
      </w:r>
      <w:r>
        <w:t>—</w:t>
      </w:r>
      <w:r>
        <w:t>后续评价输入</w:t>
      </w:r>
      <w:r>
        <w:t>”</w:t>
      </w:r>
      <w:r>
        <w:t>的方法链路。</w:t>
      </w:r>
    </w:p>
    <w:p w14:paraId="041A1857" w14:textId="77777777" w:rsidR="00DE4743" w:rsidRPr="00DE4743" w:rsidRDefault="00DE4743" w:rsidP="00DE4743">
      <w:pPr>
        <w:pStyle w:val="10"/>
        <w:spacing w:after="40"/>
        <w:ind w:firstLine="420"/>
        <w:rPr>
          <w:rFonts w:ascii="宋体" w:hAnsi="宋体"/>
        </w:rPr>
      </w:pPr>
      <w:r>
        <w:t>2</w:t>
      </w:r>
      <w:r>
        <w:t>）通过将地表沉陷、含水层扰动和上行开采等多场景风险统一组织为</w:t>
      </w:r>
      <w:r>
        <w:t>ODI</w:t>
      </w:r>
      <w:r>
        <w:t>指标，明确了风险分量归一化、权重聚合、阈值统计和方案级</w:t>
      </w:r>
      <w:r>
        <w:t>ODI</w:t>
      </w:r>
      <w:r>
        <w:t>均值、</w:t>
      </w:r>
      <w:r>
        <w:t>P90</w:t>
      </w:r>
      <w:r>
        <w:t>、超阈值暴露比例等计算口径，为异构风险进入采区规划比选提供了统一表达。</w:t>
      </w:r>
    </w:p>
    <w:p w14:paraId="78248231" w14:textId="77777777" w:rsidR="00DE4743" w:rsidRPr="00DE4743" w:rsidRDefault="00DE4743" w:rsidP="00DE4743">
      <w:pPr>
        <w:pStyle w:val="10"/>
        <w:spacing w:after="40"/>
        <w:ind w:firstLine="420"/>
        <w:rPr>
          <w:rFonts w:ascii="宋体" w:hAnsi="宋体"/>
        </w:rPr>
      </w:pPr>
      <w:r>
        <w:t>3</w:t>
      </w:r>
      <w:r>
        <w:t>）研究区样例结果表明，工程效率优先、资源回收优先和</w:t>
      </w:r>
      <w:r>
        <w:t>ODI</w:t>
      </w:r>
      <w:r>
        <w:t>筛选方案分别体现出覆盖率、资源利用和风险暴露之间的权衡。方案</w:t>
      </w:r>
      <w:r>
        <w:t>A</w:t>
      </w:r>
      <w:r>
        <w:t>、</w:t>
      </w:r>
      <w:r>
        <w:t>B</w:t>
      </w:r>
      <w:r>
        <w:t>、</w:t>
      </w:r>
      <w:r>
        <w:t>C</w:t>
      </w:r>
      <w:r>
        <w:t>的</w:t>
      </w:r>
      <w:r>
        <w:t>ODI</w:t>
      </w:r>
      <w:r>
        <w:t>均值分别为</w:t>
      </w:r>
      <w:r>
        <w:t>0.4463</w:t>
      </w:r>
      <w:r>
        <w:t>、</w:t>
      </w:r>
      <w:r>
        <w:t>0.4552</w:t>
      </w:r>
      <w:r>
        <w:t>和</w:t>
      </w:r>
      <w:r>
        <w:t>0.4416</w:t>
      </w:r>
      <w:r>
        <w:t>，</w:t>
      </w:r>
      <w:r>
        <w:t>P90</w:t>
      </w:r>
      <w:r>
        <w:t>分别为</w:t>
      </w:r>
      <w:r>
        <w:t>0.6407</w:t>
      </w:r>
      <w:r>
        <w:t>、</w:t>
      </w:r>
      <w:r>
        <w:t>0.6462</w:t>
      </w:r>
      <w:r>
        <w:t>和</w:t>
      </w:r>
      <w:r>
        <w:t>0.6353</w:t>
      </w:r>
      <w:r>
        <w:t>，</w:t>
      </w:r>
      <w:r>
        <w:t>ODI&gt;0.70</w:t>
      </w:r>
      <w:r>
        <w:t>比例分别为</w:t>
      </w:r>
      <w:r>
        <w:t>0.44%</w:t>
      </w:r>
      <w:r>
        <w:t>、</w:t>
      </w:r>
      <w:r>
        <w:t>0.56%</w:t>
      </w:r>
      <w:r>
        <w:t>和</w:t>
      </w:r>
      <w:r>
        <w:t>1.22%</w:t>
      </w:r>
      <w:r>
        <w:t>，说明风险场能够转化为可复核的方案级统计量。</w:t>
      </w:r>
    </w:p>
    <w:p w14:paraId="2BA381AC" w14:textId="77777777" w:rsidR="00DE4743" w:rsidRPr="00DE4743" w:rsidRDefault="00DE4743" w:rsidP="00DE4743">
      <w:pPr>
        <w:pStyle w:val="10"/>
        <w:spacing w:after="40"/>
        <w:ind w:firstLine="420"/>
        <w:rPr>
          <w:rFonts w:ascii="宋体" w:hAnsi="宋体"/>
        </w:rPr>
      </w:pPr>
      <w:r>
        <w:t>4</w:t>
      </w:r>
      <w:r>
        <w:t>）当前结果主要支撑样例条件下的方法贯通、对象链可传递性和初步方案比选。权重敏感性表明，</w:t>
      </w:r>
      <w:r>
        <w:lastRenderedPageBreak/>
        <w:t>在当前样例和候选池范围内，基准权重、</w:t>
      </w:r>
      <w:r>
        <w:t>±10%</w:t>
      </w:r>
      <w:r>
        <w:t>相对扰动和含水层专项权重条件下</w:t>
      </w:r>
      <w:r>
        <w:t>C</w:t>
      </w:r>
      <w:r>
        <w:t>方案风险综合得分均低于</w:t>
      </w:r>
      <w:r>
        <w:t>A</w:t>
      </w:r>
      <w:r>
        <w:t>、</w:t>
      </w:r>
      <w:r>
        <w:t>B</w:t>
      </w:r>
      <w:r>
        <w:t>方案；阈值敏感性表明，当阈值由</w:t>
      </w:r>
      <w:r>
        <w:t>0.65</w:t>
      </w:r>
      <w:r>
        <w:t>提高至</w:t>
      </w:r>
      <w:r>
        <w:t>0.80</w:t>
      </w:r>
      <w:r>
        <w:t>时，各方案超限比例均下降，但方案间风险差异仍可通过均值、</w:t>
      </w:r>
      <w:r>
        <w:t>P90</w:t>
      </w:r>
      <w:r>
        <w:t>和超限比例共同识别。真实矿井条件下的工程优选结论仍需结合实矿案例检验。</w:t>
      </w:r>
    </w:p>
    <w:p w14:paraId="3AB25E4E" w14:textId="77777777" w:rsidR="007E22B6" w:rsidRDefault="00A249E2" w:rsidP="00A046E0">
      <w:pPr>
        <w:pStyle w:val="11"/>
      </w:pPr>
      <w:r>
        <w:rPr>
          <w:rFonts w:ascii="宋体" w:eastAsia="宋体" w:hAnsi="宋体"/>
          <w:sz w:val="21"/>
        </w:rPr>
        <w:t>参考文献</w:t>
      </w:r>
    </w:p>
    <w:p w14:paraId="67D8A05D" w14:textId="77777777" w:rsidR="00D24CB0" w:rsidRDefault="00691361">
      <w:r>
        <w:t>[1]</w:t>
      </w:r>
      <w:r>
        <w:tab/>
        <w:t>WU Xuefei, LI Hongxia, WANG Baoli, et al. Review on improvements to the safety level of coal mines by applying intelligent coal mining[J]. Sustainability, 2022, 14(24): 16400. DOI: 10.3390/su142416400.</w:t>
      </w:r>
    </w:p>
    <w:p w14:paraId="7C8CFB4E" w14:textId="77777777" w:rsidR="00D24CB0" w:rsidRDefault="00691361">
      <w:r>
        <w:t>[2]</w:t>
      </w:r>
      <w:r>
        <w:tab/>
        <w:t>WANG Guofa, REN Huaiwei, ZHAO Guorui, et al. Research and practice of intelligent coal mine technology systems in China[J]. International Journal of Coal Science &amp; Technology, 2022, 9(1). DOI: 10.1007/s40789-022-00491-3.</w:t>
      </w:r>
    </w:p>
    <w:p w14:paraId="4791D247" w14:textId="77777777" w:rsidR="00D24CB0" w:rsidRDefault="00691361">
      <w:r>
        <w:t>[3]</w:t>
      </w:r>
      <w:r>
        <w:tab/>
        <w:t>ZHANG Kexue, KANG Lei, CHEN Xuexi, et al. A review of intelligent unmanned mining current situation and development trend[J]. Energies, 2022, 15(2): 513. DOI: 10.3390/en15020513.</w:t>
      </w:r>
    </w:p>
    <w:p w14:paraId="403CB9D8" w14:textId="77777777" w:rsidR="00D24CB0" w:rsidRDefault="00691361">
      <w:r>
        <w:t>[4]</w:t>
      </w:r>
      <w:r>
        <w:tab/>
        <w:t>YANG Yi, LI Yingchun, WANG Lujun, et al. On strata damage and stress disturbance induced by coal mining based on physical similarity simulation experiments[J]. Scientific Reports, 2023, 13(1). DOI: 10.1038/s41598-023-42148-4.</w:t>
      </w:r>
    </w:p>
    <w:p w14:paraId="74B27B51" w14:textId="77777777" w:rsidR="00D24CB0" w:rsidRDefault="00691361">
      <w:r>
        <w:t>[5]</w:t>
      </w:r>
      <w:r>
        <w:tab/>
        <w:t xml:space="preserve">REN Yiwei, YUAN Qiang, CHEN Jie, et al. Evolution characteristics of mining-induced fractures in overburden strata under close-multi coal seams mining based on optical fiber monitoring[J]. </w:t>
      </w:r>
      <w:r>
        <w:lastRenderedPageBreak/>
        <w:t>Engineering Geology, 2024, 343: 107802. DOI: 10.1016/j.enggeo.2024.107802.</w:t>
      </w:r>
    </w:p>
    <w:p w14:paraId="7E31C92F" w14:textId="77777777" w:rsidR="00D24CB0" w:rsidRDefault="00691361">
      <w:r>
        <w:t>[6]</w:t>
      </w:r>
      <w:r>
        <w:tab/>
        <w:t>YANG Xiao, SHI Longqing, QIU Mei, et al. Spatiotemporal evolution patterns of mining-induced overburden damage based on microseismic event response analysis[J]. Journal of Applied Geophysics, 2025, 242: 105876. DOI: 10.1016/j.jappgeo.2025.105876.</w:t>
      </w:r>
    </w:p>
    <w:p w14:paraId="57000C87" w14:textId="77777777" w:rsidR="00D24CB0" w:rsidRDefault="00691361">
      <w:r>
        <w:t>[7]</w:t>
      </w:r>
      <w:r>
        <w:tab/>
        <w:t>ZHANG Jie, WANG Li, YANG Tao, et al. Study on overburden failure characteristics and ground pressure behavior in shallow coal seam mining underneath the gully[J]. Frontiers in Earth Science, 2024, 12. DOI: 10.3389/feart.2024.1375979.</w:t>
      </w:r>
    </w:p>
    <w:p w14:paraId="37ED8C02" w14:textId="77777777" w:rsidR="00D24CB0" w:rsidRDefault="00691361">
      <w:r>
        <w:t>[8]</w:t>
      </w:r>
      <w:r>
        <w:tab/>
        <w:t>CAO Jian, HUANG Qingxiang, GUO Lingfei. Subsidence prediction of overburden strata and ground surface in shallow coal seam mining[J]. Scientific Reports, 2021, 11(1). DOI: 10.1038/s41598-021-98520-9.</w:t>
      </w:r>
    </w:p>
    <w:p w14:paraId="2F20F0F5" w14:textId="77777777" w:rsidR="00D24CB0" w:rsidRDefault="00691361">
      <w:r>
        <w:t>[9]</w:t>
      </w:r>
      <w:r>
        <w:tab/>
        <w:t>PRAKASH Amar, BHARTI Abhay Kumar, VERMA Aniket. Unearthing underground mining-induced strata disturbance by electrical resistivity tomography interpretation[J]. Environmental &amp; Engineering Geoscience, 2022, 28(4): 361-369. DOI: 10.2113/eeg-d-21-00073.</w:t>
      </w:r>
    </w:p>
    <w:p w14:paraId="1DC8C4BE" w14:textId="77777777" w:rsidR="00D24CB0" w:rsidRDefault="00691361">
      <w:r>
        <w:t>[10]</w:t>
      </w:r>
      <w:r>
        <w:tab/>
        <w:t xml:space="preserve">SHI Xiuchang, ZHANG Jixing. Characteristics of overburden failure and fracture </w:t>
      </w:r>
      <w:r>
        <w:lastRenderedPageBreak/>
        <w:t>evolution in shallow buried working face with large mining height[J]. Sustainability, 2021, 13(24): 13775. DOI: 10.3390/su132413775.</w:t>
      </w:r>
    </w:p>
    <w:p w14:paraId="3A30696B" w14:textId="77777777" w:rsidR="00D24CB0" w:rsidRDefault="00691361">
      <w:r>
        <w:t>[11]</w:t>
      </w:r>
      <w:r>
        <w:tab/>
        <w:t>FOROUGHI Sorayya, HAMIDI Jafar Khademi, MONJEZI Masoud, et al. The integrated optimization of underground stope layout designing and production scheduling incorporating a non-dominated sorting genetic algorithm (NSGA-II)[J]. Resources Policy, 2019, 63: 101408. DOI: 10.1016/j.resourpol.2019.101408.</w:t>
      </w:r>
    </w:p>
    <w:p w14:paraId="6E48F0C8" w14:textId="77777777" w:rsidR="00D24CB0" w:rsidRDefault="00691361">
      <w:r>
        <w:t>[12]</w:t>
      </w:r>
      <w:r>
        <w:tab/>
      </w:r>
      <w:r>
        <w:t>SHAN Yang, KE Li, XIANG Jun, et al. Multi-objective optimisation based on NSGA-II of mine cut-off grade from the perspective of resource security[J]. International Journal of Mining, Reclamation and Environment, 2025: 1-20. DOI: 10.1080/17480930.2025.2532460.</w:t>
      </w:r>
    </w:p>
    <w:p w14:paraId="7F4A0A5C" w14:textId="77777777" w:rsidR="00D24CB0" w:rsidRDefault="00691361">
      <w:r>
        <w:t>[13]</w:t>
      </w:r>
      <w:r>
        <w:tab/>
        <w:t>GU Xiaowei, WANG Xunhong, LIU Zaobao, et al. A multi-objective optimization model using improved NSGA-II for optimizing metal mines production process[J]. IEEE Access, 2020, 8: 28847-28858. DOI: 10.1109/access.2020.2972018.</w:t>
      </w:r>
    </w:p>
    <w:p w14:paraId="567C663A" w14:textId="77777777" w:rsidR="00D24CB0" w:rsidRDefault="00691361">
      <w:r>
        <w:t>[14]</w:t>
      </w:r>
      <w:r>
        <w:tab/>
        <w:t>NESBITT Peter, BLAKE Lewis R., LAMAS Patricio, et al. Underground mine scheduling under uncertainty[J]. European Journal of Operational Research, 2021, 294(1): 340-352. DOI: 10.1016/j.ejor.2021.01.011.</w:t>
      </w:r>
    </w:p>
    <w:p w14:paraId="7D6AB42E" w14:textId="77777777" w:rsidR="00D24CB0" w:rsidRDefault="00691361">
      <w:r>
        <w:lastRenderedPageBreak/>
        <w:t>[15]</w:t>
      </w:r>
      <w:r>
        <w:tab/>
        <w:t>PATHIRANAGE Ishara Hewa, NEUMANN Aneta. Multi-objective evolutionary optimization for large-scale open pit mine scheduling[C]//2024 IEEE Congress on Evolutionary Computation (CEC). 2024: 1-8. DOI: 10.1109/CEC60901.2024.10612008.</w:t>
      </w:r>
    </w:p>
    <w:p w14:paraId="018F453F" w14:textId="77777777" w:rsidR="00D24CB0" w:rsidRDefault="00691361">
      <w:r>
        <w:t>[16]</w:t>
      </w:r>
      <w:r>
        <w:tab/>
        <w:t>ZHANG Xuhui, LV Xinyuan, WANG Yan, et al. Production process management for intelligent coal mining based on digital twin[M]//Digital Twin Driven Service. 2022: 251-277. DOI: 10.1016/B978-0-323-91300-3.00008-5.</w:t>
      </w:r>
    </w:p>
    <w:p w14:paraId="7060312A" w14:textId="77777777" w:rsidR="00D24CB0" w:rsidRDefault="00691361">
      <w:r>
        <w:t>[17]</w:t>
      </w:r>
      <w:r>
        <w:tab/>
        <w:t>QU Juncong, KIZIL Mehmet S., YAHYAEI Mohsen, et al. Digital twins in the minerals industry: a comprehensive review[J]. Mining Technology, 2023, 132(4): 267-289. DOI: 10.1080/25726668.2023.2257479.</w:t>
      </w:r>
    </w:p>
    <w:p w14:paraId="354B09B4" w14:textId="77777777" w:rsidR="00D24CB0" w:rsidRDefault="00691361">
      <w:r>
        <w:t>[18]</w:t>
      </w:r>
      <w:r>
        <w:tab/>
        <w:t>PAN Dongdong, XU Zhenhao, LU Xinming, et al. 3D scene and geological modeling using integrated multi-source spatial data: methodology, challenges, and suggestions[J]. Tunnelling and Underground Space Technology, 2020, 100: 103393. DOI: 10.1016/j.tust.2020.103393.</w:t>
      </w:r>
    </w:p>
    <w:p w14:paraId="1ABFFD8F" w14:textId="77777777" w:rsidR="00D24CB0" w:rsidRDefault="00691361">
      <w:r>
        <w:t>[19]</w:t>
      </w:r>
      <w:r>
        <w:tab/>
        <w:t xml:space="preserve">AHMED Haitham M., ADEWUYI Sefiu, AHMED Hussin M. A. Continuous cash flow modeling for economic evaluation and risk analysis in mine planning using Monte Carlo simulation[J]. Journal of King Abdulaziz University: Engineering </w:t>
      </w:r>
      <w:r>
        <w:lastRenderedPageBreak/>
        <w:t>Sciences, 2024, 34(2). DOI: 10.4197/eng.34-2.6.</w:t>
      </w:r>
    </w:p>
    <w:p w14:paraId="526F0F25" w14:textId="77777777" w:rsidR="00D24CB0" w:rsidRDefault="00691361">
      <w:r>
        <w:t>[20]</w:t>
      </w:r>
      <w:r>
        <w:tab/>
        <w:t>LI Jiaoqun, WU Tong, LU Zengxiang, et al. Investigation into mining economic evaluation approaches based on the Rosenblueth point estimate method[J]. Applied Sciences, 2023, 13(15): 9011. DOI: 10.3390/app13159011.</w:t>
      </w:r>
    </w:p>
    <w:p w14:paraId="09A4E120" w14:textId="77777777" w:rsidR="00D24CB0" w:rsidRDefault="00691361">
      <w:r>
        <w:t>[21]</w:t>
      </w:r>
      <w:r>
        <w:tab/>
        <w:t>DEHGHANI Hesam, ATAEE-POUR Majid, ESFAHANIPOUR Akbar. Evaluation of the mining projects under economic uncertainties using multidimensional binomial tree[J]. Resources Policy, 2014, 39: 124-133. DOI: 10.1016/j.resourpol.2014.01.003.</w:t>
      </w:r>
    </w:p>
    <w:p w14:paraId="155D4492" w14:textId="77777777" w:rsidR="00D24CB0" w:rsidRDefault="00691361">
      <w:r>
        <w:t>[22]</w:t>
      </w:r>
      <w:r>
        <w:tab/>
        <w:t>LIU Xiong, ZHENG Lulin, LIU Hao, et al. Evolution of overburden fractures and the water-conducting fracture zone in closely spaced coal mine seams under highly water-rich aquifers[J]. ACS Omega, 2025. DOI: 10.1021/acsomega.5c09774.</w:t>
      </w:r>
    </w:p>
    <w:p w14:paraId="361C5481" w14:textId="77777777" w:rsidR="00D24CB0" w:rsidRDefault="00691361">
      <w:r>
        <w:t>[23]</w:t>
      </w:r>
      <w:r>
        <w:tab/>
        <w:t>XUE Sen, WANG Qiqing, SONG Zhen. Analysis of water-permeable fractured zone in weakly cemented overburden considering rock strain-softening[J]. Scientific Reports, 2026, 16(1). DOI: 10.1038/s41598-026-45413-4.</w:t>
      </w:r>
    </w:p>
    <w:p w14:paraId="77E2ACEE" w14:textId="77777777" w:rsidR="00D24CB0" w:rsidRDefault="00691361">
      <w:r>
        <w:t>[24]</w:t>
      </w:r>
      <w:r>
        <w:tab/>
        <w:t xml:space="preserve">ZHU Xiaojun, ZHA Feng, GUO Guangli, et al. Mechanical prediction method of strata movement and surface subsidence in backfill-strip mining[J]. Scientific Reports, 2024, 14(1). DOI: </w:t>
      </w:r>
      <w:r>
        <w:lastRenderedPageBreak/>
        <w:t>10.1038/s41598-024-82761-5.</w:t>
      </w:r>
    </w:p>
    <w:p w14:paraId="4E111F05" w14:textId="77777777" w:rsidR="00D24CB0" w:rsidRDefault="00691361">
      <w:r>
        <w:t>[25]</w:t>
      </w:r>
      <w:r>
        <w:tab/>
        <w:t>KRATZSCH Helmut. Strata movement at the mining horizon[M]//Mining Subsidence Engineering. Berlin, , Heidelberg: Springer, 1983: 7-40. DOI: 10.1007/978-3-642-81923-0_2.</w:t>
      </w:r>
    </w:p>
    <w:p w14:paraId="01DFE6B3" w14:textId="77777777" w:rsidR="00D24CB0" w:rsidRDefault="00691361">
      <w:r>
        <w:t>[26]</w:t>
      </w:r>
      <w:r>
        <w:tab/>
      </w:r>
      <w:r>
        <w:t>许家林</w:t>
      </w:r>
      <w:r>
        <w:t xml:space="preserve">. </w:t>
      </w:r>
      <w:r>
        <w:t>煤矿绿色开采</w:t>
      </w:r>
      <w:r>
        <w:t>20</w:t>
      </w:r>
      <w:r>
        <w:t>年研究及进展</w:t>
      </w:r>
      <w:r>
        <w:t xml:space="preserve">[J]. </w:t>
      </w:r>
      <w:r>
        <w:t>煤炭科学技术</w:t>
      </w:r>
      <w:r>
        <w:t>, 2020, 48(9): 1-15. DOI: 10.13199/j.cnki.cst.2020.09.001.</w:t>
      </w:r>
    </w:p>
    <w:p w14:paraId="05A21961" w14:textId="77777777" w:rsidR="00D24CB0" w:rsidRDefault="00691361">
      <w:r>
        <w:t>[27]</w:t>
      </w:r>
      <w:r>
        <w:tab/>
      </w:r>
      <w:r>
        <w:t>王国法</w:t>
      </w:r>
      <w:r>
        <w:t xml:space="preserve">, </w:t>
      </w:r>
      <w:r>
        <w:t>杜毅博</w:t>
      </w:r>
      <w:r>
        <w:t xml:space="preserve">. </w:t>
      </w:r>
      <w:r>
        <w:t>煤矿智能化标准体系框架与建设思路</w:t>
      </w:r>
      <w:r>
        <w:t xml:space="preserve">[J]. </w:t>
      </w:r>
      <w:r>
        <w:t>煤炭科学技术</w:t>
      </w:r>
      <w:r>
        <w:t>, 2020, 48(1): 1-9. DOI: 10.13199/j.cnki.cst.2020.01.001.</w:t>
      </w:r>
    </w:p>
    <w:p w14:paraId="36B44222" w14:textId="77777777" w:rsidR="00D24CB0" w:rsidRDefault="00691361">
      <w:r>
        <w:t>[28]</w:t>
      </w:r>
      <w:r>
        <w:tab/>
      </w:r>
      <w:r>
        <w:t>王国法</w:t>
      </w:r>
      <w:r>
        <w:t xml:space="preserve">, </w:t>
      </w:r>
      <w:r>
        <w:t>任怀伟</w:t>
      </w:r>
      <w:r>
        <w:t xml:space="preserve">, </w:t>
      </w:r>
      <w:r>
        <w:t>庞义辉</w:t>
      </w:r>
      <w:r>
        <w:t xml:space="preserve">, </w:t>
      </w:r>
      <w:r>
        <w:t>等</w:t>
      </w:r>
      <w:r>
        <w:t xml:space="preserve">. </w:t>
      </w:r>
      <w:r>
        <w:t>煤矿智能化</w:t>
      </w:r>
      <w:r>
        <w:t>(</w:t>
      </w:r>
      <w:r>
        <w:t>初级阶段</w:t>
      </w:r>
      <w:r>
        <w:t>)</w:t>
      </w:r>
      <w:r>
        <w:t>技术体系研究与工程进展</w:t>
      </w:r>
      <w:r>
        <w:t xml:space="preserve">[J]. </w:t>
      </w:r>
      <w:r>
        <w:t>煤炭科学技术</w:t>
      </w:r>
      <w:r>
        <w:t>, 2020, 48(7): 1-27. DOI: 10.13199/j.cnki.cst.2020.07.001.</w:t>
      </w:r>
    </w:p>
    <w:p w14:paraId="3C59DD0C" w14:textId="77777777" w:rsidR="00D24CB0" w:rsidRDefault="00691361">
      <w:r>
        <w:t>[29]</w:t>
      </w:r>
      <w:r>
        <w:tab/>
      </w:r>
      <w:r>
        <w:t>李首滨</w:t>
      </w:r>
      <w:r>
        <w:t xml:space="preserve">. </w:t>
      </w:r>
      <w:r>
        <w:t>智能化开采研究进展与发展趋势</w:t>
      </w:r>
      <w:r>
        <w:t xml:space="preserve">[J]. </w:t>
      </w:r>
      <w:r>
        <w:t>煤炭科学技术</w:t>
      </w:r>
      <w:r>
        <w:t>, 2019, 47(10): 102-110. DOI: 10.13199/j.cnki.cst.2019.10.012.</w:t>
      </w:r>
    </w:p>
    <w:p w14:paraId="5E81E395" w14:textId="77777777" w:rsidR="00D24CB0" w:rsidRDefault="00691361">
      <w:r>
        <w:t>[30]</w:t>
      </w:r>
      <w:r>
        <w:tab/>
      </w:r>
      <w:r>
        <w:t>王存飞</w:t>
      </w:r>
      <w:r>
        <w:t xml:space="preserve">, </w:t>
      </w:r>
      <w:r>
        <w:t>荣耀</w:t>
      </w:r>
      <w:r>
        <w:t xml:space="preserve">. </w:t>
      </w:r>
      <w:r>
        <w:t>透明工作面的概念、架构与关键技术</w:t>
      </w:r>
      <w:r>
        <w:t xml:space="preserve">[J]. </w:t>
      </w:r>
      <w:r>
        <w:t>煤炭科学技术</w:t>
      </w:r>
      <w:r>
        <w:t>, 2019, 47(7): 156-163. DOI: 10.13199/j.cnki.cst.2019.07.019.</w:t>
      </w:r>
    </w:p>
    <w:p w14:paraId="3804BD3F" w14:textId="77777777" w:rsidR="00D24CB0" w:rsidRDefault="00691361">
      <w:r>
        <w:t>[31]</w:t>
      </w:r>
      <w:r>
        <w:tab/>
      </w:r>
      <w:r>
        <w:t>程建远</w:t>
      </w:r>
      <w:r>
        <w:t xml:space="preserve">, </w:t>
      </w:r>
      <w:r>
        <w:t>朱梦博</w:t>
      </w:r>
      <w:r>
        <w:t xml:space="preserve">, </w:t>
      </w:r>
      <w:r>
        <w:t>王云宏</w:t>
      </w:r>
      <w:r>
        <w:t xml:space="preserve">, </w:t>
      </w:r>
      <w:r>
        <w:t>等</w:t>
      </w:r>
      <w:r>
        <w:t xml:space="preserve">. </w:t>
      </w:r>
      <w:r>
        <w:t>煤炭智能精准开采工作面地质模型梯级构建及其关键技术</w:t>
      </w:r>
      <w:r>
        <w:t xml:space="preserve">[J]. </w:t>
      </w:r>
      <w:r>
        <w:t>煤炭学报</w:t>
      </w:r>
      <w:r>
        <w:t xml:space="preserve">, 2019, 44(8): 2285-2295. DOI: </w:t>
      </w:r>
      <w:r>
        <w:lastRenderedPageBreak/>
        <w:t>10.13225/j.cnki.jccs.KJ19.0510.</w:t>
      </w:r>
    </w:p>
    <w:p w14:paraId="28DCE5DE" w14:textId="77777777" w:rsidR="00D24CB0" w:rsidRDefault="00691361">
      <w:r>
        <w:t>[32]</w:t>
      </w:r>
      <w:r>
        <w:tab/>
      </w:r>
      <w:r>
        <w:t>刘万里</w:t>
      </w:r>
      <w:r>
        <w:t xml:space="preserve">, </w:t>
      </w:r>
      <w:r>
        <w:t>张学亮</w:t>
      </w:r>
      <w:r>
        <w:t xml:space="preserve">, </w:t>
      </w:r>
      <w:r>
        <w:t>王世博</w:t>
      </w:r>
      <w:r>
        <w:t xml:space="preserve">. </w:t>
      </w:r>
      <w:r>
        <w:t>采煤工作面煤层三维模型构建及动态修正技术</w:t>
      </w:r>
      <w:r>
        <w:t xml:space="preserve">[J]. </w:t>
      </w:r>
      <w:r>
        <w:t>煤炭学报</w:t>
      </w:r>
      <w:r>
        <w:t>, 2020, 45(6): 1973-1983. DOI: 10.13225/j.cnki.jccs.ZN20.0364.</w:t>
      </w:r>
    </w:p>
    <w:p w14:paraId="3D6B302B" w14:textId="77777777" w:rsidR="00D24CB0" w:rsidRDefault="00691361">
      <w:r>
        <w:t>[33]</w:t>
      </w:r>
      <w:r>
        <w:tab/>
      </w:r>
      <w:r>
        <w:t>徐智敏</w:t>
      </w:r>
      <w:r>
        <w:t xml:space="preserve">, </w:t>
      </w:r>
      <w:r>
        <w:t>孙亚军</w:t>
      </w:r>
      <w:r>
        <w:t xml:space="preserve">, </w:t>
      </w:r>
      <w:r>
        <w:t>高尚</w:t>
      </w:r>
      <w:r>
        <w:t xml:space="preserve">, </w:t>
      </w:r>
      <w:r>
        <w:t>等</w:t>
      </w:r>
      <w:r>
        <w:t xml:space="preserve">. </w:t>
      </w:r>
      <w:r>
        <w:t>干旱矿区采动顶板导水裂隙的演化规律及保水采煤意义</w:t>
      </w:r>
      <w:r>
        <w:t xml:space="preserve">[J]. </w:t>
      </w:r>
      <w:r>
        <w:t>煤炭学报</w:t>
      </w:r>
      <w:r>
        <w:t>, 2019, 44(3): 767-776. DOI: 10.13225/j.cnki.jccs.2018.6041.</w:t>
      </w:r>
    </w:p>
    <w:p w14:paraId="5423B624" w14:textId="77777777" w:rsidR="00D24CB0" w:rsidRDefault="00691361">
      <w:r>
        <w:t>[34]</w:t>
      </w:r>
      <w:r>
        <w:tab/>
      </w:r>
      <w:r>
        <w:t>曹志国</w:t>
      </w:r>
      <w:r>
        <w:t xml:space="preserve">, </w:t>
      </w:r>
      <w:r>
        <w:t>鞠金峰</w:t>
      </w:r>
      <w:r>
        <w:t xml:space="preserve">, </w:t>
      </w:r>
      <w:r>
        <w:t>许家林</w:t>
      </w:r>
      <w:r>
        <w:t xml:space="preserve">. </w:t>
      </w:r>
      <w:r>
        <w:t>采动覆岩导水裂隙主通道分布模型及其水流动特性</w:t>
      </w:r>
      <w:r>
        <w:t xml:space="preserve">[J]. </w:t>
      </w:r>
      <w:r>
        <w:t>煤炭学报</w:t>
      </w:r>
      <w:r>
        <w:t>, 2019, 44(12): 3719-3728. DOI: 10.13225/j.cnki.jccs.SH19.0446.</w:t>
      </w:r>
    </w:p>
    <w:p w14:paraId="790F58B8" w14:textId="77777777" w:rsidR="00D24CB0" w:rsidRDefault="00691361">
      <w:r>
        <w:t>[35]</w:t>
      </w:r>
      <w:r>
        <w:tab/>
      </w:r>
      <w:r>
        <w:t>郭文兵</w:t>
      </w:r>
      <w:r>
        <w:t xml:space="preserve">, </w:t>
      </w:r>
      <w:r>
        <w:t>娄高中</w:t>
      </w:r>
      <w:r>
        <w:t xml:space="preserve">. </w:t>
      </w:r>
      <w:r>
        <w:t>覆岩破坏充分采动程度定义及判别方法</w:t>
      </w:r>
      <w:r>
        <w:t xml:space="preserve">[J]. </w:t>
      </w:r>
      <w:r>
        <w:t>煤炭学报</w:t>
      </w:r>
      <w:r>
        <w:t>, 2019, 44(3): 755-766. DOI: 10.13225/j.cnki.jccs.2018.6038.</w:t>
      </w:r>
    </w:p>
    <w:p w14:paraId="5CCB7C49" w14:textId="77777777" w:rsidR="00D24CB0" w:rsidRDefault="00691361">
      <w:r>
        <w:t>[36]</w:t>
      </w:r>
      <w:r>
        <w:tab/>
      </w:r>
      <w:r>
        <w:t>鞠金峰</w:t>
      </w:r>
      <w:r>
        <w:t xml:space="preserve">, </w:t>
      </w:r>
      <w:r>
        <w:t>马祥</w:t>
      </w:r>
      <w:r>
        <w:t xml:space="preserve">, </w:t>
      </w:r>
      <w:r>
        <w:t>赵富强</w:t>
      </w:r>
      <w:r>
        <w:t xml:space="preserve">, </w:t>
      </w:r>
      <w:r>
        <w:t>等</w:t>
      </w:r>
      <w:r>
        <w:t xml:space="preserve">. </w:t>
      </w:r>
      <w:r>
        <w:t>东胜煤田导水裂缝发育及其分区特征研究</w:t>
      </w:r>
      <w:r>
        <w:t xml:space="preserve">[J]. </w:t>
      </w:r>
      <w:r>
        <w:t>煤炭科学技术</w:t>
      </w:r>
      <w:r>
        <w:t>, 2022, 50(2): 202-212. DOI: 10.13199/j.cnki.cst.2021-0169.</w:t>
      </w:r>
    </w:p>
    <w:p w14:paraId="056BD6AA" w14:textId="77777777" w:rsidR="00D24CB0" w:rsidRDefault="00691361">
      <w:r>
        <w:t>[37]</w:t>
      </w:r>
      <w:r>
        <w:tab/>
      </w:r>
      <w:r>
        <w:t>郭小铭</w:t>
      </w:r>
      <w:r>
        <w:t xml:space="preserve">, </w:t>
      </w:r>
      <w:r>
        <w:t>王皓</w:t>
      </w:r>
      <w:r>
        <w:t xml:space="preserve">, </w:t>
      </w:r>
      <w:r>
        <w:t>周麟晟</w:t>
      </w:r>
      <w:r>
        <w:t xml:space="preserve">. </w:t>
      </w:r>
      <w:r>
        <w:t>煤层顶板巨厚基岩含水层空间富水性评价</w:t>
      </w:r>
      <w:r>
        <w:t xml:space="preserve">[J]. </w:t>
      </w:r>
      <w:r>
        <w:t>煤炭科学技术</w:t>
      </w:r>
      <w:r>
        <w:t>, 2021, 49(9): 167-175. DOI: 10.13199/j.cnki.cst.2021.09.024.</w:t>
      </w:r>
    </w:p>
    <w:p w14:paraId="1516D894" w14:textId="77777777" w:rsidR="00D24CB0" w:rsidRDefault="00691361">
      <w:r>
        <w:t>[38]</w:t>
      </w:r>
      <w:r>
        <w:tab/>
      </w:r>
      <w:r>
        <w:t>王苏健</w:t>
      </w:r>
      <w:r>
        <w:t xml:space="preserve">, </w:t>
      </w:r>
      <w:r>
        <w:t>金声尧</w:t>
      </w:r>
      <w:r>
        <w:t xml:space="preserve">. </w:t>
      </w:r>
      <w:r>
        <w:t>类孤岛工作面复采方案优</w:t>
      </w:r>
      <w:r>
        <w:lastRenderedPageBreak/>
        <w:t>选分析研究</w:t>
      </w:r>
      <w:r>
        <w:t xml:space="preserve">[J]. </w:t>
      </w:r>
      <w:r>
        <w:t>煤炭科学技术</w:t>
      </w:r>
      <w:r>
        <w:t>, 2021, 49(9): 9-16. DOI: 10.13199/j.cnki.cst.2021.09.002.</w:t>
      </w:r>
    </w:p>
    <w:p w14:paraId="287F6EAC" w14:textId="77777777" w:rsidR="00D24CB0" w:rsidRDefault="00691361">
      <w:r>
        <w:t>[39]</w:t>
      </w:r>
      <w:r>
        <w:tab/>
      </w:r>
      <w:r>
        <w:t>王玉涛</w:t>
      </w:r>
      <w:r>
        <w:t xml:space="preserve">, </w:t>
      </w:r>
      <w:r>
        <w:t>刘震</w:t>
      </w:r>
      <w:r>
        <w:t xml:space="preserve">. </w:t>
      </w:r>
      <w:r>
        <w:t>深部煤层非充分采动下覆岩裂隙场可视化探测研究</w:t>
      </w:r>
      <w:r>
        <w:t xml:space="preserve">[J]. </w:t>
      </w:r>
      <w:r>
        <w:t>煤炭科学技术</w:t>
      </w:r>
      <w:r>
        <w:t>, 2020, 48(3): 197-204. DOI: 10.13199/j.cnki.cst.2020.03.024.</w:t>
      </w:r>
    </w:p>
    <w:p w14:paraId="3BC58C35" w14:textId="77777777" w:rsidR="00D24CB0" w:rsidRDefault="00691361">
      <w:r>
        <w:t>[40]</w:t>
      </w:r>
      <w:r>
        <w:tab/>
      </w:r>
      <w:r>
        <w:t>董江鑫</w:t>
      </w:r>
      <w:r>
        <w:t xml:space="preserve">, </w:t>
      </w:r>
      <w:r>
        <w:t>王飞</w:t>
      </w:r>
      <w:r>
        <w:t xml:space="preserve">. </w:t>
      </w:r>
      <w:r>
        <w:t>地质雷达和高密度电法联合探测底板含水性的应用</w:t>
      </w:r>
      <w:r>
        <w:t xml:space="preserve">[J]. </w:t>
      </w:r>
      <w:r>
        <w:t>煤炭科学技术</w:t>
      </w:r>
      <w:r>
        <w:t>, 2022, 50(5): 222-231. DOI: 10.13199/j.cnki.cst.2020-0418.</w:t>
      </w:r>
    </w:p>
    <w:p w14:paraId="24A0B149" w14:textId="77777777" w:rsidR="00D24CB0" w:rsidRDefault="00691361">
      <w:r>
        <w:t>[41]</w:t>
      </w:r>
      <w:r>
        <w:tab/>
      </w:r>
      <w:r>
        <w:t>张玉军</w:t>
      </w:r>
      <w:r>
        <w:t xml:space="preserve">, </w:t>
      </w:r>
      <w:r>
        <w:t>宋业杰</w:t>
      </w:r>
      <w:r>
        <w:t xml:space="preserve">, </w:t>
      </w:r>
      <w:r>
        <w:t>樊振丽</w:t>
      </w:r>
      <w:r>
        <w:t xml:space="preserve">, </w:t>
      </w:r>
      <w:r>
        <w:t>等</w:t>
      </w:r>
      <w:r>
        <w:t xml:space="preserve">. </w:t>
      </w:r>
      <w:r>
        <w:t>鄂尔多斯盆地侏罗系煤田保水开采技术与应用</w:t>
      </w:r>
      <w:r>
        <w:t xml:space="preserve">[J]. </w:t>
      </w:r>
      <w:r>
        <w:t>煤炭科学技术</w:t>
      </w:r>
      <w:r>
        <w:t>, 2021, 49(4): 159-168. DOI: 10.13199/j.cnki.cst.2021.04.019.</w:t>
      </w:r>
    </w:p>
    <w:p w14:paraId="43BE03CD" w14:textId="77777777" w:rsidR="00D24CB0" w:rsidRDefault="00691361">
      <w:r>
        <w:t>[42]</w:t>
      </w:r>
      <w:r>
        <w:tab/>
      </w:r>
      <w:r>
        <w:t>李全生</w:t>
      </w:r>
      <w:r>
        <w:t xml:space="preserve">, </w:t>
      </w:r>
      <w:r>
        <w:t>鞠金峰</w:t>
      </w:r>
      <w:r>
        <w:t xml:space="preserve">, </w:t>
      </w:r>
      <w:r>
        <w:t>曹志国</w:t>
      </w:r>
      <w:r>
        <w:t xml:space="preserve">, </w:t>
      </w:r>
      <w:r>
        <w:t>等</w:t>
      </w:r>
      <w:r>
        <w:t xml:space="preserve">. </w:t>
      </w:r>
      <w:r>
        <w:t>基于导水裂隙带高度的地下水库适应性评价</w:t>
      </w:r>
      <w:r>
        <w:t xml:space="preserve">[J]. </w:t>
      </w:r>
      <w:r>
        <w:t>煤炭学报</w:t>
      </w:r>
      <w:r>
        <w:t>, 2017, 42(8): 2116-2124. DOI: 10.13225/j.cnki.jccs.2016.1871.</w:t>
      </w:r>
    </w:p>
    <w:p w14:paraId="6BA4B7D8" w14:textId="77777777" w:rsidR="00D24CB0" w:rsidRDefault="00691361">
      <w:r>
        <w:t>[43]</w:t>
      </w:r>
      <w:r>
        <w:tab/>
      </w:r>
      <w:r>
        <w:t>鞠金峰</w:t>
      </w:r>
      <w:r>
        <w:t xml:space="preserve">, </w:t>
      </w:r>
      <w:r>
        <w:t>许家林</w:t>
      </w:r>
      <w:r>
        <w:t xml:space="preserve">, </w:t>
      </w:r>
      <w:r>
        <w:t>朱卫兵</w:t>
      </w:r>
      <w:r>
        <w:t xml:space="preserve">. </w:t>
      </w:r>
      <w:r>
        <w:t>西部缺水矿区地下水库保水的库容研究</w:t>
      </w:r>
      <w:r>
        <w:t xml:space="preserve">[J]. </w:t>
      </w:r>
      <w:r>
        <w:t>煤炭学报</w:t>
      </w:r>
      <w:r>
        <w:t>, 2017, 42(2): 381-387. DOI: 10.13225/j.cnki.jccs.2016.6016.</w:t>
      </w:r>
    </w:p>
    <w:p w14:paraId="292DDAA6" w14:textId="77777777" w:rsidR="00D24CB0" w:rsidRDefault="00691361">
      <w:r>
        <w:t>[44]</w:t>
      </w:r>
      <w:r>
        <w:tab/>
      </w:r>
      <w:r>
        <w:t>徐智敏</w:t>
      </w:r>
      <w:r>
        <w:t xml:space="preserve">, </w:t>
      </w:r>
      <w:r>
        <w:t>高尚</w:t>
      </w:r>
      <w:r>
        <w:t xml:space="preserve">, </w:t>
      </w:r>
      <w:r>
        <w:t>孙亚军</w:t>
      </w:r>
      <w:r>
        <w:t xml:space="preserve">, </w:t>
      </w:r>
      <w:r>
        <w:t>等</w:t>
      </w:r>
      <w:r>
        <w:t xml:space="preserve">. </w:t>
      </w:r>
      <w:r>
        <w:t>西部典型侏罗系富煤区含水介质条件与水动力学特征</w:t>
      </w:r>
      <w:r>
        <w:t xml:space="preserve">[J]. </w:t>
      </w:r>
      <w:r>
        <w:t>煤炭学报</w:t>
      </w:r>
      <w:r>
        <w:t>, 2017, 42(2): 444-451. DOI: 10.13225/j.cnki.jccs.2016.6024.</w:t>
      </w:r>
    </w:p>
    <w:p w14:paraId="5F29CB79" w14:textId="77777777" w:rsidR="00D24CB0" w:rsidRDefault="00691361">
      <w:r>
        <w:lastRenderedPageBreak/>
        <w:t>[45]</w:t>
      </w:r>
      <w:r>
        <w:tab/>
      </w:r>
      <w:r>
        <w:t>董书宁</w:t>
      </w:r>
      <w:r>
        <w:t xml:space="preserve">, </w:t>
      </w:r>
      <w:r>
        <w:t>姬亚东</w:t>
      </w:r>
      <w:r>
        <w:t xml:space="preserve">, </w:t>
      </w:r>
      <w:r>
        <w:t>王皓</w:t>
      </w:r>
      <w:r>
        <w:t xml:space="preserve">, </w:t>
      </w:r>
      <w:r>
        <w:t>等</w:t>
      </w:r>
      <w:r>
        <w:t xml:space="preserve">. </w:t>
      </w:r>
      <w:r>
        <w:t>鄂尔多斯盆地侏罗纪煤田典型顶板水害防控技术与应用</w:t>
      </w:r>
      <w:r>
        <w:t xml:space="preserve">[J]. </w:t>
      </w:r>
      <w:r>
        <w:t>煤炭学报</w:t>
      </w:r>
      <w:r>
        <w:t>, 2020, 45(7): 2367-2375. DOI: 10.13225/j.cnki.jccs.DZ20.0697.</w:t>
      </w:r>
    </w:p>
    <w:p w14:paraId="616FD17F" w14:textId="77777777" w:rsidR="00D24CB0" w:rsidRDefault="00691361">
      <w:r>
        <w:t>[46]</w:t>
      </w:r>
      <w:r>
        <w:tab/>
      </w:r>
      <w:r>
        <w:t>刘晓丽</w:t>
      </w:r>
      <w:r>
        <w:t xml:space="preserve">, </w:t>
      </w:r>
      <w:r>
        <w:t>曹志国</w:t>
      </w:r>
      <w:r>
        <w:t xml:space="preserve">, </w:t>
      </w:r>
      <w:r>
        <w:t>陈苏社</w:t>
      </w:r>
      <w:r>
        <w:t xml:space="preserve">, </w:t>
      </w:r>
      <w:r>
        <w:t>等</w:t>
      </w:r>
      <w:r>
        <w:t xml:space="preserve">. </w:t>
      </w:r>
      <w:r>
        <w:t>煤矿分布式地下水库渗流场分析及优化调度</w:t>
      </w:r>
      <w:r>
        <w:t xml:space="preserve">[J]. </w:t>
      </w:r>
      <w:r>
        <w:t>煤炭学报</w:t>
      </w:r>
      <w:r>
        <w:t>, 2019, 44(12): 3693-3699. DOI: 10.13225/j.cnki.jccs.SH19.1167.</w:t>
      </w:r>
    </w:p>
    <w:p w14:paraId="19C4EE99" w14:textId="77777777" w:rsidR="00D24CB0" w:rsidRDefault="00691361">
      <w:r>
        <w:t>[47]</w:t>
      </w:r>
      <w:r>
        <w:tab/>
      </w:r>
      <w:r>
        <w:t>庞义辉</w:t>
      </w:r>
      <w:r>
        <w:t xml:space="preserve">, </w:t>
      </w:r>
      <w:r>
        <w:t>李全生</w:t>
      </w:r>
      <w:r>
        <w:t xml:space="preserve">, </w:t>
      </w:r>
      <w:r>
        <w:t>曹光明</w:t>
      </w:r>
      <w:r>
        <w:t xml:space="preserve">, </w:t>
      </w:r>
      <w:r>
        <w:t>等</w:t>
      </w:r>
      <w:r>
        <w:t xml:space="preserve">. </w:t>
      </w:r>
      <w:r>
        <w:t>煤矿地下水库储水空间构成分析及计算方法</w:t>
      </w:r>
      <w:r>
        <w:t xml:space="preserve">[J]. </w:t>
      </w:r>
      <w:r>
        <w:t>煤炭学报</w:t>
      </w:r>
      <w:r>
        <w:t>, 2019, 44(2): 557-566. DOI: 10.13225/j.cnki.jccs.2018.0417.</w:t>
      </w:r>
    </w:p>
    <w:p w14:paraId="330227EB" w14:textId="77777777" w:rsidR="00D24CB0" w:rsidRDefault="00691361">
      <w:r>
        <w:t>[48]</w:t>
      </w:r>
      <w:r>
        <w:tab/>
      </w:r>
      <w:r>
        <w:t>范立民</w:t>
      </w:r>
      <w:r>
        <w:t xml:space="preserve">, </w:t>
      </w:r>
      <w:r>
        <w:t>马雄德</w:t>
      </w:r>
      <w:r>
        <w:t xml:space="preserve">, </w:t>
      </w:r>
      <w:r>
        <w:t>蒋泽泉</w:t>
      </w:r>
      <w:r>
        <w:t xml:space="preserve">, </w:t>
      </w:r>
      <w:r>
        <w:t>等</w:t>
      </w:r>
      <w:r>
        <w:t xml:space="preserve">. </w:t>
      </w:r>
      <w:r>
        <w:t>保水采煤研究</w:t>
      </w:r>
      <w:r>
        <w:t>30</w:t>
      </w:r>
      <w:r>
        <w:t>年回顾与展望</w:t>
      </w:r>
      <w:r>
        <w:t xml:space="preserve">[J]. </w:t>
      </w:r>
      <w:r>
        <w:t>煤炭科学技术</w:t>
      </w:r>
      <w:r>
        <w:t>, 2019, 47(7): 1-30. DOI: 10.13199/j.cnki.cst.2019.07.001.</w:t>
      </w:r>
    </w:p>
    <w:p w14:paraId="74C22F05" w14:textId="77777777" w:rsidR="00D24CB0" w:rsidRDefault="00691361">
      <w:r>
        <w:t>[49]</w:t>
      </w:r>
      <w:r>
        <w:tab/>
      </w:r>
      <w:r>
        <w:t>许家林</w:t>
      </w:r>
      <w:r>
        <w:t xml:space="preserve">, </w:t>
      </w:r>
      <w:r>
        <w:t>朱卫兵</w:t>
      </w:r>
      <w:r>
        <w:t xml:space="preserve">, </w:t>
      </w:r>
      <w:r>
        <w:t>王晓振</w:t>
      </w:r>
      <w:r>
        <w:t xml:space="preserve">. </w:t>
      </w:r>
      <w:r>
        <w:t>基于关键层位置的导水裂隙带高度预计方法</w:t>
      </w:r>
      <w:r>
        <w:t xml:space="preserve">[J]. </w:t>
      </w:r>
      <w:r>
        <w:t>煤炭学报</w:t>
      </w:r>
      <w:r>
        <w:t>, 2012, 37(5): 762-769. DOI: 10.13225/j.cnki.jccs.2012.05.002.</w:t>
      </w:r>
    </w:p>
    <w:p w14:paraId="5892CC0D" w14:textId="77777777" w:rsidR="00D24CB0" w:rsidRDefault="00691361">
      <w:r>
        <w:t>[50]</w:t>
      </w:r>
      <w:r>
        <w:tab/>
      </w:r>
      <w:r>
        <w:t>郭小铭</w:t>
      </w:r>
      <w:r>
        <w:t xml:space="preserve">, </w:t>
      </w:r>
      <w:r>
        <w:t>董书宁</w:t>
      </w:r>
      <w:r>
        <w:t xml:space="preserve">. </w:t>
      </w:r>
      <w:r>
        <w:t>深埋煤层开采顶板基岩含水层渗流规律及保水技术</w:t>
      </w:r>
      <w:r>
        <w:t xml:space="preserve">[J]. </w:t>
      </w:r>
      <w:r>
        <w:t>煤炭学报</w:t>
      </w:r>
      <w:r>
        <w:t>, 2019, 44(3): 804-811. DOI: 10.13225/j.cnki.jccs.2018.6025.</w:t>
      </w:r>
    </w:p>
    <w:sectPr w:rsidR="00D24CB0" w:rsidSect="006A6807">
      <w:type w:val="continuous"/>
      <w:pgSz w:w="11906" w:h="16838"/>
      <w:pgMar w:top="1417" w:right="1134" w:bottom="1417" w:left="1134" w:header="720" w:footer="720"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301E88" w14:textId="77777777" w:rsidR="00691361" w:rsidRDefault="00691361" w:rsidP="00A31ACE">
      <w:pPr>
        <w:spacing w:after="0"/>
      </w:pPr>
      <w:r>
        <w:separator/>
      </w:r>
    </w:p>
  </w:endnote>
  <w:endnote w:type="continuationSeparator" w:id="0">
    <w:p w14:paraId="69198308" w14:textId="77777777" w:rsidR="00691361" w:rsidRDefault="00691361" w:rsidP="00A31AC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iberation Serif">
    <w:panose1 w:val="02020603050405020304"/>
    <w:charset w:val="00"/>
    <w:family w:val="roman"/>
    <w:pitch w:val="variable"/>
    <w:sig w:usb0="E0000AFF" w:usb1="500078FF" w:usb2="00000021" w:usb3="00000000" w:csb0="000001BF" w:csb1="00000000"/>
  </w:font>
  <w:font w:name="宋体">
    <w:altName w:val="SimSun"/>
    <w:panose1 w:val="02010600030101010101"/>
    <w:charset w:val="86"/>
    <w:family w:val="auto"/>
    <w:pitch w:val="variable"/>
    <w:sig w:usb0="00000203" w:usb1="288F0000" w:usb2="00000016" w:usb3="00000000" w:csb0="00040001" w:csb1="00000000"/>
  </w:font>
  <w:font w:name="Lucida Sans">
    <w:charset w:val="00"/>
    <w:family w:val="swiss"/>
    <w:pitch w:val="variable"/>
    <w:sig w:usb0="00000003" w:usb1="00000000" w:usb2="00000000" w:usb3="00000000" w:csb0="00000001" w:csb1="00000000"/>
  </w:font>
  <w:font w:name="黑体;SimHei">
    <w:altName w:val="宋体"/>
    <w:panose1 w:val="00000000000000000000"/>
    <w:charset w:val="86"/>
    <w:family w:val="roman"/>
    <w:notTrueType/>
    <w:pitch w:val="default"/>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华文仿宋;华文仿宋">
    <w:panose1 w:val="00000000000000000000"/>
    <w:charset w:val="86"/>
    <w:family w:val="roman"/>
    <w:notTrueType/>
    <w:pitch w:val="default"/>
  </w:font>
  <w:font w:name="宋体;SimSun">
    <w:altName w:val="宋体"/>
    <w:panose1 w:val="00000000000000000000"/>
    <w:charset w:val="86"/>
    <w:family w:val="roman"/>
    <w:notTrueType/>
    <w:pitch w:val="default"/>
  </w:font>
  <w:font w:name="Courier New">
    <w:panose1 w:val="02070309020205020404"/>
    <w:charset w:val="00"/>
    <w:family w:val="modern"/>
    <w:pitch w:val="fixed"/>
    <w:sig w:usb0="E0002EFF" w:usb1="C0007843" w:usb2="00000009" w:usb3="00000000" w:csb0="000001FF" w:csb1="00000000"/>
  </w:font>
  <w:font w:name="仿宋">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1DE481" w14:textId="77777777" w:rsidR="00691361" w:rsidRDefault="00691361" w:rsidP="00A31ACE">
      <w:pPr>
        <w:spacing w:after="0"/>
      </w:pPr>
      <w:r>
        <w:separator/>
      </w:r>
    </w:p>
  </w:footnote>
  <w:footnote w:type="continuationSeparator" w:id="0">
    <w:p w14:paraId="1D1CE039" w14:textId="77777777" w:rsidR="00691361" w:rsidRDefault="00691361" w:rsidP="00A31AC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3"/>
      <w:lvlText w:val=""/>
      <w:lvlJc w:val="left"/>
      <w:pPr>
        <w:tabs>
          <w:tab w:val="num" w:pos="360"/>
        </w:tabs>
        <w:ind w:left="360" w:hanging="360"/>
      </w:pPr>
      <w:rPr>
        <w:rFonts w:ascii="Symbol" w:hAnsi="Symbol" w:hint="default"/>
      </w:rPr>
    </w:lvl>
  </w:abstractNum>
  <w:num w:numId="1" w16cid:durableId="656609451">
    <w:abstractNumId w:val="8"/>
  </w:num>
  <w:num w:numId="2" w16cid:durableId="690880989">
    <w:abstractNumId w:val="6"/>
  </w:num>
  <w:num w:numId="3" w16cid:durableId="1668287682">
    <w:abstractNumId w:val="5"/>
  </w:num>
  <w:num w:numId="4" w16cid:durableId="1981423960">
    <w:abstractNumId w:val="4"/>
  </w:num>
  <w:num w:numId="5" w16cid:durableId="932972400">
    <w:abstractNumId w:val="7"/>
  </w:num>
  <w:num w:numId="6" w16cid:durableId="1274288007">
    <w:abstractNumId w:val="3"/>
  </w:num>
  <w:num w:numId="7" w16cid:durableId="1051229742">
    <w:abstractNumId w:val="2"/>
  </w:num>
  <w:num w:numId="8" w16cid:durableId="1622148553">
    <w:abstractNumId w:val="1"/>
  </w:num>
  <w:num w:numId="9" w16cid:durableId="5157765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1B10"/>
    <w:rsid w:val="000B659F"/>
    <w:rsid w:val="0015074B"/>
    <w:rsid w:val="00195275"/>
    <w:rsid w:val="001C5C40"/>
    <w:rsid w:val="00283D3A"/>
    <w:rsid w:val="0029639D"/>
    <w:rsid w:val="002D5CF2"/>
    <w:rsid w:val="003244EB"/>
    <w:rsid w:val="00326F90"/>
    <w:rsid w:val="0034260F"/>
    <w:rsid w:val="003C20E3"/>
    <w:rsid w:val="0040007B"/>
    <w:rsid w:val="004D2816"/>
    <w:rsid w:val="00532DB1"/>
    <w:rsid w:val="0059553B"/>
    <w:rsid w:val="005A0AB7"/>
    <w:rsid w:val="00633AE9"/>
    <w:rsid w:val="00691361"/>
    <w:rsid w:val="006A6807"/>
    <w:rsid w:val="006B0BC3"/>
    <w:rsid w:val="007E22B6"/>
    <w:rsid w:val="00801D65"/>
    <w:rsid w:val="008200F3"/>
    <w:rsid w:val="008D74B9"/>
    <w:rsid w:val="009330B5"/>
    <w:rsid w:val="00A046E0"/>
    <w:rsid w:val="00A249E2"/>
    <w:rsid w:val="00A31ACE"/>
    <w:rsid w:val="00A85C05"/>
    <w:rsid w:val="00AA1D8D"/>
    <w:rsid w:val="00AE7336"/>
    <w:rsid w:val="00B47730"/>
    <w:rsid w:val="00B66552"/>
    <w:rsid w:val="00CB0664"/>
    <w:rsid w:val="00D007CE"/>
    <w:rsid w:val="00D16AF6"/>
    <w:rsid w:val="00D24CB0"/>
    <w:rsid w:val="00D76BC3"/>
    <w:rsid w:val="00D823FF"/>
    <w:rsid w:val="00DC435D"/>
    <w:rsid w:val="00DE4743"/>
    <w:rsid w:val="00E05130"/>
    <w:rsid w:val="00F57282"/>
    <w:rsid w:val="00F63B3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70FE84A"/>
  <w14:defaultImageDpi w14:val="300"/>
  <w15:docId w15:val="{94CA1DDA-5E12-4E33-B8FA-670716E01F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宋体" w:hAnsi="Liberation Serif" w:cs="Lucida Sans"/>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next w:val="a0"/>
    <w:qFormat/>
    <w:pPr>
      <w:widowControl w:val="0"/>
      <w:suppressAutoHyphens w:val="0"/>
      <w:spacing w:before="120" w:after="120"/>
      <w:jc w:val="both"/>
    </w:pPr>
    <w:rPr>
      <w:rFonts w:ascii="Times New Roman" w:eastAsia="黑体;SimHei" w:hAnsi="Times New Roman" w:cs="Times New Roman"/>
      <w:kern w:val="2"/>
      <w:sz w:val="44"/>
      <w:lang w:bidi="ar-SA"/>
    </w:rPr>
  </w:style>
  <w:style w:type="paragraph" w:styleId="1">
    <w:name w:val="heading 1"/>
    <w:basedOn w:val="a"/>
    <w:next w:val="a"/>
    <w:uiPriority w:val="9"/>
    <w:qFormat/>
    <w:pPr>
      <w:keepNext/>
      <w:keepLines/>
      <w:tabs>
        <w:tab w:val="num" w:pos="360"/>
      </w:tabs>
      <w:spacing w:before="340" w:after="330" w:line="576" w:lineRule="auto"/>
      <w:ind w:left="360" w:hanging="360"/>
      <w:outlineLvl w:val="0"/>
    </w:pPr>
    <w:rPr>
      <w:b/>
      <w:bCs/>
      <w:szCs w:val="44"/>
    </w:rPr>
  </w:style>
  <w:style w:type="paragraph" w:styleId="2">
    <w:name w:val="heading 2"/>
    <w:basedOn w:val="a"/>
    <w:next w:val="a"/>
    <w:uiPriority w:val="9"/>
    <w:semiHidden/>
    <w:unhideWhenUsed/>
    <w:qFormat/>
    <w:pPr>
      <w:keepNext/>
      <w:keepLines/>
      <w:numPr>
        <w:ilvl w:val="1"/>
        <w:numId w:val="1"/>
      </w:numPr>
      <w:spacing w:before="260" w:after="260" w:line="415" w:lineRule="auto"/>
      <w:outlineLvl w:val="1"/>
    </w:pPr>
    <w:rPr>
      <w:rFonts w:ascii="Arial" w:hAnsi="Arial" w:cs="Arial"/>
      <w:b/>
      <w:bCs/>
      <w:sz w:val="32"/>
      <w:szCs w:val="32"/>
    </w:rPr>
  </w:style>
  <w:style w:type="paragraph" w:styleId="3">
    <w:name w:val="heading 3"/>
    <w:basedOn w:val="a"/>
    <w:next w:val="a"/>
    <w:uiPriority w:val="9"/>
    <w:semiHidden/>
    <w:unhideWhenUsed/>
    <w:qFormat/>
    <w:pPr>
      <w:keepNext/>
      <w:keepLines/>
      <w:numPr>
        <w:ilvl w:val="2"/>
        <w:numId w:val="1"/>
      </w:numPr>
      <w:spacing w:before="260" w:after="260" w:line="415" w:lineRule="auto"/>
      <w:outlineLvl w:val="2"/>
    </w:pPr>
    <w:rPr>
      <w:b/>
      <w:bCs/>
      <w:sz w:val="32"/>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WW8Num1z0">
    <w:name w:val="WW8Num1z0"/>
    <w:qFormat/>
  </w:style>
  <w:style w:type="character" w:customStyle="1" w:styleId="WW8Num1z1">
    <w:name w:val="WW8Num1z1"/>
    <w:qFormat/>
    <w:rPr>
      <w:rFonts w:ascii="Wingdings" w:hAnsi="Wingdings" w:cs="Wingdings"/>
    </w:rPr>
  </w:style>
  <w:style w:type="character" w:customStyle="1" w:styleId="WW8Num2z0">
    <w:name w:val="WW8Num2z0"/>
    <w:qFormat/>
    <w:rPr>
      <w:rFonts w:ascii="华文仿宋;华文仿宋" w:eastAsia="华文仿宋;华文仿宋" w:hAnsi="华文仿宋;华文仿宋" w:cs="华文仿宋;华文仿宋"/>
      <w:sz w:val="21"/>
    </w:rPr>
  </w:style>
  <w:style w:type="character" w:customStyle="1" w:styleId="WW8Num3z0">
    <w:name w:val="WW8Num3z0"/>
    <w:qFormat/>
  </w:style>
  <w:style w:type="character" w:customStyle="1" w:styleId="WW8Num4z0">
    <w:name w:val="WW8Num4z0"/>
    <w:qFormat/>
  </w:style>
  <w:style w:type="character" w:customStyle="1" w:styleId="WW8Num5z0">
    <w:name w:val="WW8Num5z0"/>
    <w:qFormat/>
    <w:rPr>
      <w:rFonts w:ascii="华文仿宋;华文仿宋" w:eastAsia="华文仿宋;华文仿宋" w:hAnsi="华文仿宋;华文仿宋" w:cs="华文仿宋;华文仿宋"/>
    </w:rPr>
  </w:style>
  <w:style w:type="character" w:customStyle="1" w:styleId="WW8Num6z0">
    <w:name w:val="WW8Num6z0"/>
    <w:qFormat/>
    <w:rPr>
      <w:rFonts w:ascii="Wingdings" w:hAnsi="Wingdings" w:cs="Wingdings"/>
    </w:rPr>
  </w:style>
  <w:style w:type="character" w:customStyle="1" w:styleId="WW8Num6z1">
    <w:name w:val="WW8Num6z1"/>
    <w:qFormat/>
  </w:style>
  <w:style w:type="character" w:customStyle="1" w:styleId="WW8Num7z0">
    <w:name w:val="WW8Num7z0"/>
    <w:qFormat/>
  </w:style>
  <w:style w:type="character" w:customStyle="1" w:styleId="WW8Num8z0">
    <w:name w:val="WW8Num8z0"/>
    <w:qFormat/>
    <w:rPr>
      <w:rFonts w:ascii="Wingdings" w:hAnsi="Wingdings" w:cs="Wingdings"/>
    </w:rPr>
  </w:style>
  <w:style w:type="character" w:customStyle="1" w:styleId="WW8Num9z0">
    <w:name w:val="WW8Num9z0"/>
    <w:qFormat/>
    <w:rPr>
      <w:rFonts w:ascii="华文仿宋;华文仿宋" w:eastAsia="华文仿宋;华文仿宋" w:hAnsi="华文仿宋;华文仿宋" w:cs="Times New Roman"/>
    </w:rPr>
  </w:style>
  <w:style w:type="character" w:customStyle="1" w:styleId="WW8Num10z0">
    <w:name w:val="WW8Num10z0"/>
    <w:qFormat/>
    <w:rPr>
      <w:rFonts w:ascii="Wingdings" w:hAnsi="Wingdings" w:cs="Wingdings"/>
    </w:rPr>
  </w:style>
  <w:style w:type="character" w:customStyle="1" w:styleId="WW8Num11z0">
    <w:name w:val="WW8Num11z0"/>
    <w:qFormat/>
    <w:rPr>
      <w:rFonts w:hint="eastAsia"/>
    </w:rPr>
  </w:style>
  <w:style w:type="character" w:customStyle="1" w:styleId="WW8Num12z0">
    <w:name w:val="WW8Num12z0"/>
    <w:qFormat/>
    <w:rPr>
      <w:rFonts w:ascii="宋体;SimSun" w:hAnsi="宋体;SimSun" w:cs="宋体;SimSun"/>
    </w:rPr>
  </w:style>
  <w:style w:type="character" w:customStyle="1" w:styleId="WW8Num13z0">
    <w:name w:val="WW8Num13z0"/>
    <w:qFormat/>
  </w:style>
  <w:style w:type="character" w:styleId="a4">
    <w:name w:val="line number"/>
    <w:basedOn w:val="a1"/>
  </w:style>
  <w:style w:type="character" w:styleId="a5">
    <w:name w:val="page number"/>
    <w:basedOn w:val="a1"/>
  </w:style>
  <w:style w:type="character" w:customStyle="1" w:styleId="Char">
    <w:name w:val="文本块 Char"/>
    <w:qFormat/>
    <w:rPr>
      <w:rFonts w:eastAsia="宋体;SimSun"/>
      <w:kern w:val="2"/>
      <w:sz w:val="15"/>
      <w:szCs w:val="24"/>
      <w:lang w:bidi="ar-SA"/>
    </w:rPr>
  </w:style>
  <w:style w:type="character" w:customStyle="1" w:styleId="1Char">
    <w:name w:val="标题 1 Char"/>
    <w:qFormat/>
    <w:rPr>
      <w:rFonts w:eastAsia="黑体;SimHei"/>
      <w:b/>
      <w:bCs/>
      <w:kern w:val="2"/>
      <w:sz w:val="44"/>
      <w:szCs w:val="44"/>
      <w:lang w:bidi="ar-SA"/>
    </w:rPr>
  </w:style>
  <w:style w:type="character" w:customStyle="1" w:styleId="MTDisplayEquationChar">
    <w:name w:val="MTDisplayEquation Char"/>
    <w:qFormat/>
    <w:rPr>
      <w:rFonts w:eastAsia="宋体;SimSun"/>
      <w:kern w:val="2"/>
      <w:sz w:val="24"/>
      <w:szCs w:val="22"/>
      <w:lang w:bidi="ar-SA"/>
    </w:rPr>
  </w:style>
  <w:style w:type="character" w:customStyle="1" w:styleId="11Char">
    <w:name w:val="11一级标题 Char"/>
    <w:qFormat/>
    <w:rPr>
      <w:rFonts w:eastAsia="黑体;SimHei"/>
      <w:b/>
      <w:bCs/>
      <w:kern w:val="2"/>
      <w:sz w:val="28"/>
      <w:szCs w:val="28"/>
      <w:vertAlign w:val="superscript"/>
      <w:lang w:bidi="ar-SA"/>
    </w:rPr>
  </w:style>
  <w:style w:type="character" w:styleId="a6">
    <w:name w:val="Strong"/>
    <w:qFormat/>
    <w:rPr>
      <w:b/>
      <w:bCs/>
    </w:rPr>
  </w:style>
  <w:style w:type="character" w:customStyle="1" w:styleId="a7">
    <w:name w:val="批注框文本 字符"/>
    <w:qFormat/>
    <w:rPr>
      <w:rFonts w:eastAsia="黑体;SimHei"/>
      <w:kern w:val="2"/>
      <w:sz w:val="18"/>
      <w:szCs w:val="18"/>
    </w:rPr>
  </w:style>
  <w:style w:type="paragraph" w:customStyle="1" w:styleId="a8">
    <w:name w:val="标题样式"/>
    <w:basedOn w:val="a"/>
    <w:next w:val="a9"/>
    <w:qFormat/>
    <w:pPr>
      <w:spacing w:before="240" w:after="60"/>
      <w:jc w:val="center"/>
      <w:outlineLvl w:val="0"/>
    </w:pPr>
    <w:rPr>
      <w:rFonts w:ascii="Arial" w:eastAsia="宋体;SimSun" w:hAnsi="Arial" w:cs="Arial"/>
      <w:b/>
      <w:bCs/>
      <w:sz w:val="32"/>
      <w:szCs w:val="32"/>
    </w:rPr>
  </w:style>
  <w:style w:type="paragraph" w:styleId="a9">
    <w:name w:val="Body Text"/>
    <w:basedOn w:val="a"/>
  </w:style>
  <w:style w:type="paragraph" w:styleId="aa">
    <w:name w:val="List"/>
    <w:basedOn w:val="a9"/>
    <w:rPr>
      <w:rFonts w:cs="Lucida Sans"/>
    </w:rPr>
  </w:style>
  <w:style w:type="paragraph" w:styleId="ab">
    <w:name w:val="caption"/>
    <w:basedOn w:val="a"/>
    <w:qFormat/>
    <w:pPr>
      <w:suppressLineNumbers/>
    </w:pPr>
    <w:rPr>
      <w:rFonts w:cs="Lucida Sans"/>
      <w:i/>
      <w:iCs/>
      <w:sz w:val="24"/>
    </w:rPr>
  </w:style>
  <w:style w:type="paragraph" w:customStyle="1" w:styleId="ac">
    <w:name w:val="索引"/>
    <w:basedOn w:val="a"/>
    <w:qFormat/>
    <w:pPr>
      <w:suppressLineNumbers/>
    </w:pPr>
    <w:rPr>
      <w:rFonts w:cs="Lucida Sans"/>
    </w:rPr>
  </w:style>
  <w:style w:type="paragraph" w:styleId="ad">
    <w:name w:val="Document Map"/>
    <w:basedOn w:val="a"/>
    <w:qFormat/>
    <w:rPr>
      <w:sz w:val="21"/>
    </w:rPr>
  </w:style>
  <w:style w:type="paragraph" w:customStyle="1" w:styleId="ae">
    <w:name w:val="页眉与页脚"/>
    <w:basedOn w:val="a"/>
    <w:qFormat/>
    <w:pPr>
      <w:suppressLineNumbers/>
      <w:tabs>
        <w:tab w:val="center" w:pos="4819"/>
        <w:tab w:val="right" w:pos="9638"/>
      </w:tabs>
    </w:pPr>
  </w:style>
  <w:style w:type="paragraph" w:styleId="af">
    <w:name w:val="footer"/>
    <w:basedOn w:val="a"/>
    <w:pPr>
      <w:tabs>
        <w:tab w:val="center" w:pos="4153"/>
        <w:tab w:val="right" w:pos="8306"/>
      </w:tabs>
      <w:snapToGrid w:val="0"/>
      <w:jc w:val="left"/>
    </w:pPr>
    <w:rPr>
      <w:sz w:val="18"/>
      <w:szCs w:val="18"/>
    </w:rPr>
  </w:style>
  <w:style w:type="paragraph" w:styleId="af0">
    <w:name w:val="Block Text"/>
    <w:basedOn w:val="a"/>
    <w:qFormat/>
    <w:pPr>
      <w:spacing w:before="0" w:after="0"/>
      <w:ind w:left="567" w:hanging="567"/>
    </w:pPr>
    <w:rPr>
      <w:rFonts w:eastAsia="宋体;SimSun"/>
      <w:sz w:val="15"/>
    </w:rPr>
  </w:style>
  <w:style w:type="paragraph" w:styleId="a0">
    <w:name w:val="Plain Text"/>
    <w:basedOn w:val="a"/>
    <w:qFormat/>
    <w:rPr>
      <w:rFonts w:ascii="宋体;SimSun" w:eastAsia="宋体;SimSun" w:hAnsi="宋体;SimSun" w:cs="Courier New"/>
      <w:sz w:val="21"/>
      <w:szCs w:val="21"/>
    </w:rPr>
  </w:style>
  <w:style w:type="paragraph" w:styleId="af1">
    <w:name w:val="header"/>
    <w:basedOn w:val="a"/>
    <w:pPr>
      <w:pBdr>
        <w:bottom w:val="single" w:sz="6" w:space="1" w:color="000000"/>
      </w:pBdr>
      <w:tabs>
        <w:tab w:val="center" w:pos="4153"/>
        <w:tab w:val="right" w:pos="8306"/>
      </w:tabs>
      <w:snapToGrid w:val="0"/>
      <w:jc w:val="center"/>
    </w:pPr>
    <w:rPr>
      <w:sz w:val="18"/>
      <w:szCs w:val="18"/>
    </w:rPr>
  </w:style>
  <w:style w:type="paragraph" w:customStyle="1" w:styleId="MTDisplayEquation">
    <w:name w:val="MTDisplayEquation"/>
    <w:basedOn w:val="a"/>
    <w:next w:val="a"/>
    <w:qFormat/>
    <w:pPr>
      <w:tabs>
        <w:tab w:val="center" w:pos="4160"/>
        <w:tab w:val="right" w:pos="8300"/>
      </w:tabs>
      <w:spacing w:before="0" w:after="0" w:line="264" w:lineRule="auto"/>
      <w:ind w:firstLineChars="200" w:firstLine="200"/>
    </w:pPr>
    <w:rPr>
      <w:rFonts w:eastAsia="宋体;SimSun"/>
      <w:sz w:val="24"/>
      <w:szCs w:val="22"/>
    </w:rPr>
  </w:style>
  <w:style w:type="paragraph" w:customStyle="1" w:styleId="03">
    <w:name w:val="03中文姓名"/>
    <w:basedOn w:val="a"/>
    <w:qFormat/>
    <w:pPr>
      <w:spacing w:before="0" w:after="50"/>
      <w:jc w:val="center"/>
    </w:pPr>
    <w:rPr>
      <w:rFonts w:eastAsia="仿宋"/>
      <w:w w:val="85"/>
      <w:sz w:val="24"/>
      <w:szCs w:val="28"/>
    </w:rPr>
  </w:style>
  <w:style w:type="paragraph" w:customStyle="1" w:styleId="07">
    <w:name w:val="07英文姓名"/>
    <w:basedOn w:val="03"/>
    <w:qFormat/>
    <w:rPr>
      <w:rFonts w:eastAsia="Times New Roman"/>
      <w:w w:val="100"/>
      <w:sz w:val="21"/>
    </w:rPr>
  </w:style>
  <w:style w:type="paragraph" w:customStyle="1" w:styleId="17">
    <w:name w:val="17参考文献"/>
    <w:qFormat/>
    <w:pPr>
      <w:tabs>
        <w:tab w:val="left" w:pos="510"/>
      </w:tabs>
      <w:spacing w:line="260" w:lineRule="atLeast"/>
      <w:ind w:left="510" w:hanging="510"/>
      <w:jc w:val="both"/>
    </w:pPr>
    <w:rPr>
      <w:rFonts w:ascii="Times New Roman" w:eastAsia="宋体;SimSun" w:hAnsi="Times New Roman" w:cs="Times New Roman"/>
      <w:kern w:val="2"/>
      <w:sz w:val="15"/>
      <w:lang w:bidi="ar-SA"/>
    </w:rPr>
  </w:style>
  <w:style w:type="paragraph" w:customStyle="1" w:styleId="01">
    <w:name w:val="01首页顶部引用格式"/>
    <w:basedOn w:val="a"/>
    <w:qFormat/>
    <w:pPr>
      <w:spacing w:before="0" w:after="0" w:line="280" w:lineRule="exact"/>
    </w:pPr>
    <w:rPr>
      <w:rFonts w:eastAsia="宋体;SimSun" w:cs="宋体;SimSun"/>
      <w:sz w:val="18"/>
      <w:szCs w:val="20"/>
    </w:rPr>
  </w:style>
  <w:style w:type="paragraph" w:customStyle="1" w:styleId="10505">
    <w:name w:val="样式 1首页顶部引用格式 + 段前: 0.5 行 段后: 0.5 行"/>
    <w:basedOn w:val="01"/>
    <w:qFormat/>
  </w:style>
  <w:style w:type="paragraph" w:customStyle="1" w:styleId="16">
    <w:name w:val="16公式编号"/>
    <w:qFormat/>
    <w:pPr>
      <w:widowControl w:val="0"/>
      <w:tabs>
        <w:tab w:val="right" w:pos="4536"/>
        <w:tab w:val="right" w:pos="9680"/>
      </w:tabs>
      <w:spacing w:line="312" w:lineRule="atLeast"/>
    </w:pPr>
    <w:rPr>
      <w:rFonts w:ascii="Times New Roman" w:eastAsia="宋体;SimSun" w:hAnsi="Times New Roman" w:cs="Times New Roman"/>
      <w:kern w:val="2"/>
      <w:sz w:val="21"/>
      <w:szCs w:val="21"/>
      <w:lang w:bidi="ar-SA"/>
    </w:rPr>
  </w:style>
  <w:style w:type="paragraph" w:customStyle="1" w:styleId="11">
    <w:name w:val="11一级标题"/>
    <w:basedOn w:val="1"/>
    <w:qFormat/>
    <w:pPr>
      <w:tabs>
        <w:tab w:val="clear" w:pos="360"/>
      </w:tabs>
      <w:spacing w:before="0" w:after="0" w:line="624" w:lineRule="atLeast"/>
      <w:ind w:left="0" w:firstLine="0"/>
      <w:outlineLvl w:val="9"/>
    </w:pPr>
    <w:rPr>
      <w:b w:val="0"/>
      <w:sz w:val="28"/>
      <w:szCs w:val="28"/>
      <w:vertAlign w:val="superscript"/>
    </w:rPr>
  </w:style>
  <w:style w:type="paragraph" w:customStyle="1" w:styleId="10">
    <w:name w:val="10正文"/>
    <w:basedOn w:val="a9"/>
    <w:qFormat/>
    <w:pPr>
      <w:spacing w:before="0" w:after="0" w:line="312" w:lineRule="atLeast"/>
      <w:ind w:firstLineChars="200" w:firstLine="200"/>
    </w:pPr>
    <w:rPr>
      <w:rFonts w:eastAsia="宋体;SimSun"/>
      <w:sz w:val="21"/>
    </w:rPr>
  </w:style>
  <w:style w:type="paragraph" w:customStyle="1" w:styleId="04">
    <w:name w:val="04中文单位"/>
    <w:basedOn w:val="10"/>
    <w:qFormat/>
    <w:pPr>
      <w:spacing w:line="200" w:lineRule="atLeast"/>
      <w:jc w:val="center"/>
    </w:pPr>
    <w:rPr>
      <w:sz w:val="15"/>
    </w:rPr>
  </w:style>
  <w:style w:type="paragraph" w:customStyle="1" w:styleId="15">
    <w:name w:val="15表题"/>
    <w:basedOn w:val="04"/>
    <w:qFormat/>
    <w:pPr>
      <w:spacing w:line="260" w:lineRule="atLeast"/>
      <w:ind w:firstLineChars="0" w:firstLine="0"/>
    </w:pPr>
    <w:rPr>
      <w:rFonts w:eastAsia="黑体;SimHei"/>
      <w:sz w:val="18"/>
    </w:rPr>
  </w:style>
  <w:style w:type="paragraph" w:customStyle="1" w:styleId="06">
    <w:name w:val="06英文题目"/>
    <w:qFormat/>
    <w:pPr>
      <w:jc w:val="center"/>
    </w:pPr>
    <w:rPr>
      <w:rFonts w:ascii="Times New Roman" w:eastAsia="宋体;SimSun" w:hAnsi="Times New Roman" w:cs="Arial"/>
      <w:b/>
      <w:bCs/>
      <w:kern w:val="2"/>
      <w:sz w:val="28"/>
      <w:szCs w:val="32"/>
      <w:lang w:bidi="ar-SA"/>
    </w:rPr>
  </w:style>
  <w:style w:type="paragraph" w:customStyle="1" w:styleId="170">
    <w:name w:val="17+参考文献英文翻译"/>
    <w:qFormat/>
    <w:pPr>
      <w:spacing w:line="260" w:lineRule="atLeast"/>
      <w:ind w:left="510"/>
    </w:pPr>
    <w:rPr>
      <w:rFonts w:ascii="Times New Roman" w:eastAsia="Times New Roman" w:hAnsi="Times New Roman" w:cs="Times New Roman"/>
      <w:kern w:val="2"/>
      <w:sz w:val="15"/>
      <w:lang w:bidi="ar-SA"/>
    </w:rPr>
  </w:style>
  <w:style w:type="paragraph" w:customStyle="1" w:styleId="05">
    <w:name w:val="05中文摘要、关键词"/>
    <w:basedOn w:val="10"/>
    <w:qFormat/>
    <w:pPr>
      <w:tabs>
        <w:tab w:val="right" w:pos="567"/>
        <w:tab w:val="right" w:pos="624"/>
      </w:tabs>
      <w:ind w:firstLineChars="0" w:firstLine="0"/>
    </w:pPr>
    <w:rPr>
      <w:rFonts w:eastAsia="楷体"/>
    </w:rPr>
  </w:style>
  <w:style w:type="paragraph" w:customStyle="1" w:styleId="09">
    <w:name w:val="09英文摘要、关键词"/>
    <w:basedOn w:val="05"/>
    <w:qFormat/>
    <w:pPr>
      <w:tabs>
        <w:tab w:val="clear" w:pos="567"/>
        <w:tab w:val="clear" w:pos="624"/>
      </w:tabs>
    </w:pPr>
  </w:style>
  <w:style w:type="paragraph" w:customStyle="1" w:styleId="12">
    <w:name w:val="12二级标题"/>
    <w:basedOn w:val="2"/>
    <w:qFormat/>
    <w:pPr>
      <w:numPr>
        <w:ilvl w:val="0"/>
        <w:numId w:val="0"/>
      </w:numPr>
      <w:spacing w:before="0" w:after="0" w:line="312" w:lineRule="exact"/>
      <w:outlineLvl w:val="9"/>
    </w:pPr>
    <w:rPr>
      <w:rFonts w:ascii="Times New Roman" w:hAnsi="Times New Roman" w:cs="Times New Roman"/>
      <w:b w:val="0"/>
      <w:sz w:val="24"/>
    </w:rPr>
  </w:style>
  <w:style w:type="paragraph" w:customStyle="1" w:styleId="02">
    <w:name w:val="02论文题目"/>
    <w:basedOn w:val="a8"/>
    <w:qFormat/>
    <w:pPr>
      <w:spacing w:before="100" w:after="100"/>
    </w:pPr>
    <w:rPr>
      <w:rFonts w:ascii="Times New Roman" w:eastAsia="黑体;SimHei" w:hAnsi="Times New Roman" w:cs="Times New Roman"/>
      <w:b w:val="0"/>
    </w:rPr>
  </w:style>
  <w:style w:type="paragraph" w:customStyle="1" w:styleId="13">
    <w:name w:val="1磅行距"/>
    <w:basedOn w:val="02"/>
    <w:qFormat/>
    <w:pPr>
      <w:spacing w:before="0" w:after="0" w:line="20" w:lineRule="exact"/>
      <w:outlineLvl w:val="9"/>
    </w:pPr>
    <w:rPr>
      <w:sz w:val="21"/>
    </w:rPr>
  </w:style>
  <w:style w:type="paragraph" w:customStyle="1" w:styleId="14">
    <w:name w:val="14图题"/>
    <w:basedOn w:val="04"/>
    <w:qFormat/>
    <w:pPr>
      <w:spacing w:line="260" w:lineRule="atLeast"/>
      <w:ind w:firstLineChars="0" w:firstLine="0"/>
    </w:pPr>
    <w:rPr>
      <w:sz w:val="18"/>
    </w:rPr>
  </w:style>
  <w:style w:type="paragraph" w:customStyle="1" w:styleId="08">
    <w:name w:val="08英文单位"/>
    <w:basedOn w:val="04"/>
    <w:qFormat/>
    <w:rPr>
      <w:i/>
    </w:rPr>
  </w:style>
  <w:style w:type="paragraph" w:customStyle="1" w:styleId="130">
    <w:name w:val="13三级标题"/>
    <w:basedOn w:val="3"/>
    <w:qFormat/>
    <w:pPr>
      <w:numPr>
        <w:ilvl w:val="0"/>
        <w:numId w:val="0"/>
      </w:numPr>
      <w:spacing w:before="0" w:after="0" w:line="312" w:lineRule="atLeast"/>
      <w:outlineLvl w:val="9"/>
    </w:pPr>
    <w:rPr>
      <w:rFonts w:eastAsia="宋体;SimSun"/>
      <w:b w:val="0"/>
      <w:sz w:val="21"/>
    </w:rPr>
  </w:style>
  <w:style w:type="paragraph" w:customStyle="1" w:styleId="18">
    <w:name w:val="18脚注"/>
    <w:basedOn w:val="10"/>
    <w:qFormat/>
    <w:pPr>
      <w:spacing w:line="240" w:lineRule="atLeast"/>
      <w:ind w:hangingChars="400" w:hanging="400"/>
    </w:pPr>
    <w:rPr>
      <w:sz w:val="15"/>
      <w:szCs w:val="15"/>
    </w:rPr>
  </w:style>
  <w:style w:type="paragraph" w:customStyle="1" w:styleId="050">
    <w:name w:val="0.5磅缩字间距"/>
    <w:basedOn w:val="10"/>
    <w:qFormat/>
    <w:rPr>
      <w:spacing w:val="-10"/>
    </w:rPr>
  </w:style>
  <w:style w:type="paragraph" w:styleId="af2">
    <w:name w:val="Normal (Web)"/>
    <w:basedOn w:val="a"/>
    <w:qFormat/>
    <w:pPr>
      <w:widowControl/>
      <w:spacing w:before="280" w:after="280"/>
      <w:jc w:val="left"/>
    </w:pPr>
    <w:rPr>
      <w:rFonts w:ascii="宋体;SimSun" w:eastAsia="宋体;SimSun" w:hAnsi="宋体;SimSun" w:cs="宋体;SimSun"/>
      <w:kern w:val="0"/>
      <w:sz w:val="24"/>
    </w:rPr>
  </w:style>
  <w:style w:type="paragraph" w:styleId="af3">
    <w:name w:val="Balloon Text"/>
    <w:basedOn w:val="a"/>
    <w:qFormat/>
    <w:pPr>
      <w:spacing w:before="0" w:after="0"/>
    </w:pPr>
    <w:rPr>
      <w:sz w:val="18"/>
      <w:szCs w:val="18"/>
    </w:rPr>
  </w:style>
  <w:style w:type="paragraph" w:customStyle="1" w:styleId="af4">
    <w:name w:val="框架内容"/>
    <w:basedOn w:val="a"/>
    <w:qFormat/>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numbering" w:customStyle="1" w:styleId="WW8Num10">
    <w:name w:val="WW8Num10"/>
    <w:qFormat/>
  </w:style>
  <w:style w:type="numbering" w:customStyle="1" w:styleId="WW8Num11">
    <w:name w:val="WW8Num11"/>
    <w:qFormat/>
  </w:style>
  <w:style w:type="numbering" w:customStyle="1" w:styleId="WW8Num12">
    <w:name w:val="WW8Num12"/>
    <w:qFormat/>
  </w:style>
  <w:style w:type="numbering" w:customStyle="1" w:styleId="WW8Num13">
    <w:name w:val="WW8Num13"/>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360</TotalTime>
  <Pages>23</Pages>
  <Words>11663</Words>
  <Characters>18779</Characters>
  <Application>Microsoft Office Word</Application>
  <DocSecurity>0</DocSecurity>
  <Lines>670</Lines>
  <Paragraphs>422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30020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浩天 刘</cp:lastModifiedBy>
  <cp:revision>11</cp:revision>
  <dcterms:created xsi:type="dcterms:W3CDTF">2013-12-23T23:15:00Z</dcterms:created>
  <dcterms:modified xsi:type="dcterms:W3CDTF">2026-04-18T13:12:00Z</dcterms:modified>
  <cp:category/>
</cp:coreProperties>
</file>