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4004" w14:textId="77777777" w:rsidR="007E22B6" w:rsidRDefault="00D76BC3">
      <w:pPr>
        <w:jc w:val="center"/>
        <w:rPr>
          <w:lang w:eastAsia="zh-CN"/>
        </w:rPr>
      </w:pPr>
      <w:r>
        <w:t>基于覆岩扰动指数约束的采区多目标协同规划方法</w:t>
      </w:r>
    </w:p>
    <w:p w14:paraId="2B3892B3" w14:textId="77777777" w:rsidR="007E22B6" w:rsidRDefault="00000000">
      <w:pPr>
        <w:jc w:val="center"/>
        <w:rPr>
          <w:lang w:eastAsia="zh-CN"/>
        </w:rPr>
      </w:pPr>
      <w:r>
        <w:t>作者：李杨，王楠，刘浩天（通信作者）</w:t>
      </w:r>
    </w:p>
    <w:p w14:paraId="3460AE2D" w14:textId="77777777" w:rsidR="007E22B6" w:rsidRDefault="00000000">
      <w:pPr>
        <w:jc w:val="center"/>
        <w:rPr>
          <w:lang w:eastAsia="zh-CN"/>
        </w:rPr>
      </w:pPr>
      <w:r>
        <w:t>单位：中国矿业大学（北京）能源与矿业学院，北京 100083</w:t>
      </w:r>
    </w:p>
    <w:p w14:paraId="7C06C352" w14:textId="77777777" w:rsidR="007E22B6" w:rsidRDefault="00000000">
      <w:pPr>
        <w:spacing w:after="60"/>
        <w:rPr>
          <w:lang w:eastAsia="zh-CN"/>
        </w:rPr>
      </w:pPr>
      <w:r>
        <w:t>作者简介：李杨（1982—），男，河北唐山人，教授，博士，研究方向为矿业工程。</w:t>
      </w:r>
    </w:p>
    <w:p w14:paraId="2A800BDD" w14:textId="77777777" w:rsidR="007E22B6" w:rsidRDefault="00000000">
      <w:pPr>
        <w:spacing w:after="60"/>
        <w:rPr>
          <w:lang w:eastAsia="zh-CN"/>
        </w:rPr>
      </w:pPr>
      <w:r>
        <w:t>通信作者：刘浩天（2001—），男，河北唐山人，博士研究生，研究方向为矿业工程。Tel：17692508100，E-mail：gqt2500103011@student.cumtb.edu.cn。</w:t>
      </w:r>
    </w:p>
    <w:p w14:paraId="0D53E67E" w14:textId="77777777" w:rsidR="007E22B6" w:rsidRDefault="00000000">
      <w:pPr>
        <w:spacing w:after="60"/>
        <w:rPr>
          <w:lang w:eastAsia="zh-CN"/>
        </w:rPr>
      </w:pPr>
      <w:r>
        <w:t>摘要：针对采区规划中离散地质信息难以转化为连续规划约束、多场景覆岩扰动风险难以统一表达以及规划结果难以向后续评价传递等问题，提出一种基于覆岩扰动指数（overburden disturbance index，ODI）约束的采区多目标协同规划方法。该方法以采区边界、钻孔样点和设计参数为输入，构建有效布置域与连续参数场，将地表沉陷、含水层扰动和上行开采等风险统一为ODI指标，并以前置约束形式参与工作面与巷道布局生成。研究区样例结果表明：15个钻孔样点的煤层厚度为2.8～4.8 m，平均3.7933 m；在255250.00 m²原始边界范围内，样例生成3个工作面和11条巷道，布置面积176565.72 m²，有效覆盖率69.17%，巷道总长度4817.50 m，平均规划评分68.8。ODI场统计显示，研究区ODI均值为0.4669，P90为0.7474，ODI&gt;0.70的栅格占15.89%。结果说明，该方法能够在统一空间参照和统一风险口径下完成参数场构建、风险前置约束和规划对象生成，可为采区规划中的多目标权衡与后续评价提供可复核的工程方法框架。</w:t>
      </w:r>
    </w:p>
    <w:p w14:paraId="66BE3501" w14:textId="77777777" w:rsidR="007E22B6" w:rsidRDefault="00000000">
      <w:pPr>
        <w:spacing w:after="60"/>
        <w:rPr>
          <w:lang w:eastAsia="zh-CN"/>
        </w:rPr>
      </w:pPr>
      <w:r>
        <w:t>关键词：采区规划；覆岩扰动指数；多目标协同规划；风险前置约束；采掘接续；工程经济评价</w:t>
      </w:r>
    </w:p>
    <w:p w14:paraId="2A046146" w14:textId="77777777" w:rsidR="007E22B6" w:rsidRDefault="00DE4743">
      <w:pPr>
        <w:spacing w:before="40" w:after="40"/>
        <w:jc w:val="center"/>
      </w:pPr>
      <w:r>
        <w:t>Multi-objective collaborative planning method for mining district constrained by overburden disturbance index</w:t>
      </w:r>
    </w:p>
    <w:p w14:paraId="05148237" w14:textId="77777777" w:rsidR="007E22B6" w:rsidRDefault="00000000">
      <w:pPr>
        <w:spacing w:after="40"/>
        <w:jc w:val="center"/>
      </w:pPr>
      <w:r>
        <w:t>LI Yang, WANG Nan, LIU Haotian (Corresponding author)</w:t>
      </w:r>
    </w:p>
    <w:p w14:paraId="7ED42BE7" w14:textId="77777777" w:rsidR="007E22B6" w:rsidRDefault="00000000">
      <w:pPr>
        <w:spacing w:after="40"/>
        <w:jc w:val="center"/>
      </w:pPr>
      <w:r>
        <w:t>School of Energy and Mining Engineering, China University of Mining and Technology-Beijing, Beijing 100083, China</w:t>
      </w:r>
    </w:p>
    <w:p w14:paraId="2CA53867" w14:textId="77777777" w:rsidR="00DE4743" w:rsidRDefault="00000000">
      <w:pPr>
        <w:spacing w:after="60"/>
      </w:pPr>
      <w:r>
        <w:t>Abstract: To address the difficulty of converting discrete geological information into continuous planning constraints, the heterogeneous expression of multi-scenario overburden disturbance risks, and the weak transferability of planning results to downstream evaluation, a multi-objective collaborative mining-district planning method constrained by the overburden disturbance index (ODI) is proposed. The method constructs an effective layout domain and continuous parameter fields from boundary, borehole and design-parameter inputs, unifies surface subsidence, aquifer disturbance and upward-mining-related risks into the ODI framework, and embeds the risk indicator into working-face and roadway layout generation. In the sample study area, the coal thickness of 15 boreholes ranges from 2.8 to 4.8 m with an average of 3.7933 m. Within the original boundary area of 255250.00 m2, the generated layout contains 3 working faces and 11 roadways, with a layout area of 176565.72 m2, an effective coverage ratio of 69.17%, a total roadway length of 4817.50 m, and an average planning score of 68.8. The ODI field has a mean value of 0.4669, a P90 value of 0.7474, and 15.89% of grids exceeding 0.70. The results indicate that the proposed method can integrate parameter-field construction, forward risk constraints, and planning-object generation under a unified spatial and risk-evaluation framework.</w:t>
      </w:r>
    </w:p>
    <w:p w14:paraId="59718814" w14:textId="77777777" w:rsidR="006B0BC3" w:rsidRDefault="00000000" w:rsidP="00DE4743">
      <w:pPr>
        <w:spacing w:after="60"/>
        <w:sectPr w:rsidR="006B0BC3" w:rsidSect="009330B5">
          <w:pgSz w:w="12240" w:h="15840"/>
          <w:pgMar w:top="1247" w:right="1077" w:bottom="1247" w:left="1077" w:header="720" w:footer="720" w:gutter="0"/>
          <w:cols w:space="425"/>
          <w:docGrid w:linePitch="360"/>
        </w:sectPr>
      </w:pPr>
      <w:r>
        <w:t>Keywords: mining district planning; overburden disturbance index; multi-objective collaborative planning; risk pre-constraint; mining succession; engineering economic evaluation</w:t>
      </w:r>
    </w:p>
    <w:p w14:paraId="737E5E19" w14:textId="77777777" w:rsidR="007E22B6" w:rsidRDefault="007E22B6">
      <w:pPr>
        <w:sectPr w:rsidR="007E22B6" w:rsidSect="009330B5">
          <w:pgSz w:w="12240" w:h="15840"/>
          <w:pgMar w:top="1247" w:right="1077" w:bottom="1247" w:left="1077" w:header="720" w:footer="720" w:gutter="0"/>
          <w:cols w:space="425"/>
          <w:docGrid w:linePitch="360"/>
        </w:sectPr>
      </w:pPr>
    </w:p>
    <w:p w14:paraId="51ECE86E" w14:textId="77777777" w:rsidR="007E22B6" w:rsidRPr="00A046E0" w:rsidRDefault="00000000" w:rsidP="00A046E0">
      <w:pPr>
        <w:pStyle w:val="1"/>
        <w:rPr>
          <w:rFonts w:ascii="宋体" w:hAnsi="宋体" w:hint="eastAsia"/>
          <w:lang w:eastAsia="zh-CN"/>
        </w:rPr>
      </w:pPr>
      <w:r>
        <w:t>0 引言</w:t>
      </w:r>
    </w:p>
    <w:p w14:paraId="089DADD7" w14:textId="77777777" w:rsidR="00D76BC3" w:rsidRDefault="00D76BC3" w:rsidP="00D76BC3">
      <w:pPr>
        <w:spacing w:after="40"/>
        <w:ind w:firstLine="420"/>
        <w:rPr>
          <w:lang w:eastAsia="zh-CN"/>
        </w:rPr>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2422B779" w14:textId="77777777" w:rsidR="00D76BC3" w:rsidRDefault="00D76BC3" w:rsidP="00D76BC3">
      <w:pPr>
        <w:spacing w:after="40"/>
        <w:ind w:firstLine="420"/>
        <w:rPr>
          <w:lang w:eastAsia="zh-CN"/>
        </w:rPr>
      </w:pPr>
      <w: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[4-10]。与此同时，地下矿山布置优化、多目标规划及生产调度研究表明，候选方案生成、目标排序和多方案比较能够提升规划决策质量[11-15]。近年来，数字孪生、矿山地质建模和过程管理技术的发展，也使采区边界、钻孔、分层和生产状态在统一数据空间中的组织与维护成为可能[16-18]；矿山经济评价方法则由静态收益核算逐步扩展到考虑风险扰动的现金流和净现值分析框架[19-21]。总体来看，现有研究已分别在风险表征、布局优化和数据管理等方面取得较多成果，为采区智能规划提供了方法储备。</w:t>
      </w:r>
    </w:p>
    <w:p w14:paraId="62E5506E" w14:textId="77777777" w:rsidR="00D76BC3" w:rsidRDefault="00D76BC3" w:rsidP="00D76BC3">
      <w:pPr>
        <w:spacing w:after="40"/>
        <w:ind w:firstLine="420"/>
        <w:rPr>
          <w:lang w:eastAsia="zh-CN"/>
        </w:rPr>
      </w:pPr>
      <w: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24B8400" w14:textId="77777777" w:rsidR="00D76BC3" w:rsidRDefault="00D76BC3" w:rsidP="00D76BC3">
      <w:pPr>
        <w:spacing w:after="40"/>
        <w:ind w:firstLine="420"/>
        <w:rPr>
          <w:lang w:eastAsia="zh-CN"/>
        </w:rPr>
      </w:pPr>
      <w: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7613A706" w14:textId="77777777" w:rsidR="00D76BC3" w:rsidRDefault="00D76BC3" w:rsidP="00D76BC3">
      <w:pPr>
        <w:spacing w:after="40"/>
        <w:ind w:firstLine="420"/>
        <w:rPr>
          <w:lang w:eastAsia="zh-CN"/>
        </w:rPr>
      </w:pPr>
      <w:r>
        <w:t>基于此，本文提出一种基于覆岩扰动指数（overburden disturbance index，ODI）约束的采区多目标协同规划方法。方法主线包括：构建有效布置域与连续参数场，将离散钻孔和边界信息转化为可计算约束；建立ODI统一风险口径，使地表沉陷、含水层扰动和上行开采等风险能够在同一尺度下参与规划；在工程效率、资源覆盖和扰动控制之间进行多目标权衡，形成可复核的工作面与巷道布局结果；最后，将规划结果作为后续采掘接续和经济评价的上游输入。本文强调的是样例条件下方法链和对象链的贯通性，不将当前结果扩展为真实矿井条件下的普适最优结论。</w:t>
      </w:r>
    </w:p>
    <w:p w14:paraId="6AFB85C4"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t>本文主要开展以下工作：构建采区有效布置域与连续参数场，建立多场景 ODI 风险统一表达方法；构建面向工程效率、资源回收与覆岩扰动控制的多目</w:t>
      </w:r>
    </w:p>
    <w:p w14:paraId="4E47A252" w14:textId="77777777" w:rsidR="00633AE9" w:rsidRDefault="00D76BC3" w:rsidP="00D76BC3">
      <w:pPr>
        <w:spacing w:after="40"/>
        <w:ind w:firstLine="420"/>
        <w:rPr>
          <w:lang w:eastAsia="zh-CN"/>
        </w:rPr>
      </w:pPr>
      <w:r>
        <w:t>标协同规划模型，形成多模式候选方案生成、筛选与比选机制；结合研究区案例，对参数场构建结果、ODI 风险分布、结构化规划结果与ODI风险统计结果进行分析。研究结果可为采区规划中的多目标权衡、风险前置控制与方案比选提供统一的计算框架和技术路径。</w:t>
      </w:r>
    </w:p>
    <w:p w14:paraId="2D2AEFD8"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633FF2F4" w14:textId="77777777" w:rsidR="007E22B6" w:rsidRDefault="00000000" w:rsidP="00A046E0">
      <w:pPr>
        <w:pStyle w:val="1"/>
        <w:rPr>
          <w:lang w:eastAsia="zh-CN"/>
        </w:rPr>
      </w:pPr>
      <w:r>
        <w:t>1 基于覆岩扰动指数约束的采区多目标协同规划方法</w:t>
      </w:r>
    </w:p>
    <w:p w14:paraId="27587167" w14:textId="77777777" w:rsidR="007E22B6" w:rsidRDefault="00000000" w:rsidP="00A046E0">
      <w:pPr>
        <w:pStyle w:val="21"/>
        <w:rPr>
          <w:lang w:eastAsia="zh-CN"/>
        </w:rPr>
      </w:pPr>
      <w:r>
        <w:t>1.1 覆岩扰动约束机理与 ODI 统一表达</w:t>
      </w:r>
    </w:p>
    <w:p w14:paraId="07035270" w14:textId="77777777" w:rsidR="00E05130" w:rsidRPr="00E05130" w:rsidRDefault="009330B5" w:rsidP="00E05130">
      <w:pPr>
        <w:spacing w:after="40"/>
        <w:ind w:firstLine="420"/>
        <w:rPr>
          <w:lang w:eastAsia="zh-CN"/>
        </w:rPr>
      </w:pPr>
      <w: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1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p>
    <w:p w14:paraId="257E5A3F" w14:textId="0CC718D7" w:rsidR="00195275" w:rsidRDefault="00DC435D">
      <w:pPr>
        <w:jc w:val="center"/>
        <w:rPr>
          <w:lang w:eastAsia="zh-CN"/>
        </w:rPr>
      </w:pPr>
      <w:r>
        <w:rPr>
          <w:noProof/>
        </w:rPr>
        <w:drawing>
          <wp:inline distT="0" distB="0" distL="0" distR="0" wp14:anchorId="391C9EBB" wp14:editId="60147B32">
            <wp:extent cx="6400800" cy="3139440"/>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139440"/>
                    </a:xfrm>
                    <a:prstGeom prst="rect">
                      <a:avLst/>
                    </a:prstGeom>
                    <a:noFill/>
                    <a:ln>
                      <a:noFill/>
                    </a:ln>
                  </pic:spPr>
                </pic:pic>
              </a:graphicData>
            </a:graphic>
          </wp:inline>
        </w:drawing>
      </w:r>
    </w:p>
    <w:p w14:paraId="7B58E844" w14:textId="77777777" w:rsidR="00195275" w:rsidRDefault="00000000">
      <w:pPr>
        <w:jc w:val="center"/>
        <w:rPr>
          <w:lang w:eastAsia="zh-CN"/>
        </w:rPr>
      </w:pPr>
      <w:r>
        <w:t>图1 覆岩扰动约束机理示意图</w:t>
      </w:r>
    </w:p>
    <w:p w14:paraId="1CD3808D" w14:textId="77777777" w:rsidR="00E05130" w:rsidRDefault="009330B5" w:rsidP="00E05130">
      <w:pPr>
        <w:spacing w:after="40"/>
        <w:ind w:firstLine="420"/>
        <w:rPr>
          <w:lang w:eastAsia="zh-CN"/>
        </w:rPr>
      </w:pPr>
      <w:r>
        <w:t>为统一不同风险场景下的约束表达，本文引入覆岩扰动指数 ODI 作为中介变量，将地表沉陷、含水层扰动和上行开采等异构风险转化为可比较的统一量纲，使其能够共同进入规划阶段的候选方案筛选与排序过程。对规划域内任意位置 ，ODI 可表示为</w:t>
      </w:r>
    </w:p>
    <w:p w14:paraId="78F760D5" w14:textId="77777777" w:rsidR="00D76BC3" w:rsidRDefault="00000000">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454AD3C0" w14:textId="77777777" w:rsidR="00E05130" w:rsidRDefault="00E05130" w:rsidP="009330B5">
      <w:pPr>
        <w:spacing w:after="40"/>
        <w:rPr>
          <w:lang w:eastAsia="zh-CN"/>
        </w:rPr>
      </w:pPr>
      <w:r>
        <w:t>并满足</w:t>
      </w:r>
    </w:p>
    <w:p w14:paraId="62AA36B4" w14:textId="77777777" w:rsidR="009330B5" w:rsidRPr="00E05130" w:rsidRDefault="00000000" w:rsidP="009330B5">
      <w:pPr>
        <w:spacing w:after="4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37017BF2" w14:textId="77777777" w:rsidR="009330B5" w:rsidRPr="009330B5" w:rsidRDefault="009330B5" w:rsidP="009330B5">
      <w:pPr>
        <w:spacing w:after="40"/>
        <w:ind w:firstLine="420"/>
        <w:rPr>
          <w:lang w:eastAsia="zh-CN"/>
        </w:rPr>
      </w:pPr>
      <w:r>
        <w:t>式中，ODI为覆岩扰动指数；x_i为第i类风险因子的归一化指标值；w_i为相应权重；n为纳入计算的风险因子数量。本文主要考虑地表沉陷、含水层扰动和上行开采3类风险场景，并通过权重归一化保证不同风险场景可在同一评价口径下参与规划。</w:t>
      </w:r>
    </w:p>
    <w:p w14:paraId="4EFCC39C" w14:textId="77777777" w:rsidR="009330B5" w:rsidRDefault="009330B5" w:rsidP="009330B5">
      <w:pPr>
        <w:spacing w:after="40"/>
        <w:ind w:firstLine="420"/>
        <w:rPr>
          <w:lang w:eastAsia="zh-CN"/>
        </w:rPr>
      </w:pPr>
      <w:r>
        <w:t>从规划语境看，ODI 的作用主要体现在3个方面：其一，用于识别采区尺度上的高扰动敏感区与相对有利区，为工作面初始布局提供空间边界；其二，用于比较不同候选方案在扰动均值、高分位水平及超限暴露比例上的差异，为方案排序提供统一依据；其三，作为后续调控、接续与经济评价的上游输入，使扰动判据能够从规划阶段持续传递至生产组织和效益分析环节。为便于方案级评价，进一步定义候选方案 的 ODI 统计指标为</w:t>
      </w:r>
    </w:p>
    <w:p w14:paraId="51E92990"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78EC56BF"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1DC8CAA2" w14:textId="77777777" w:rsidR="009330B5" w:rsidRDefault="009330B5" w:rsidP="009330B5">
      <w:pPr>
        <w:spacing w:after="40"/>
        <w:ind w:firstLine="420"/>
        <w:rPr>
          <w:lang w:eastAsia="zh-CN"/>
        </w:rPr>
      </w:pPr>
    </w:p>
    <w:p w14:paraId="3B127C66"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4F3B1CD6" w14:textId="77777777" w:rsidR="009330B5" w:rsidRDefault="009330B5" w:rsidP="009330B5">
      <w:pPr>
        <w:spacing w:after="40"/>
        <w:ind w:firstLine="420"/>
        <w:rPr>
          <w:lang w:eastAsia="zh-CN"/>
        </w:rPr>
      </w:pPr>
      <w:r>
        <w:t>式中，π为候选规划方案；A_π为方案π对应的布置区域；|A_π|为区域面积；Q_90表示ODI的90%分位数；T_ODI为扰动控制阈值；E_π表示方案区域内ODI超过阈值的暴露比例。上述统计量用于把风险场从图层表达转化为方案级评价指标。</w:t>
      </w:r>
    </w:p>
    <w:p w14:paraId="29CE1808"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627CC006" w14:textId="77777777" w:rsidR="007E22B6" w:rsidRDefault="00000000" w:rsidP="00A046E0">
      <w:pPr>
        <w:pStyle w:val="21"/>
        <w:rPr>
          <w:lang w:eastAsia="zh-CN"/>
        </w:rPr>
      </w:pPr>
      <w:r>
        <w:t>1.2 有效布置域与连续参数场构建</w:t>
      </w:r>
    </w:p>
    <w:p w14:paraId="66DF8D34" w14:textId="77777777" w:rsidR="009330B5" w:rsidRPr="009330B5" w:rsidRDefault="009330B5" w:rsidP="009330B5">
      <w:pPr>
        <w:spacing w:after="40"/>
        <w:ind w:firstLine="420"/>
        <w:rPr>
          <w:lang w:eastAsia="zh-CN"/>
        </w:rPr>
      </w:pPr>
      <w: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才能形成可参与方案生成与优选的统一参数体系。</w:t>
      </w:r>
    </w:p>
    <w:p w14:paraId="2938FABB" w14:textId="77777777" w:rsidR="009330B5" w:rsidRDefault="009330B5" w:rsidP="009330B5">
      <w:pPr>
        <w:spacing w:after="40"/>
        <w:ind w:firstLine="420"/>
        <w:rPr>
          <w:lang w:eastAsia="zh-CN"/>
        </w:rPr>
      </w:pPr>
      <w: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 ，边界煤柱约束、区段煤柱约束及保护对象约束对应的缓冲集合分别为 、 和 ，则有效布置域可写为</w:t>
      </w:r>
    </w:p>
    <w:p w14:paraId="09F78E8F"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7924C762" w14:textId="77777777" w:rsidR="009330B5" w:rsidRPr="009330B5" w:rsidRDefault="009330B5" w:rsidP="009330B5">
      <w:pPr>
        <w:spacing w:after="40"/>
        <w:ind w:firstLine="420"/>
        <w:rPr>
          <w:lang w:eastAsia="zh-CN"/>
        </w:rPr>
      </w:pPr>
      <w:r>
        <w:t>式中，Ω为原始采区边界，B_b为边界煤柱宽度，B_s为区段煤柱宽度，D_p为局部保护距离，Ω_e为经约束内缩和几何合法性处理后的有效布置域。若内缩后出现多连通域或局部狭长畸变，则保留主连通区域并采用降级内缩策略，以保证后续工作面布置具有几何可解性。</w:t>
      </w:r>
    </w:p>
    <w:p w14:paraId="1301E6BA" w14:textId="77777777" w:rsidR="009330B5" w:rsidRPr="009330B5" w:rsidRDefault="009330B5" w:rsidP="009330B5">
      <w:pPr>
        <w:spacing w:after="40"/>
        <w:ind w:firstLine="420"/>
        <w:rPr>
          <w:lang w:eastAsia="zh-CN"/>
        </w:rPr>
      </w:pPr>
      <w:r>
        <w:t>在连续参数场构建方面，本文采用基于钻孔样点的空间插值策略，将离散地质样本转换为规划域上的连续参数表达。对给定样点集合 ，煤层厚度等参数场可表示为</w:t>
      </w:r>
    </w:p>
    <w:p w14:paraId="4AFD253E"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6C8A93C9" w14:textId="77777777" w:rsidR="009330B5" w:rsidRPr="009330B5" w:rsidRDefault="009330B5" w:rsidP="009330B5">
      <w:pPr>
        <w:spacing w:after="40"/>
        <w:ind w:firstLine="420"/>
        <w:rPr>
          <w:lang w:eastAsia="zh-CN"/>
        </w:rPr>
      </w:pPr>
      <w:r>
        <w:t>式中，z(x)为规划位置x处的参数估计值；z_i为第i个钻孔样点的观测值；d_i(x)为位置x与第i个钻孔之间的距离；p为距离衰减指数。该表达体现反距离加权插值思想，目的在于把有限钻孔样点转换为可参与空间规划和风险叠加的连续参数场。</w:t>
      </w:r>
    </w:p>
    <w:p w14:paraId="1B54852D" w14:textId="77777777" w:rsidR="009330B5" w:rsidRPr="009330B5" w:rsidRDefault="009330B5" w:rsidP="009330B5">
      <w:pPr>
        <w:spacing w:after="40"/>
        <w:ind w:firstLine="420"/>
        <w:rPr>
          <w:lang w:eastAsia="zh-CN"/>
        </w:rPr>
      </w:pPr>
      <w: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1485CC44" w14:textId="77777777" w:rsidR="007E22B6" w:rsidRDefault="00000000" w:rsidP="00A046E0">
      <w:pPr>
        <w:pStyle w:val="21"/>
        <w:rPr>
          <w:lang w:eastAsia="zh-CN"/>
        </w:rPr>
      </w:pPr>
      <w:r>
        <w:t>1.3 候选方案生成与多目标协同规划模型</w:t>
      </w:r>
    </w:p>
    <w:p w14:paraId="6BFA1A07" w14:textId="77777777" w:rsidR="009330B5" w:rsidRPr="009330B5" w:rsidRDefault="009330B5" w:rsidP="009330B5">
      <w:pPr>
        <w:spacing w:after="40"/>
        <w:ind w:firstLine="420"/>
        <w:rPr>
          <w:rFonts w:ascii="宋体" w:hAnsi="宋体" w:hint="eastAsia"/>
          <w:lang w:eastAsia="zh-CN"/>
        </w:rPr>
      </w:pPr>
      <w: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74C569C3" w14:textId="77777777" w:rsidR="009330B5" w:rsidRPr="009330B5" w:rsidRDefault="009330B5" w:rsidP="009330B5">
      <w:pPr>
        <w:spacing w:after="40"/>
        <w:ind w:firstLine="420"/>
        <w:rPr>
          <w:rFonts w:ascii="宋体" w:hAnsi="宋体" w:hint="eastAsia"/>
          <w:lang w:eastAsia="zh-CN"/>
        </w:rPr>
      </w:pPr>
      <w:r>
        <w:t>设候选方案集合为 ，其中每个方案 包括工作面布置、巷道结构、推进方向、尺寸参数和煤柱配置等空间对象。围绕工程效率、资源回收和扰动控制3类目标，分别定义方案评价函数 、 和 。其中， 主要表征有效布置域覆盖率、工作面连续性、巷道组织便利性及工程实施稳定性； 主要表征厚度场加权下的可采资源水平与回收潜力； 主要表征方案在 ODI 约束下的扰动控制能力，可由 ODI 均值、高分位值和超限暴露比例综合计算得到。经归一化后，综合目标函数可写为</w:t>
      </w:r>
    </w:p>
    <w:p w14:paraId="54775B58" w14:textId="77777777" w:rsidR="009330B5" w:rsidRP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01F82267" w14:textId="77777777" w:rsidR="009330B5" w:rsidRDefault="009330B5">
      <w:pPr>
        <w:spacing w:after="40"/>
        <w:ind w:firstLine="420"/>
        <w:rPr>
          <w:rFonts w:ascii="宋体" w:hAnsi="宋体" w:hint="eastAsia"/>
          <w:lang w:eastAsia="zh-CN"/>
        </w:rPr>
      </w:pPr>
      <w:r>
        <w:t>并满足</w:t>
      </w:r>
    </w:p>
    <w:p w14:paraId="274C7E52" w14:textId="77777777" w:rsid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3C96CC69" w14:textId="77777777" w:rsidR="009330B5" w:rsidRPr="009330B5" w:rsidRDefault="009330B5" w:rsidP="009330B5">
      <w:pPr>
        <w:spacing w:after="40"/>
        <w:ind w:firstLine="420"/>
        <w:rPr>
          <w:rFonts w:ascii="宋体" w:hAnsi="宋体" w:hint="eastAsia"/>
          <w:lang w:eastAsia="zh-CN"/>
        </w:rPr>
      </w:pPr>
      <w:r>
        <w:t>式中，S_e(π)、S_r(π)和S_m(π)分别表示方案π在工程效率、资源覆盖和扰动控制方面的评价值；w_e、w_r和w_m为对应权重，且满足w_e+w_r+w_m=1。该目标函数用于说明多目标权衡口径，不替代真实矿井条件下的最终工程优选。</w:t>
      </w:r>
    </w:p>
    <w:p w14:paraId="002CA09B" w14:textId="77777777" w:rsidR="009330B5" w:rsidRPr="009330B5" w:rsidRDefault="009330B5" w:rsidP="009330B5">
      <w:pPr>
        <w:spacing w:after="40"/>
        <w:ind w:firstLine="420"/>
        <w:rPr>
          <w:rFonts w:ascii="宋体" w:hAnsi="宋体" w:hint="eastAsia"/>
          <w:lang w:eastAsia="zh-CN"/>
        </w:rPr>
      </w:pPr>
      <w:r>
        <w:t>具体而言，工程效率优先模式以有效布置域覆盖率、工作面连续性、巷道组织便利性和工程实施稳定性为核心，更强调在规程允许范围内快速形成高可实施性的布局结果；资源回收优先模式在覆盖率基础上进一步引入厚度场和可采吨位估计，使高厚度区和高资源价值区在排序中获得更高权重；覆岩扰动优先模式则把候选区域内 ODI 均值、P90 以及阈值超标比例等统计量作为主要依据，以低扰动暴露优先对候选方案进行筛选；综合权衡模式将工程效率、资源回收和扰动控制3类目标统一到同一候选池中，通过权重调节或综合排序完成方案比较。由此，系统既能给出单目标偏好下的解释性方案，也能支持多目标折中条件下的工程决策。</w:t>
      </w:r>
    </w:p>
    <w:p w14:paraId="4B1A0039" w14:textId="77777777" w:rsidR="009330B5" w:rsidRPr="009330B5" w:rsidRDefault="009330B5" w:rsidP="009330B5">
      <w:pPr>
        <w:spacing w:after="40"/>
        <w:ind w:firstLine="420"/>
        <w:rPr>
          <w:rFonts w:ascii="宋体" w:hAnsi="宋体" w:hint="eastAsia"/>
          <w:lang w:eastAsia="zh-CN"/>
        </w:rPr>
      </w:pPr>
      <w:r>
        <w:t>从实现流程看，候选方案生成并不是先完全脱离风险场形成几何结果，再进行后验校核，而是在有效布置域、参数场和 ODI 约束共同作用下完成候选池构建。对不满足最小推进长度、最小宽度、煤柱隔离和高风险暴露阈值等约束的候选对象，在生成阶段即予以剔除或降级处理；对满足底线约束的候选方案，再依据式（8）和式（9）开展模式化排序与优选。这样，风险控制不再停留在布局完成后的解释性结论，而是成为候选方案形成阶段的前置筛选条件。</w:t>
      </w:r>
    </w:p>
    <w:p w14:paraId="3F87611A"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47A4F4DE" w14:textId="77777777" w:rsidR="00E05130" w:rsidRPr="00E05130" w:rsidRDefault="00E05130" w:rsidP="00A046E0">
      <w:pPr>
        <w:pStyle w:val="21"/>
        <w:rPr>
          <w:lang w:eastAsia="zh-CN"/>
        </w:rPr>
      </w:pPr>
      <w:r>
        <w:t>1.4 方案传递与评价流程</w:t>
      </w:r>
    </w:p>
    <w:p w14:paraId="1E52BAFF" w14:textId="77777777" w:rsidR="009330B5" w:rsidRPr="009330B5" w:rsidRDefault="009330B5" w:rsidP="009330B5">
      <w:pPr>
        <w:spacing w:after="40"/>
        <w:ind w:firstLine="420"/>
        <w:rPr>
          <w:rFonts w:ascii="宋体" w:hAnsi="宋体" w:hint="eastAsia"/>
          <w:lang w:eastAsia="zh-CN"/>
        </w:rPr>
      </w:pPr>
      <w: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66DC9403" w14:textId="77777777" w:rsidR="009330B5" w:rsidRPr="009330B5" w:rsidRDefault="009330B5" w:rsidP="009330B5">
      <w:pPr>
        <w:spacing w:after="40"/>
        <w:ind w:firstLine="420"/>
        <w:rPr>
          <w:rFonts w:ascii="宋体" w:hAnsi="宋体" w:hint="eastAsia"/>
          <w:lang w:eastAsia="zh-CN"/>
        </w:rPr>
      </w:pPr>
      <w:r>
        <w:t>在调控层面，规划结果可进一步转化为工作面级和生产级控制变量。例如，在含水层扰动场景下，可将工作面采高、工作面宽度、区段煤柱宽度以及推进长度作为主要调控参数，通过比较不同参数条件下 ODI 均值、高分位值和超限比例的变化，识别对扰动强度最敏感的控制量，并据此开展局部调整。这意味着规划阶段并不直接产出不可更改的最终工程方案，而是先形成满足底线约束的候选空间对象，再通过参数调控提升其在扰动约束下的适应性。</w:t>
      </w:r>
    </w:p>
    <w:p w14:paraId="37272CF4" w14:textId="77777777" w:rsidR="009330B5" w:rsidRPr="009330B5" w:rsidRDefault="009330B5" w:rsidP="009330B5">
      <w:pPr>
        <w:spacing w:after="40"/>
        <w:ind w:firstLine="420"/>
        <w:rPr>
          <w:rFonts w:ascii="宋体" w:hAnsi="宋体" w:hint="eastAsia"/>
          <w:lang w:eastAsia="zh-CN"/>
        </w:rPr>
      </w:pPr>
      <w:r>
        <w:t>在接续评价层面，规划结果还可进一步映射为生产组织对象，并围绕产量、风险和工期形成候选接续方案。设接续方案为 ，其综合评分可表示为</w:t>
      </w:r>
    </w:p>
    <w:p w14:paraId="74F45BC3" w14:textId="77777777"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5D7140D9" w14:textId="77777777" w:rsidR="004D2816" w:rsidRPr="004D2816" w:rsidRDefault="004D2816" w:rsidP="004D2816">
      <w:pPr>
        <w:spacing w:after="40"/>
        <w:ind w:firstLine="420"/>
        <w:rPr>
          <w:lang w:eastAsia="zh-CN"/>
        </w:rPr>
      </w:pPr>
      <w:r>
        <w:t>式中，P_s为产量组织指标，R_s为风险可控性指标，C_s为工期与组织可控性指标；α、β和γ为对应权重，且满足α+β+γ=1。该式用于表达规划结果向接续评价传递的指标关系，本文不据此给出未经实证导出的接续评价数值。</w:t>
      </w:r>
    </w:p>
    <w:p w14:paraId="5CD1AC28" w14:textId="77777777" w:rsidR="004D2816" w:rsidRPr="004D2816" w:rsidRDefault="004D2816" w:rsidP="004D2816">
      <w:pPr>
        <w:spacing w:after="40"/>
        <w:ind w:firstLine="420"/>
        <w:rPr>
          <w:lang w:eastAsia="zh-CN"/>
        </w:rPr>
      </w:pPr>
      <w:r>
        <w:t>进一步地，经济评价通过月度净现金流和净现值指标实现。第 月净现金流可表示为</w:t>
      </w:r>
    </w:p>
    <w:p w14:paraId="72C666E0" w14:textId="77777777" w:rsidR="004D2816"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4065923E" w14:textId="77777777" w:rsidR="004D2816" w:rsidRPr="00E05130" w:rsidRDefault="004D2816" w:rsidP="00E05130">
      <w:pPr>
        <w:spacing w:after="40"/>
        <w:ind w:firstLine="420"/>
        <w:rPr>
          <w:lang w:eastAsia="zh-CN"/>
        </w:rPr>
      </w:pPr>
      <w:r>
        <w:t>式中，Rev_t为第t月收入，Cost_t为常规成本，RiskCost_t为风险联动成本，NCF_t为第t月净现金流。该式用于说明经济评价可接收规划与接续结果形成的月度输入。</w:t>
      </w:r>
    </w:p>
    <w:p w14:paraId="13A81989" w14:textId="77777777"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NPV=</m:t>
                </m:r>
                <m:nary>
                  <m:naryPr>
                    <m:chr m:val="∑"/>
                    <m:limLoc m:val="undOvr"/>
                    <m:grow m:val="1"/>
                    <m:ctrlPr>
                      <w:rPr>
                        <w:rFonts w:ascii="Cambria Math" w:hAnsi="Cambria Math"/>
                        <w:lang w:eastAsia="zh-CN"/>
                      </w:rPr>
                    </m:ctrlPr>
                  </m:naryPr>
                  <m:sub>
                    <m:r>
                      <w:rPr>
                        <w:rFonts w:ascii="Cambria Math" w:hAnsi="Cambria Math"/>
                        <w:lang w:eastAsia="zh-CN"/>
                      </w:rPr>
                      <m:t>t=1</m:t>
                    </m:r>
                  </m:sub>
                  <m:sup>
                    <m:r>
                      <w:rPr>
                        <w:rFonts w:ascii="Cambria Math" w:hAnsi="Cambria Math"/>
                        <w:lang w:eastAsia="zh-CN"/>
                      </w:rPr>
                      <m:t>T</m:t>
                    </m:r>
                  </m:sup>
                  <m:e>
                    <m:f>
                      <m:fPr>
                        <m:ctrlPr>
                          <w:rPr>
                            <w:rFonts w:ascii="Cambria Math" w:hAnsi="Cambria Math"/>
                            <w:lang w:eastAsia="zh-CN"/>
                          </w:rPr>
                        </m:ctrlPr>
                      </m:fPr>
                      <m:num>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num>
                      <m:den>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1+r</m:t>
                                </m:r>
                              </m:e>
                            </m:d>
                          </m:e>
                          <m:sup>
                            <m:r>
                              <w:rPr>
                                <w:rFonts w:ascii="Cambria Math" w:hAnsi="Cambria Math"/>
                                <w:lang w:eastAsia="zh-CN"/>
                              </w:rPr>
                              <m:t>t</m:t>
                            </m:r>
                          </m:sup>
                        </m:sSup>
                      </m:den>
                    </m:f>
                  </m:e>
                </m:nary>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e>
            </m:mr>
          </m:m>
        </m:oMath>
      </m:oMathPara>
    </w:p>
    <w:p w14:paraId="32E85B69" w14:textId="77777777" w:rsidR="00E05130" w:rsidRDefault="00E05130" w:rsidP="00E05130">
      <w:pPr>
        <w:spacing w:after="40"/>
        <w:ind w:firstLine="420"/>
        <w:rPr>
          <w:lang w:eastAsia="zh-CN"/>
        </w:rPr>
      </w:pPr>
      <w:r>
        <w:t>式中，I_0为初始投入，r_m为月折现率，T为评价期。本文保留经济评价指标的理论传递关系，但不在样例结果中给出未经独立导出的净现值数值。</w:t>
      </w:r>
    </w:p>
    <w:p w14:paraId="17079F4B" w14:textId="77777777" w:rsidR="00E05130" w:rsidRPr="00E05130" w:rsidRDefault="00E05130" w:rsidP="00E05130">
      <w:pPr>
        <w:spacing w:after="40"/>
        <w:ind w:firstLine="420"/>
        <w:rPr>
          <w:lang w:eastAsia="zh-CN"/>
        </w:rPr>
      </w:pPr>
      <w: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A76B30D" w14:textId="77777777" w:rsidR="007E22B6" w:rsidRDefault="00000000" w:rsidP="00A046E0">
      <w:pPr>
        <w:pStyle w:val="1"/>
        <w:rPr>
          <w:lang w:eastAsia="zh-CN"/>
        </w:rPr>
      </w:pPr>
      <w:r>
        <w:t>2 工程案例与结果分析</w:t>
      </w:r>
    </w:p>
    <w:p w14:paraId="56BFB30B" w14:textId="77777777" w:rsidR="007E22B6" w:rsidRDefault="00000000" w:rsidP="00A046E0">
      <w:pPr>
        <w:pStyle w:val="21"/>
        <w:rPr>
          <w:lang w:eastAsia="zh-CN"/>
        </w:rPr>
      </w:pPr>
      <w:r>
        <w:t>2.1 研究区概况与输入数据</w:t>
      </w:r>
    </w:p>
    <w:p w14:paraId="1344851D" w14:textId="77777777" w:rsidR="007E22B6" w:rsidRDefault="00801D65">
      <w:pPr>
        <w:spacing w:after="40"/>
        <w:ind w:firstLine="420"/>
        <w:rPr>
          <w:rFonts w:ascii="宋体" w:hAnsi="宋体" w:hint="eastAsia"/>
          <w:lang w:eastAsia="zh-CN"/>
        </w:rPr>
      </w:pPr>
      <w:r>
        <w:t>为验证所提方法在采区规划场景中的适用性与链路贯通能力，选取研究区样例开展分析。该研究区以6个边界点构成的采区边界、15个钻孔样点和规划控制参数为基础输入，原始边界面积为255250.00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46B37463" w14:textId="77777777" w:rsidR="00801D65" w:rsidRDefault="00801D65">
      <w:pPr>
        <w:spacing w:after="40"/>
        <w:ind w:firstLine="420"/>
        <w:rPr>
          <w:lang w:eastAsia="zh-CN"/>
        </w:rPr>
      </w:pPr>
      <w:r>
        <w:t>研究区输入对象包括采区边界、钻孔样点和规划控制参数3类。钻孔样点用于构建煤层厚度等连续参数场；边界对象用于界定有效布置域；边界煤柱、区段煤柱、工作面宽度、推进长度和ODI统计阈值则共同构成后续规划求解的约束条件。</w:t>
      </w:r>
    </w:p>
    <w:p w14:paraId="6D84E569" w14:textId="77777777" w:rsidR="00195275" w:rsidRDefault="00000000">
      <w:pPr>
        <w:jc w:val="center"/>
      </w:pPr>
      <w:r>
        <w:rPr>
          <w:noProof/>
        </w:rPr>
        <w:lastRenderedPageBreak/>
        <w:drawing>
          <wp:inline distT="0" distB="0" distL="0" distR="0" wp14:anchorId="0C5A2DA9" wp14:editId="7A966855">
            <wp:extent cx="5616000" cy="3460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5616000" cy="3460045"/>
                    </a:xfrm>
                    <a:prstGeom prst="rect">
                      <a:avLst/>
                    </a:prstGeom>
                  </pic:spPr>
                </pic:pic>
              </a:graphicData>
            </a:graphic>
          </wp:inline>
        </w:drawing>
      </w:r>
    </w:p>
    <w:p w14:paraId="1E61D91E" w14:textId="77777777" w:rsidR="00195275" w:rsidRDefault="00000000">
      <w:pPr>
        <w:jc w:val="center"/>
        <w:rPr>
          <w:lang w:eastAsia="zh-CN"/>
        </w:rPr>
      </w:pPr>
      <w:r>
        <w:t>图2 研究区钻孔空间分布图</w:t>
      </w:r>
    </w:p>
    <w:p w14:paraId="2AD32400" w14:textId="77777777" w:rsidR="00801D65" w:rsidRDefault="00801D65">
      <w:pPr>
        <w:spacing w:after="40"/>
        <w:ind w:firstLine="420"/>
        <w:rPr>
          <w:lang w:eastAsia="zh-CN"/>
        </w:rPr>
      </w:pPr>
      <w: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18CE26" w14:textId="77777777" w:rsidR="00801D65" w:rsidRDefault="00801D65">
      <w:pPr>
        <w:spacing w:after="40"/>
        <w:ind w:firstLine="420"/>
        <w:rPr>
          <w:lang w:eastAsia="zh-CN"/>
        </w:rPr>
      </w:pPr>
      <w: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FA9397C" w14:textId="77777777" w:rsidR="00801D65" w:rsidRDefault="00801D65">
      <w:pPr>
        <w:spacing w:after="40"/>
        <w:ind w:firstLine="420"/>
        <w:rPr>
          <w:lang w:eastAsia="zh-CN"/>
        </w:rPr>
      </w:pPr>
      <w:r>
        <w:t>因此，本节的作用是把研究区输入压实为可复核的参数体系：边界提供空间范围，钻孔提供连续参数场样本，设计参数提供几何与安全约束，ODI阈值提供风险统计口径。后续结果分析均以该统一输入口径为基础。</w:t>
      </w:r>
    </w:p>
    <w:p w14:paraId="0A0F0DF0" w14:textId="77777777" w:rsidR="00A046E0" w:rsidRPr="00A046E0" w:rsidRDefault="00A046E0" w:rsidP="00A046E0">
      <w:pPr>
        <w:spacing w:after="40"/>
        <w:ind w:firstLine="420"/>
        <w:rPr>
          <w:lang w:eastAsia="zh-CN"/>
        </w:rPr>
      </w:pPr>
      <w:r>
        <w:t>表1 研究区输入参数与约束条件</w:t>
      </w:r>
    </w:p>
    <w:tbl>
      <w:tblPr>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tcPr>
          <w:p>
            <w:r>
              <w:t>类别</w:t>
            </w:r>
          </w:p>
        </w:tc>
        <w:tc>
          <w:tcPr>
            <w:tcW w:type="dxa" w:w="1441"/>
          </w:tcPr>
          <w:p>
            <w:r>
              <w:t>参数名称</w:t>
            </w:r>
          </w:p>
        </w:tc>
        <w:tc>
          <w:tcPr>
            <w:tcW w:type="dxa" w:w="1441"/>
          </w:tcPr>
          <w:p>
            <w:r>
              <w:t>符号</w:t>
            </w:r>
          </w:p>
        </w:tc>
        <w:tc>
          <w:tcPr>
            <w:tcW w:type="dxa" w:w="1441"/>
          </w:tcPr>
          <w:p>
            <w:r>
              <w:t>数值/范围</w:t>
            </w:r>
          </w:p>
        </w:tc>
        <w:tc>
          <w:tcPr>
            <w:tcW w:type="dxa" w:w="1441"/>
          </w:tcPr>
          <w:p>
            <w:r>
              <w:t>单位</w:t>
            </w:r>
          </w:p>
        </w:tc>
        <w:tc>
          <w:tcPr>
            <w:tcW w:type="dxa" w:w="1441"/>
          </w:tcPr>
          <w:p>
            <w:r>
              <w:t>说明</w:t>
            </w:r>
          </w:p>
        </w:tc>
        <w:tc>
          <w:tcPr>
            <w:tcW w:type="dxa" w:w="1441"/>
          </w:tcPr>
          <w:p>
            <w:r>
              <w:t>数据来源</w:t>
            </w:r>
          </w:p>
        </w:tc>
      </w:tr>
      <w:tr>
        <w:tc>
          <w:tcPr>
            <w:tcW w:type="dxa" w:w="1441"/>
          </w:tcPr>
          <w:p>
            <w:r>
              <w:t>研究区基础</w:t>
            </w:r>
          </w:p>
        </w:tc>
        <w:tc>
          <w:tcPr>
            <w:tcW w:type="dxa" w:w="1441"/>
          </w:tcPr>
          <w:p>
            <w:r>
              <w:t>钻孔数量</w:t>
            </w:r>
          </w:p>
        </w:tc>
        <w:tc>
          <w:tcPr>
            <w:tcW w:type="dxa" w:w="1441"/>
          </w:tcPr>
          <w:p>
            <w:r>
              <w:t>n</w:t>
            </w:r>
          </w:p>
        </w:tc>
        <w:tc>
          <w:tcPr>
            <w:tcW w:type="dxa" w:w="1441"/>
          </w:tcPr>
          <w:p>
            <w:r>
              <w:t>15</w:t>
            </w:r>
          </w:p>
        </w:tc>
        <w:tc>
          <w:tcPr>
            <w:tcW w:type="dxa" w:w="1441"/>
          </w:tcPr>
          <w:p>
            <w:r>
              <w:t>个</w:t>
            </w:r>
          </w:p>
        </w:tc>
        <w:tc>
          <w:tcPr>
            <w:tcW w:type="dxa" w:w="1441"/>
          </w:tcPr>
          <w:p>
            <w:r>
              <w:t>钻孔样点总数</w:t>
            </w:r>
          </w:p>
        </w:tc>
        <w:tc>
          <w:tcPr>
            <w:tcW w:type="dxa" w:w="1441"/>
          </w:tcPr>
          <w:p>
            <w:r>
              <w:t>钻孔/设计结果</w:t>
            </w:r>
          </w:p>
        </w:tc>
      </w:tr>
      <w:tr>
        <w:tc>
          <w:tcPr>
            <w:tcW w:type="dxa" w:w="1441"/>
          </w:tcPr>
          <w:p>
            <w:r>
              <w:t>研究区基础</w:t>
            </w:r>
          </w:p>
        </w:tc>
        <w:tc>
          <w:tcPr>
            <w:tcW w:type="dxa" w:w="1441"/>
          </w:tcPr>
          <w:p>
            <w:r>
              <w:t>煤层厚度最小值</w:t>
            </w:r>
          </w:p>
        </w:tc>
        <w:tc>
          <w:tcPr>
            <w:tcW w:type="dxa" w:w="1441"/>
          </w:tcPr>
          <w:p>
            <w:r>
              <w:t>h_min</w:t>
            </w:r>
          </w:p>
        </w:tc>
        <w:tc>
          <w:tcPr>
            <w:tcW w:type="dxa" w:w="1441"/>
          </w:tcPr>
          <w:p>
            <w:r>
              <w:t>2.8</w:t>
            </w:r>
          </w:p>
        </w:tc>
        <w:tc>
          <w:tcPr>
            <w:tcW w:type="dxa" w:w="1441"/>
          </w:tcPr>
          <w:p>
            <w:r>
              <w:t>m</w:t>
            </w:r>
          </w:p>
        </w:tc>
        <w:tc>
          <w:tcPr>
            <w:tcW w:type="dxa" w:w="1441"/>
          </w:tcPr>
          <w:p>
            <w:r>
              <w:t>样点统计值</w:t>
            </w:r>
          </w:p>
        </w:tc>
        <w:tc>
          <w:tcPr>
            <w:tcW w:type="dxa" w:w="1441"/>
          </w:tcPr>
          <w:p>
            <w:r>
              <w:t>钻孔数据</w:t>
            </w:r>
          </w:p>
        </w:tc>
      </w:tr>
      <w:tr>
        <w:tc>
          <w:tcPr>
            <w:tcW w:type="dxa" w:w="1441"/>
          </w:tcPr>
          <w:p>
            <w:r>
              <w:t>研究区基础</w:t>
            </w:r>
          </w:p>
        </w:tc>
        <w:tc>
          <w:tcPr>
            <w:tcW w:type="dxa" w:w="1441"/>
          </w:tcPr>
          <w:p>
            <w:r>
              <w:t>煤层厚度最大值</w:t>
            </w:r>
          </w:p>
        </w:tc>
        <w:tc>
          <w:tcPr>
            <w:tcW w:type="dxa" w:w="1441"/>
          </w:tcPr>
          <w:p>
            <w:r>
              <w:t>h_max</w:t>
            </w:r>
          </w:p>
        </w:tc>
        <w:tc>
          <w:tcPr>
            <w:tcW w:type="dxa" w:w="1441"/>
          </w:tcPr>
          <w:p>
            <w:r>
              <w:t>4.8</w:t>
            </w:r>
          </w:p>
        </w:tc>
        <w:tc>
          <w:tcPr>
            <w:tcW w:type="dxa" w:w="1441"/>
          </w:tcPr>
          <w:p>
            <w:r>
              <w:t>m</w:t>
            </w:r>
          </w:p>
        </w:tc>
        <w:tc>
          <w:tcPr>
            <w:tcW w:type="dxa" w:w="1441"/>
          </w:tcPr>
          <w:p>
            <w:r>
              <w:t>样点统计值</w:t>
            </w:r>
          </w:p>
        </w:tc>
        <w:tc>
          <w:tcPr>
            <w:tcW w:type="dxa" w:w="1441"/>
          </w:tcPr>
          <w:p>
            <w:r>
              <w:t>钻孔数据</w:t>
            </w:r>
          </w:p>
        </w:tc>
      </w:tr>
      <w:tr>
        <w:tc>
          <w:tcPr>
            <w:tcW w:type="dxa" w:w="1441"/>
          </w:tcPr>
          <w:p>
            <w:r>
              <w:t>研究区基础</w:t>
            </w:r>
          </w:p>
        </w:tc>
        <w:tc>
          <w:tcPr>
            <w:tcW w:type="dxa" w:w="1441"/>
          </w:tcPr>
          <w:p>
            <w:r>
              <w:t>煤层厚度平均值</w:t>
            </w:r>
          </w:p>
        </w:tc>
        <w:tc>
          <w:tcPr>
            <w:tcW w:type="dxa" w:w="1441"/>
          </w:tcPr>
          <w:p>
            <w:r>
              <w:t>h_avg</w:t>
            </w:r>
          </w:p>
        </w:tc>
        <w:tc>
          <w:tcPr>
            <w:tcW w:type="dxa" w:w="1441"/>
          </w:tcPr>
          <w:p>
            <w:r>
              <w:t>3.7933</w:t>
            </w:r>
          </w:p>
        </w:tc>
        <w:tc>
          <w:tcPr>
            <w:tcW w:type="dxa" w:w="1441"/>
          </w:tcPr>
          <w:p>
            <w:r>
              <w:t>m</w:t>
            </w:r>
          </w:p>
        </w:tc>
        <w:tc>
          <w:tcPr>
            <w:tcW w:type="dxa" w:w="1441"/>
          </w:tcPr>
          <w:p>
            <w:r>
              <w:t>样点统计值</w:t>
            </w:r>
          </w:p>
        </w:tc>
        <w:tc>
          <w:tcPr>
            <w:tcW w:type="dxa" w:w="1441"/>
          </w:tcPr>
          <w:p>
            <w:r>
              <w:t>钻孔数据</w:t>
            </w:r>
          </w:p>
        </w:tc>
      </w:tr>
      <w:tr>
        <w:tc>
          <w:tcPr>
            <w:tcW w:type="dxa" w:w="1441"/>
          </w:tcPr>
          <w:p>
            <w:r>
              <w:t>几何约束</w:t>
            </w:r>
          </w:p>
        </w:tc>
        <w:tc>
          <w:tcPr>
            <w:tcW w:type="dxa" w:w="1441"/>
          </w:tcPr>
          <w:p>
            <w:r>
              <w:t>边界煤柱宽度</w:t>
            </w:r>
          </w:p>
        </w:tc>
        <w:tc>
          <w:tcPr>
            <w:tcW w:type="dxa" w:w="1441"/>
          </w:tcPr>
          <w:p>
            <w:r>
              <w:t>B_b</w:t>
            </w:r>
          </w:p>
        </w:tc>
        <w:tc>
          <w:tcPr>
            <w:tcW w:type="dxa" w:w="1441"/>
          </w:tcPr>
          <w:p>
            <w:r>
              <w:t>30.0</w:t>
            </w:r>
          </w:p>
        </w:tc>
        <w:tc>
          <w:tcPr>
            <w:tcW w:type="dxa" w:w="1441"/>
          </w:tcPr>
          <w:p>
            <w:r>
              <w:t>m</w:t>
            </w:r>
          </w:p>
        </w:tc>
        <w:tc>
          <w:tcPr>
            <w:tcW w:type="dxa" w:w="1441"/>
          </w:tcPr>
          <w:p>
            <w:r>
              <w:t>当前样例采用值；规则范围20-50 m</w:t>
            </w:r>
          </w:p>
        </w:tc>
        <w:tc>
          <w:tcPr>
            <w:tcW w:type="dxa" w:w="1441"/>
          </w:tcPr>
          <w:p>
            <w:r>
              <w:t>designParams/miningRules</w:t>
            </w:r>
          </w:p>
        </w:tc>
      </w:tr>
      <w:tr>
        <w:tc>
          <w:tcPr>
            <w:tcW w:type="dxa" w:w="1441"/>
          </w:tcPr>
          <w:p>
            <w:r>
              <w:t>几何约束</w:t>
            </w:r>
          </w:p>
        </w:tc>
        <w:tc>
          <w:tcPr>
            <w:tcW w:type="dxa" w:w="1441"/>
          </w:tcPr>
          <w:p>
            <w:r>
              <w:t>区段煤柱宽度</w:t>
            </w:r>
          </w:p>
        </w:tc>
        <w:tc>
          <w:tcPr>
            <w:tcW w:type="dxa" w:w="1441"/>
          </w:tcPr>
          <w:p>
            <w:r>
              <w:t>B_s</w:t>
            </w:r>
          </w:p>
        </w:tc>
        <w:tc>
          <w:tcPr>
            <w:tcW w:type="dxa" w:w="1441"/>
          </w:tcPr>
          <w:p>
            <w:r>
              <w:t>20.0</w:t>
            </w:r>
          </w:p>
        </w:tc>
        <w:tc>
          <w:tcPr>
            <w:tcW w:type="dxa" w:w="1441"/>
          </w:tcPr>
          <w:p>
            <w:r>
              <w:t>m</w:t>
            </w:r>
          </w:p>
        </w:tc>
        <w:tc>
          <w:tcPr>
            <w:tcW w:type="dxa" w:w="1441"/>
          </w:tcPr>
          <w:p>
            <w:r>
              <w:t>当前样例采用值；规则范围15-30 m</w:t>
            </w:r>
          </w:p>
        </w:tc>
        <w:tc>
          <w:tcPr>
            <w:tcW w:type="dxa" w:w="1441"/>
          </w:tcPr>
          <w:p>
            <w:r>
              <w:t>designParams/miningRules</w:t>
            </w:r>
          </w:p>
        </w:tc>
      </w:tr>
      <w:tr>
        <w:tc>
          <w:tcPr>
            <w:tcW w:type="dxa" w:w="1441"/>
          </w:tcPr>
          <w:p>
            <w:r>
              <w:t>几何约束</w:t>
            </w:r>
          </w:p>
        </w:tc>
        <w:tc>
          <w:tcPr>
            <w:tcW w:type="dxa" w:w="1441"/>
          </w:tcPr>
          <w:p>
            <w:r>
              <w:t>原始边界面积</w:t>
            </w:r>
          </w:p>
        </w:tc>
        <w:tc>
          <w:tcPr>
            <w:tcW w:type="dxa" w:w="1441"/>
          </w:tcPr>
          <w:p>
            <w:r>
              <w:t>A_0</w:t>
            </w:r>
          </w:p>
        </w:tc>
        <w:tc>
          <w:tcPr>
            <w:tcW w:type="dxa" w:w="1441"/>
          </w:tcPr>
          <w:p>
            <w:r>
              <w:t>255250.00</w:t>
            </w:r>
          </w:p>
        </w:tc>
        <w:tc>
          <w:tcPr>
            <w:tcW w:type="dxa" w:w="1441"/>
          </w:tcPr>
          <w:p>
            <w:r>
              <w:t>m²</w:t>
            </w:r>
          </w:p>
        </w:tc>
        <w:tc>
          <w:tcPr>
            <w:tcW w:type="dxa" w:w="1441"/>
          </w:tcPr>
          <w:p>
            <w:r>
              <w:t>由6个边界点计算</w:t>
            </w:r>
          </w:p>
        </w:tc>
        <w:tc>
          <w:tcPr>
            <w:tcW w:type="dxa" w:w="1441"/>
          </w:tcPr>
          <w:p>
            <w:r>
              <w:t>边界数据</w:t>
            </w:r>
          </w:p>
        </w:tc>
      </w:tr>
      <w:tr>
        <w:tc>
          <w:tcPr>
            <w:tcW w:type="dxa" w:w="1441"/>
          </w:tcPr>
          <w:p>
            <w:r>
              <w:t>布置参数</w:t>
            </w:r>
          </w:p>
        </w:tc>
        <w:tc>
          <w:tcPr>
            <w:tcW w:type="dxa" w:w="1441"/>
          </w:tcPr>
          <w:p>
            <w:r>
              <w:t>工作面宽度</w:t>
            </w:r>
          </w:p>
        </w:tc>
        <w:tc>
          <w:tcPr>
            <w:tcW w:type="dxa" w:w="1441"/>
          </w:tcPr>
          <w:p>
            <w:r>
              <w:t>W_f</w:t>
            </w:r>
          </w:p>
        </w:tc>
        <w:tc>
          <w:tcPr>
            <w:tcW w:type="dxa" w:w="1441"/>
          </w:tcPr>
          <w:p>
            <w:r>
              <w:t>120.0</w:t>
            </w:r>
          </w:p>
        </w:tc>
        <w:tc>
          <w:tcPr>
            <w:tcW w:type="dxa" w:w="1441"/>
          </w:tcPr>
          <w:p>
            <w:r>
              <w:t>m</w:t>
            </w:r>
          </w:p>
        </w:tc>
        <w:tc>
          <w:tcPr>
            <w:tcW w:type="dxa" w:w="1441"/>
          </w:tcPr>
          <w:p>
            <w:r>
              <w:t>当前样例采用值</w:t>
            </w:r>
          </w:p>
        </w:tc>
        <w:tc>
          <w:tcPr>
            <w:tcW w:type="dxa" w:w="1441"/>
          </w:tcPr>
          <w:p>
            <w:r>
              <w:t>designParams</w:t>
            </w:r>
          </w:p>
        </w:tc>
      </w:tr>
      <w:tr>
        <w:tc>
          <w:tcPr>
            <w:tcW w:type="dxa" w:w="1441"/>
          </w:tcPr>
          <w:p>
            <w:r>
              <w:t>布置参数</w:t>
            </w:r>
          </w:p>
        </w:tc>
        <w:tc>
          <w:tcPr>
            <w:tcW w:type="dxa" w:w="1441"/>
          </w:tcPr>
          <w:p>
            <w:r>
              <w:t>工作面长度规则</w:t>
            </w:r>
          </w:p>
        </w:tc>
        <w:tc>
          <w:tcPr>
            <w:tcW w:type="dxa" w:w="1441"/>
          </w:tcPr>
          <w:p>
            <w:r>
              <w:t>L_f</w:t>
            </w:r>
          </w:p>
        </w:tc>
        <w:tc>
          <w:tcPr>
            <w:tcW w:type="dxa" w:w="1441"/>
          </w:tcPr>
          <w:p>
            <w:r>
              <w:t>120-260，推荐200</w:t>
            </w:r>
          </w:p>
        </w:tc>
        <w:tc>
          <w:tcPr>
            <w:tcW w:type="dxa" w:w="1441"/>
          </w:tcPr>
          <w:p>
            <w:r>
              <w:t>m</w:t>
            </w:r>
          </w:p>
        </w:tc>
        <w:tc>
          <w:tcPr>
            <w:tcW w:type="dxa" w:w="1441"/>
          </w:tcPr>
          <w:p>
            <w:r>
              <w:t>规则参数</w:t>
            </w:r>
          </w:p>
        </w:tc>
        <w:tc>
          <w:tcPr>
            <w:tcW w:type="dxa" w:w="1441"/>
          </w:tcPr>
          <w:p>
            <w:r>
              <w:t>miningRules</w:t>
            </w:r>
          </w:p>
        </w:tc>
      </w:tr>
      <w:tr>
        <w:tc>
          <w:tcPr>
            <w:tcW w:type="dxa" w:w="1441"/>
          </w:tcPr>
          <w:p>
            <w:r>
              <w:t>布置参数</w:t>
            </w:r>
          </w:p>
        </w:tc>
        <w:tc>
          <w:tcPr>
            <w:tcW w:type="dxa" w:w="1441"/>
          </w:tcPr>
          <w:p>
            <w:r>
              <w:t>最小推进长度</w:t>
            </w:r>
          </w:p>
        </w:tc>
        <w:tc>
          <w:tcPr>
            <w:tcW w:type="dxa" w:w="1441"/>
          </w:tcPr>
          <w:p>
            <w:r>
              <w:t>L_a,min</w:t>
            </w:r>
          </w:p>
        </w:tc>
        <w:tc>
          <w:tcPr>
            <w:tcW w:type="dxa" w:w="1441"/>
          </w:tcPr>
          <w:p>
            <w:r>
              <w:t>800.0</w:t>
            </w:r>
          </w:p>
        </w:tc>
        <w:tc>
          <w:tcPr>
            <w:tcW w:type="dxa" w:w="1441"/>
          </w:tcPr>
          <w:p>
            <w:r>
              <w:t>m</w:t>
            </w:r>
          </w:p>
        </w:tc>
        <w:tc>
          <w:tcPr>
            <w:tcW w:type="dxa" w:w="1441"/>
          </w:tcPr>
          <w:p>
            <w:r>
              <w:t>当前样例校核阈值</w:t>
            </w:r>
          </w:p>
        </w:tc>
        <w:tc>
          <w:tcPr>
            <w:tcW w:type="dxa" w:w="1441"/>
          </w:tcPr>
          <w:p>
            <w:r>
              <w:t>miningRules</w:t>
            </w:r>
          </w:p>
        </w:tc>
      </w:tr>
      <w:tr>
        <w:tc>
          <w:tcPr>
            <w:tcW w:type="dxa" w:w="1441"/>
          </w:tcPr>
          <w:p>
            <w:r>
              <w:t>布置参数</w:t>
            </w:r>
          </w:p>
        </w:tc>
        <w:tc>
          <w:tcPr>
            <w:tcW w:type="dxa" w:w="1441"/>
          </w:tcPr>
          <w:p>
            <w:r>
              <w:t>推进方向</w:t>
            </w:r>
          </w:p>
        </w:tc>
        <w:tc>
          <w:tcPr>
            <w:tcW w:type="dxa" w:w="1441"/>
          </w:tcPr>
          <w:p>
            <w:r>
              <w:t>D</w:t>
            </w:r>
          </w:p>
        </w:tc>
        <w:tc>
          <w:tcPr>
            <w:tcW w:type="dxa" w:w="1441"/>
          </w:tcPr>
          <w:p>
            <w:r>
              <w:t>走向长壁布置，走向: 180.0°</w:t>
            </w:r>
          </w:p>
        </w:tc>
        <w:tc>
          <w:tcPr>
            <w:tcW w:type="dxa" w:w="1441"/>
          </w:tcPr>
          <w:p>
            <w:r>
              <w:t>—</w:t>
            </w:r>
          </w:p>
        </w:tc>
        <w:tc>
          <w:tcPr>
            <w:tcW w:type="dxa" w:w="1441"/>
          </w:tcPr>
          <w:p>
            <w:r>
              <w:t>走向长壁后退式开采</w:t>
            </w:r>
          </w:p>
        </w:tc>
        <w:tc>
          <w:tcPr>
            <w:tcW w:type="dxa" w:w="1441"/>
          </w:tcPr>
          <w:p>
            <w:r>
              <w:t>设计结果</w:t>
            </w:r>
          </w:p>
        </w:tc>
      </w:tr>
      <w:tr>
        <w:tc>
          <w:tcPr>
            <w:tcW w:type="dxa" w:w="1441"/>
          </w:tcPr>
          <w:p>
            <w:r>
              <w:t>风险参数</w:t>
            </w:r>
          </w:p>
        </w:tc>
        <w:tc>
          <w:tcPr>
            <w:tcW w:type="dxa" w:w="1441"/>
          </w:tcPr>
          <w:p>
            <w:r>
              <w:t>ODI权重</w:t>
            </w:r>
          </w:p>
        </w:tc>
        <w:tc>
          <w:tcPr>
            <w:tcW w:type="dxa" w:w="1441"/>
          </w:tcPr>
          <w:p>
            <w:r>
              <w:t>w_d/w_o/w_f</w:t>
            </w:r>
          </w:p>
        </w:tc>
        <w:tc>
          <w:tcPr>
            <w:tcW w:type="dxa" w:w="1441"/>
          </w:tcPr>
          <w:p>
            <w:r>
              <w:t>0.45/0.30/0.25</w:t>
            </w:r>
          </w:p>
        </w:tc>
        <w:tc>
          <w:tcPr>
            <w:tcW w:type="dxa" w:w="1441"/>
          </w:tcPr>
          <w:p>
            <w:r>
              <w:t>—</w:t>
            </w:r>
          </w:p>
        </w:tc>
        <w:tc>
          <w:tcPr>
            <w:tcW w:type="dxa" w:w="1441"/>
          </w:tcPr>
          <w:p>
            <w:r>
              <w:t>地表沉陷/含水层扰动/上行开采</w:t>
            </w:r>
          </w:p>
        </w:tc>
        <w:tc>
          <w:tcPr>
            <w:tcW w:type="dxa" w:w="1441"/>
          </w:tcPr>
          <w:p>
            <w:r>
              <w:t>ODI场结果</w:t>
            </w:r>
          </w:p>
        </w:tc>
      </w:tr>
      <w:tr>
        <w:tc>
          <w:tcPr>
            <w:tcW w:type="dxa" w:w="1441"/>
          </w:tcPr>
          <w:p>
            <w:r>
              <w:t>风险参数</w:t>
            </w:r>
          </w:p>
        </w:tc>
        <w:tc>
          <w:tcPr>
            <w:tcW w:type="dxa" w:w="1441"/>
          </w:tcPr>
          <w:p>
            <w:r>
              <w:t>ODI统计阈值</w:t>
            </w:r>
          </w:p>
        </w:tc>
        <w:tc>
          <w:tcPr>
            <w:tcW w:type="dxa" w:w="1441"/>
          </w:tcPr>
          <w:p>
            <w:r>
              <w:t>T_ODI</w:t>
            </w:r>
          </w:p>
        </w:tc>
        <w:tc>
          <w:tcPr>
            <w:tcW w:type="dxa" w:w="1441"/>
          </w:tcPr>
          <w:p>
            <w:r>
              <w:t>0.70/0.80</w:t>
            </w:r>
          </w:p>
        </w:tc>
        <w:tc>
          <w:tcPr>
            <w:tcW w:type="dxa" w:w="1441"/>
          </w:tcPr>
          <w:p>
            <w:r>
              <w:t>—</w:t>
            </w:r>
          </w:p>
        </w:tc>
        <w:tc>
          <w:tcPr>
            <w:tcW w:type="dxa" w:w="1441"/>
          </w:tcPr>
          <w:p>
            <w:r>
              <w:t>用于本文超限暴露统计，不作为行业阈值</w:t>
            </w:r>
          </w:p>
        </w:tc>
        <w:tc>
          <w:tcPr>
            <w:tcW w:type="dxa" w:w="1441"/>
          </w:tcPr>
          <w:p>
            <w:r>
              <w:t>本文统计口径</w:t>
            </w:r>
          </w:p>
        </w:tc>
      </w:tr>
      <w:tr>
        <w:tc>
          <w:tcPr>
            <w:tcW w:type="dxa" w:w="1441"/>
          </w:tcPr>
          <w:p>
            <w:r>
              <w:t>评价权重</w:t>
            </w:r>
          </w:p>
        </w:tc>
        <w:tc>
          <w:tcPr>
            <w:tcW w:type="dxa" w:w="1441"/>
          </w:tcPr>
          <w:p>
            <w:r>
              <w:t>工程评分权重</w:t>
            </w:r>
          </w:p>
        </w:tc>
        <w:tc>
          <w:tcPr>
            <w:tcW w:type="dxa" w:w="1441"/>
          </w:tcPr>
          <w:p>
            <w:r>
              <w:t>w</w:t>
            </w:r>
          </w:p>
        </w:tc>
        <w:tc>
          <w:tcPr>
            <w:tcW w:type="dxa" w:w="1441"/>
          </w:tcPr>
          <w:p>
            <w:r>
              <w:t>厚度0.35，顶板0.25，瓦斯0.20，水0.15，构造0.05</w:t>
            </w:r>
          </w:p>
        </w:tc>
        <w:tc>
          <w:tcPr>
            <w:tcW w:type="dxa" w:w="1441"/>
          </w:tcPr>
          <w:p>
            <w:r>
              <w:t>—</w:t>
            </w:r>
          </w:p>
        </w:tc>
        <w:tc>
          <w:tcPr>
            <w:tcW w:type="dxa" w:w="1441"/>
          </w:tcPr>
          <w:p>
            <w:r>
              <w:t>设计评分采用的因素权重</w:t>
            </w:r>
          </w:p>
        </w:tc>
        <w:tc>
          <w:tcPr>
            <w:tcW w:type="dxa" w:w="1441"/>
          </w:tcPr>
          <w:p>
            <w:r>
              <w:t>miningRules</w:t>
            </w:r>
          </w:p>
        </w:tc>
      </w:tr>
      <w:tr>
        <w:tc>
          <w:tcPr>
            <w:tcW w:type="dxa" w:w="1441"/>
          </w:tcPr>
          <w:p>
            <w:r>
              <w:t>样例输出</w:t>
            </w:r>
          </w:p>
        </w:tc>
        <w:tc>
          <w:tcPr>
            <w:tcW w:type="dxa" w:w="1441"/>
          </w:tcPr>
          <w:p>
            <w:r>
              <w:t>有效覆盖率</w:t>
            </w:r>
          </w:p>
        </w:tc>
        <w:tc>
          <w:tcPr>
            <w:tcW w:type="dxa" w:w="1441"/>
          </w:tcPr>
          <w:p>
            <w:r>
              <w:t>C</w:t>
            </w:r>
          </w:p>
        </w:tc>
        <w:tc>
          <w:tcPr>
            <w:tcW w:type="dxa" w:w="1441"/>
          </w:tcPr>
          <w:p>
            <w:r>
              <w:t>69.17</w:t>
            </w:r>
          </w:p>
        </w:tc>
        <w:tc>
          <w:tcPr>
            <w:tcW w:type="dxa" w:w="1441"/>
          </w:tcPr>
          <w:p>
            <w:r>
              <w:t>%</w:t>
            </w:r>
          </w:p>
        </w:tc>
        <w:tc>
          <w:tcPr>
            <w:tcW w:type="dxa" w:w="1441"/>
          </w:tcPr>
          <w:p>
            <w:r>
              <w:t>总布置面积/原始边界面积</w:t>
            </w:r>
          </w:p>
        </w:tc>
        <w:tc>
          <w:tcPr>
            <w:tcW w:type="dxa" w:w="1441"/>
          </w:tcPr>
          <w:p>
            <w:r>
              <w:t>计算值</w:t>
            </w:r>
          </w:p>
        </w:tc>
      </w:tr>
    </w:tbl>
    <w:p w14:paraId="1FEFCBB2" w14:textId="77777777" w:rsidR="00A046E0" w:rsidRPr="00801D65" w:rsidRDefault="00A046E0">
      <w:pPr>
        <w:spacing w:after="40"/>
        <w:ind w:firstLine="420"/>
        <w:rPr>
          <w:lang w:eastAsia="zh-CN"/>
        </w:rPr>
      </w:pPr>
    </w:p>
    <w:p w14:paraId="4D662AD4" w14:textId="77777777" w:rsidR="007E22B6" w:rsidRDefault="00000000" w:rsidP="00A046E0">
      <w:pPr>
        <w:pStyle w:val="21"/>
        <w:rPr>
          <w:lang w:eastAsia="zh-CN"/>
        </w:rPr>
      </w:pPr>
      <w:r>
        <w:t>2.2 连续参数场构建结果</w:t>
      </w:r>
    </w:p>
    <w:p w14:paraId="6385E593" w14:textId="77777777" w:rsidR="00801D65" w:rsidRPr="00801D65" w:rsidRDefault="00801D65" w:rsidP="00801D65">
      <w:pPr>
        <w:spacing w:after="40"/>
        <w:ind w:firstLine="420"/>
        <w:rPr>
          <w:rFonts w:ascii="宋体" w:hAnsi="宋体" w:hint="eastAsia"/>
          <w:lang w:eastAsia="zh-CN"/>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w:t>
      </w:r>
    </w:p>
    <w:p w14:paraId="22C51B16" w14:textId="77777777" w:rsidR="00195275" w:rsidRDefault="00000000">
      <w:pPr>
        <w:jc w:val="center"/>
      </w:pPr>
      <w:r>
        <w:rPr>
          <w:noProof/>
        </w:rPr>
        <w:lastRenderedPageBreak/>
        <w:drawing>
          <wp:inline distT="0" distB="0" distL="0" distR="0" wp14:anchorId="772D9111" wp14:editId="2A2333AF">
            <wp:extent cx="5868000" cy="4546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5868000" cy="4546571"/>
                    </a:xfrm>
                    <a:prstGeom prst="rect">
                      <a:avLst/>
                    </a:prstGeom>
                  </pic:spPr>
                </pic:pic>
              </a:graphicData>
            </a:graphic>
          </wp:inline>
        </w:drawing>
      </w:r>
    </w:p>
    <w:p w14:paraId="7EACD6EE" w14:textId="77777777" w:rsidR="00195275" w:rsidRDefault="00000000">
      <w:pPr>
        <w:jc w:val="center"/>
        <w:rPr>
          <w:lang w:eastAsia="zh-CN"/>
        </w:rPr>
      </w:pPr>
      <w:r>
        <w:t>图3 研究区主要地质参数场分布图</w:t>
      </w:r>
    </w:p>
    <w:p w14:paraId="47BE74A7" w14:textId="77777777" w:rsidR="00801D65" w:rsidRPr="00801D65" w:rsidRDefault="00801D65" w:rsidP="00801D65">
      <w:pPr>
        <w:spacing w:after="40"/>
        <w:ind w:firstLine="420"/>
        <w:rPr>
          <w:rFonts w:ascii="宋体" w:hAnsi="宋体" w:hint="eastAsia"/>
          <w:lang w:eastAsia="zh-CN"/>
        </w:rPr>
      </w:pPr>
      <w: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708DFECF" w14:textId="77777777" w:rsidR="00801D65" w:rsidRPr="00801D65" w:rsidRDefault="00801D65" w:rsidP="00801D65">
      <w:pPr>
        <w:spacing w:after="40"/>
        <w:ind w:firstLine="420"/>
        <w:rPr>
          <w:rFonts w:ascii="宋体" w:hAnsi="宋体" w:hint="eastAsia"/>
          <w:lang w:eastAsia="zh-CN"/>
        </w:rPr>
      </w:pPr>
      <w: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12754ABB" w14:textId="77777777" w:rsidR="00801D65" w:rsidRPr="00801D65" w:rsidRDefault="00801D65" w:rsidP="00801D65">
      <w:pPr>
        <w:spacing w:after="40"/>
        <w:ind w:firstLine="420"/>
        <w:rPr>
          <w:rFonts w:ascii="宋体" w:hAnsi="宋体" w:hint="eastAsia"/>
          <w:lang w:eastAsia="zh-CN"/>
        </w:rPr>
      </w:pPr>
      <w: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38C0A168" w14:textId="77777777"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50FCD278"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0E232E92" w14:textId="77777777" w:rsidR="007E22B6" w:rsidRDefault="00000000" w:rsidP="00A046E0">
      <w:pPr>
        <w:pStyle w:val="21"/>
        <w:rPr>
          <w:lang w:eastAsia="zh-CN"/>
        </w:rPr>
      </w:pPr>
      <w:r>
        <w:t>2.3 多场景 ODI 风险表征结果</w:t>
      </w:r>
    </w:p>
    <w:p w14:paraId="76BE5CDF" w14:textId="77777777" w:rsidR="00801D65" w:rsidRPr="00801D65" w:rsidRDefault="00801D65" w:rsidP="00801D65">
      <w:pPr>
        <w:spacing w:after="40"/>
        <w:ind w:firstLine="420"/>
        <w:rPr>
          <w:rFonts w:ascii="宋体" w:hAnsi="宋体" w:hint="eastAsia"/>
          <w:lang w:eastAsia="zh-CN"/>
        </w:rPr>
      </w:pPr>
      <w: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作为统一风险组织口径，将异构风险结果归一到同一尺度下，以支撑不同场景风险在同一规划框架中的统一表达、比较与传递。</w:t>
      </w:r>
    </w:p>
    <w:p w14:paraId="7FFDBBF0" w14:textId="77777777" w:rsidR="00801D65" w:rsidRPr="00801D65" w:rsidRDefault="00801D65" w:rsidP="00801D65">
      <w:pPr>
        <w:spacing w:after="40"/>
        <w:ind w:firstLine="420"/>
        <w:rPr>
          <w:rFonts w:ascii="宋体" w:hAnsi="宋体" w:hint="eastAsia"/>
          <w:lang w:eastAsia="zh-CN"/>
        </w:rPr>
      </w:pPr>
      <w:r>
        <w:t>从研究区样例结果看，多场景ODI结果已经能够在同一研究区边界、钻孔参照和色标口径下表达。当前综合ODI场采用80×56网格，共4480个栅格，归一化后ODI均值为0.4669，中位数为0.4542，P90为0.7474；其中ODI&gt;0.70的栅格占15.89%，ODI&gt;0.80的栅格占3.55%。这说明风险信息已经从概念性指标转化为可计算、可统计和可进入规划约束的空间场。</w:t>
      </w:r>
    </w:p>
    <w:p w14:paraId="441FD9CD" w14:textId="77777777" w:rsidR="00195275" w:rsidRDefault="00000000">
      <w:pPr>
        <w:jc w:val="center"/>
      </w:pPr>
      <w:r>
        <w:rPr>
          <w:noProof/>
        </w:rPr>
        <w:drawing>
          <wp:inline distT="0" distB="0" distL="0" distR="0" wp14:anchorId="238299D1" wp14:editId="6453A736">
            <wp:extent cx="5940000" cy="397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5940000" cy="3970605"/>
                    </a:xfrm>
                    <a:prstGeom prst="rect">
                      <a:avLst/>
                    </a:prstGeom>
                  </pic:spPr>
                </pic:pic>
              </a:graphicData>
            </a:graphic>
          </wp:inline>
        </w:drawing>
      </w:r>
    </w:p>
    <w:p w14:paraId="14F371CE" w14:textId="77777777" w:rsidR="00195275" w:rsidRDefault="00000000">
      <w:pPr>
        <w:jc w:val="center"/>
        <w:rPr>
          <w:lang w:eastAsia="zh-CN"/>
        </w:rPr>
      </w:pPr>
      <w:r>
        <w:t>图4 多场景ODI分布结果对比图</w:t>
      </w:r>
    </w:p>
    <w:p w14:paraId="5A61A7A1" w14:textId="77777777" w:rsidR="00801D65" w:rsidRPr="00801D65" w:rsidRDefault="00801D65" w:rsidP="00801D65">
      <w:pPr>
        <w:spacing w:after="40"/>
        <w:ind w:firstLine="420"/>
        <w:rPr>
          <w:rFonts w:ascii="宋体" w:hAnsi="宋体" w:hint="eastAsia"/>
          <w:lang w:eastAsia="zh-CN"/>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统一为ODI后，不同场景可在同一统计口径下比较，从而避免多指标、多量纲并列时难以进入方案筛选的问题。</w:t>
      </w:r>
    </w:p>
    <w:p w14:paraId="6F68A360" w14:textId="77777777" w:rsidR="00801D65" w:rsidRPr="00801D65" w:rsidRDefault="00801D65" w:rsidP="00801D65">
      <w:pPr>
        <w:spacing w:after="40"/>
        <w:ind w:firstLine="420"/>
        <w:rPr>
          <w:rFonts w:ascii="宋体" w:hAnsi="宋体" w:hint="eastAsia"/>
          <w:lang w:eastAsia="zh-CN"/>
        </w:rPr>
      </w:pPr>
      <w:r>
        <w:t>在规划语境下，ODI的价值体现在两个层面：一是识别高扰动敏感区，当前样例中ODI&gt;0.70区域占15.89%，可作为工作面布置时需重点避让或降权处理的区域；二是提供方案级风险统计基础，例如均值0.4669、P90=0.7474和高阈值暴露比例3.55%等指标，可直接进入后续布局评价。</w:t>
      </w:r>
    </w:p>
    <w:p w14:paraId="1C509C8D" w14:textId="77777777" w:rsidR="00801D65" w:rsidRDefault="00801D65" w:rsidP="00801D65">
      <w:pPr>
        <w:spacing w:after="40"/>
        <w:ind w:firstLine="420"/>
        <w:rPr>
          <w:rFonts w:ascii="宋体" w:hAnsi="宋体" w:hint="eastAsia"/>
          <w:lang w:eastAsia="zh-CN"/>
        </w:rPr>
      </w:pPr>
      <w:r>
        <w:t>由此，ODI不再是布局完成后的附加说明图层，而是能够在候选方案生成前即参与约束设定和风险排序。对于研究区样例而言，ODI场的建立完成了从“边界+钻孔输入”到“风险约束可参与规划”的关键转换。</w:t>
      </w:r>
    </w:p>
    <w:p w14:paraId="5B929EAB" w14:textId="77777777" w:rsidR="00A046E0" w:rsidRDefault="00A046E0" w:rsidP="00A046E0">
      <w:pPr>
        <w:spacing w:after="40"/>
        <w:ind w:firstLine="420"/>
        <w:jc w:val="center"/>
        <w:rPr>
          <w:rFonts w:ascii="宋体" w:hAnsi="宋体" w:hint="eastAsia"/>
          <w:lang w:eastAsia="zh-CN"/>
        </w:rPr>
      </w:pPr>
      <w: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46F3194C" w14:textId="77777777" w:rsidTr="00A046E0">
        <w:trPr>
          <w:tblHeader/>
          <w:tblCellSpacing w:w="15" w:type="dxa"/>
          <w:jc w:val="center"/>
        </w:trPr>
        <w:tc>
          <w:tcPr>
            <w:tcW w:w="1701" w:type="dxa"/>
            <w:tcBorders>
              <w:top w:val="single" w:sz="4" w:space="0" w:color="auto"/>
              <w:bottom w:val="single" w:sz="4" w:space="0" w:color="auto"/>
            </w:tcBorders>
            <w:vAlign w:val="center"/>
            <w:hideMark/>
          </w:tcPr>
          <w:p>
            <w:r>
              <w:rPr>
                <w:rFonts w:ascii="宋体" w:hAnsi="宋体"/>
                <w:sz w:val="18"/>
              </w:rPr>
              <w:t>场景</w:t>
            </w:r>
          </w:p>
        </w:tc>
        <w:tc>
          <w:tcPr>
            <w:tcW w:w="2522" w:type="dxa"/>
            <w:tcBorders>
              <w:top w:val="single" w:sz="4" w:space="0" w:color="auto"/>
              <w:bottom w:val="single" w:sz="4" w:space="0" w:color="auto"/>
            </w:tcBorders>
            <w:vAlign w:val="center"/>
            <w:hideMark/>
          </w:tcPr>
          <w:p>
            <w:r>
              <w:rPr>
                <w:rFonts w:ascii="宋体" w:hAnsi="宋体"/>
                <w:sz w:val="18"/>
              </w:rPr>
              <w:t>关注对象</w:t>
            </w:r>
          </w:p>
        </w:tc>
        <w:tc>
          <w:tcPr>
            <w:tcW w:w="2663" w:type="dxa"/>
            <w:tcBorders>
              <w:top w:val="single" w:sz="4" w:space="0" w:color="auto"/>
              <w:bottom w:val="single" w:sz="4" w:space="0" w:color="auto"/>
            </w:tcBorders>
            <w:vAlign w:val="center"/>
            <w:hideMark/>
          </w:tcPr>
          <w:p>
            <w:r>
              <w:rPr>
                <w:rFonts w:ascii="宋体" w:hAnsi="宋体"/>
                <w:sz w:val="18"/>
              </w:rPr>
              <w:t>输入依据</w:t>
            </w:r>
          </w:p>
        </w:tc>
        <w:tc>
          <w:tcPr>
            <w:tcW w:w="2932" w:type="dxa"/>
            <w:tcBorders>
              <w:top w:val="single" w:sz="4" w:space="0" w:color="auto"/>
              <w:bottom w:val="single" w:sz="4" w:space="0" w:color="auto"/>
            </w:tcBorders>
            <w:vAlign w:val="center"/>
            <w:hideMark/>
          </w:tcPr>
          <w:p>
            <w:r>
              <w:rPr>
                <w:rFonts w:ascii="宋体" w:hAnsi="宋体"/>
                <w:sz w:val="18"/>
              </w:rPr>
              <w:t>规划作用</w:t>
            </w:r>
          </w:p>
        </w:tc>
      </w:tr>
      <w:tr w:rsidR="00A046E0" w:rsidRPr="00A046E0" w14:paraId="1B670FB7" w14:textId="77777777" w:rsidTr="00A046E0">
        <w:trPr>
          <w:tblCellSpacing w:w="15" w:type="dxa"/>
          <w:jc w:val="center"/>
        </w:trPr>
        <w:tc>
          <w:tcPr>
            <w:tcW w:w="1701" w:type="dxa"/>
            <w:vAlign w:val="center"/>
            <w:hideMark/>
          </w:tcPr>
          <w:p>
            <w:r>
              <w:rPr>
                <w:rFonts w:ascii="宋体" w:hAnsi="宋体"/>
                <w:sz w:val="18"/>
              </w:rPr>
              <w:t>地表沉陷</w:t>
            </w:r>
          </w:p>
        </w:tc>
        <w:tc>
          <w:tcPr>
            <w:tcW w:w="2522" w:type="dxa"/>
            <w:vAlign w:val="center"/>
            <w:hideMark/>
          </w:tcPr>
          <w:p>
            <w:r>
              <w:rPr>
                <w:rFonts w:ascii="宋体" w:hAnsi="宋体"/>
                <w:sz w:val="18"/>
              </w:rPr>
              <w:t>地表移动与沉陷风险</w:t>
            </w:r>
          </w:p>
        </w:tc>
        <w:tc>
          <w:tcPr>
            <w:tcW w:w="2663" w:type="dxa"/>
            <w:vAlign w:val="center"/>
            <w:hideMark/>
          </w:tcPr>
          <w:p>
            <w:r>
              <w:rPr>
                <w:rFonts w:ascii="宋体" w:hAnsi="宋体"/>
                <w:sz w:val="18"/>
              </w:rPr>
              <w:t>沉陷预测、保护约束</w:t>
            </w:r>
          </w:p>
        </w:tc>
        <w:tc>
          <w:tcPr>
            <w:tcW w:w="2932" w:type="dxa"/>
            <w:vAlign w:val="center"/>
            <w:hideMark/>
          </w:tcPr>
          <w:p>
            <w:r>
              <w:rPr>
                <w:rFonts w:ascii="宋体" w:hAnsi="宋体"/>
                <w:sz w:val="18"/>
              </w:rPr>
              <w:t>约束工作面布局范围</w:t>
            </w:r>
          </w:p>
        </w:tc>
      </w:tr>
      <w:tr w:rsidR="00A046E0" w:rsidRPr="00A046E0" w14:paraId="61B7416B" w14:textId="77777777" w:rsidTr="00A046E0">
        <w:trPr>
          <w:tblCellSpacing w:w="15" w:type="dxa"/>
          <w:jc w:val="center"/>
        </w:trPr>
        <w:tc>
          <w:tcPr>
            <w:tcW w:w="1701" w:type="dxa"/>
            <w:vAlign w:val="center"/>
            <w:hideMark/>
          </w:tcPr>
          <w:p>
            <w:r>
              <w:rPr>
                <w:rFonts w:ascii="宋体" w:hAnsi="宋体"/>
                <w:sz w:val="18"/>
              </w:rPr>
              <w:t>含水层扰动</w:t>
            </w:r>
          </w:p>
        </w:tc>
        <w:tc>
          <w:tcPr>
            <w:tcW w:w="2522" w:type="dxa"/>
            <w:vAlign w:val="center"/>
            <w:hideMark/>
          </w:tcPr>
          <w:p>
            <w:r>
              <w:rPr>
                <w:rFonts w:ascii="宋体" w:hAnsi="宋体"/>
                <w:sz w:val="18"/>
              </w:rPr>
              <w:t>导水裂隙带与含水层受扰</w:t>
            </w:r>
          </w:p>
        </w:tc>
        <w:tc>
          <w:tcPr>
            <w:tcW w:w="2663" w:type="dxa"/>
            <w:vAlign w:val="center"/>
            <w:hideMark/>
          </w:tcPr>
          <w:p>
            <w:r>
              <w:rPr>
                <w:rFonts w:ascii="宋体" w:hAnsi="宋体"/>
                <w:sz w:val="18"/>
              </w:rPr>
              <w:t>导水带高度、含水层敏感性</w:t>
            </w:r>
          </w:p>
        </w:tc>
        <w:tc>
          <w:tcPr>
            <w:tcW w:w="2932" w:type="dxa"/>
            <w:vAlign w:val="center"/>
            <w:hideMark/>
          </w:tcPr>
          <w:p>
            <w:r>
              <w:rPr>
                <w:rFonts w:ascii="宋体" w:hAnsi="宋体"/>
                <w:sz w:val="18"/>
              </w:rPr>
              <w:t>参与风险筛选与避让</w:t>
            </w:r>
          </w:p>
        </w:tc>
      </w:tr>
      <w:tr w:rsidR="00A046E0" w:rsidRPr="00A046E0" w14:paraId="305EB818" w14:textId="77777777" w:rsidTr="00A046E0">
        <w:trPr>
          <w:tblCellSpacing w:w="15" w:type="dxa"/>
          <w:jc w:val="center"/>
        </w:trPr>
        <w:tc>
          <w:tcPr>
            <w:tcW w:w="1701" w:type="dxa"/>
            <w:vAlign w:val="center"/>
            <w:hideMark/>
          </w:tcPr>
          <w:p>
            <w:r>
              <w:rPr>
                <w:rFonts w:ascii="宋体" w:hAnsi="宋体"/>
                <w:sz w:val="18"/>
              </w:rPr>
              <w:t>上行开采</w:t>
            </w:r>
          </w:p>
        </w:tc>
        <w:tc>
          <w:tcPr>
            <w:tcW w:w="2522" w:type="dxa"/>
            <w:vAlign w:val="center"/>
            <w:hideMark/>
          </w:tcPr>
          <w:p>
            <w:r>
              <w:rPr>
                <w:rFonts w:ascii="宋体" w:hAnsi="宋体"/>
                <w:sz w:val="18"/>
              </w:rPr>
              <w:t>上覆岩层扰动与安全边界</w:t>
            </w:r>
          </w:p>
        </w:tc>
        <w:tc>
          <w:tcPr>
            <w:tcW w:w="2663" w:type="dxa"/>
            <w:vAlign w:val="center"/>
            <w:hideMark/>
          </w:tcPr>
          <w:p>
            <w:r>
              <w:rPr>
                <w:rFonts w:ascii="宋体" w:hAnsi="宋体"/>
                <w:sz w:val="18"/>
              </w:rPr>
              <w:t>采动应力、覆岩破坏特征</w:t>
            </w:r>
          </w:p>
        </w:tc>
        <w:tc>
          <w:tcPr>
            <w:tcW w:w="2932" w:type="dxa"/>
            <w:vAlign w:val="center"/>
            <w:hideMark/>
          </w:tcPr>
          <w:p>
            <w:r>
              <w:rPr>
                <w:rFonts w:ascii="宋体" w:hAnsi="宋体"/>
                <w:sz w:val="18"/>
              </w:rPr>
              <w:t>支撑可行性评价</w:t>
            </w:r>
          </w:p>
        </w:tc>
      </w:tr>
      <w:tr w:rsidR="00A046E0" w:rsidRPr="00A046E0" w14:paraId="787D4FC1" w14:textId="77777777" w:rsidTr="00A046E0">
        <w:trPr>
          <w:tblCellSpacing w:w="15" w:type="dxa"/>
          <w:jc w:val="center"/>
        </w:trPr>
        <w:tc>
          <w:tcPr>
            <w:tcW w:w="1701" w:type="dxa"/>
            <w:vAlign w:val="center"/>
            <w:hideMark/>
          </w:tcPr>
          <w:p>
            <w:r>
              <w:rPr>
                <w:rFonts w:ascii="宋体" w:hAnsi="宋体"/>
                <w:sz w:val="18"/>
              </w:rPr>
              <w:t>综合ODI</w:t>
            </w:r>
          </w:p>
        </w:tc>
        <w:tc>
          <w:tcPr>
            <w:tcW w:w="2522" w:type="dxa"/>
            <w:vAlign w:val="center"/>
            <w:hideMark/>
          </w:tcPr>
          <w:p>
            <w:r>
              <w:rPr>
                <w:rFonts w:ascii="宋体" w:hAnsi="宋体"/>
                <w:sz w:val="18"/>
              </w:rPr>
              <w:t>多场景叠加扰动</w:t>
            </w:r>
          </w:p>
        </w:tc>
        <w:tc>
          <w:tcPr>
            <w:tcW w:w="2663" w:type="dxa"/>
            <w:vAlign w:val="center"/>
            <w:hideMark/>
          </w:tcPr>
          <w:p>
            <w:r>
              <w:rPr>
                <w:rFonts w:ascii="宋体" w:hAnsi="宋体"/>
                <w:sz w:val="18"/>
              </w:rPr>
              <w:t>多源风险归一化结果</w:t>
            </w:r>
          </w:p>
        </w:tc>
        <w:tc>
          <w:tcPr>
            <w:tcW w:w="2932" w:type="dxa"/>
            <w:vAlign w:val="center"/>
            <w:hideMark/>
          </w:tcPr>
          <w:p>
            <w:r>
              <w:rPr>
                <w:rFonts w:ascii="宋体" w:hAnsi="宋体"/>
                <w:sz w:val="18"/>
              </w:rPr>
              <w:t>形成统一方案级指标</w:t>
            </w:r>
          </w:p>
        </w:tc>
      </w:tr>
    </w:tbl>
    <w:p w14:paraId="7A698EAE" w14:textId="77777777" w:rsidR="00A046E0" w:rsidRPr="00A046E0" w:rsidRDefault="00A046E0" w:rsidP="00801D65">
      <w:pPr>
        <w:spacing w:after="40"/>
        <w:ind w:firstLine="420"/>
        <w:rPr>
          <w:rFonts w:ascii="宋体" w:hAnsi="宋体" w:hint="eastAsia"/>
          <w:lang w:eastAsia="zh-CN"/>
        </w:rPr>
      </w:pPr>
    </w:p>
    <w:p w14:paraId="3E9394E2" w14:textId="77777777" w:rsidR="00DE4743" w:rsidRDefault="00DE4743" w:rsidP="00A046E0">
      <w:pPr>
        <w:pStyle w:val="1"/>
        <w:rPr>
          <w:lang w:eastAsia="zh-CN"/>
        </w:rPr>
      </w:pPr>
      <w:r>
        <w:t>3 结构化规划结果与风险统计</w:t>
      </w:r>
    </w:p>
    <w:p w14:paraId="3EC37CB1" w14:textId="77777777" w:rsidR="007E22B6" w:rsidRDefault="00DE4743" w:rsidP="00A046E0">
      <w:pPr>
        <w:pStyle w:val="21"/>
        <w:rPr>
          <w:lang w:eastAsia="zh-CN"/>
        </w:rPr>
      </w:pPr>
      <w:r>
        <w:t>3.1 结构化规划结果</w:t>
      </w:r>
    </w:p>
    <w:p w14:paraId="6C935CED" w14:textId="77777777" w:rsidR="00DE4743" w:rsidRPr="00DE4743" w:rsidRDefault="00DE4743" w:rsidP="00DE4743">
      <w:pPr>
        <w:spacing w:after="40"/>
        <w:ind w:firstLine="420"/>
        <w:rPr>
          <w:rFonts w:ascii="宋体" w:hAnsi="宋体" w:hint="eastAsia"/>
          <w:lang w:eastAsia="zh-CN"/>
        </w:rPr>
      </w:pPr>
      <w:r>
        <w:t>在有效布置域、连续参数场和ODI风险场共同作用下，本文进一步开展采区规划结果生成与风险约束检验。与传统只给出静态边界划分的做法不同，本文将钻孔样点、连续参数场、保护煤柱约束和ODI风险场纳入同一评价口径，使规划结果能够以工作面、巷道、覆盖面积和ODI统计量等可复核指标表达。</w:t>
      </w:r>
    </w:p>
    <w:p w14:paraId="6C60ED00" w14:textId="77777777" w:rsidR="00195275" w:rsidRDefault="00000000">
      <w:pPr>
        <w:jc w:val="center"/>
      </w:pPr>
      <w:r>
        <w:rPr>
          <w:noProof/>
        </w:rPr>
        <w:lastRenderedPageBreak/>
        <w:drawing>
          <wp:inline distT="0" distB="0" distL="0" distR="0" wp14:anchorId="7842BCF9" wp14:editId="33588E0D">
            <wp:extent cx="5688000" cy="3543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含水层扰动约束下最终规划布局与ODI场叠置图.png"/>
                    <pic:cNvPicPr/>
                  </pic:nvPicPr>
                  <pic:blipFill>
                    <a:blip r:embed="rId12"/>
                    <a:stretch>
                      <a:fillRect/>
                    </a:stretch>
                  </pic:blipFill>
                  <pic:spPr>
                    <a:xfrm>
                      <a:off x="0" y="0"/>
                      <a:ext cx="5688000" cy="3543965"/>
                    </a:xfrm>
                    <a:prstGeom prst="rect">
                      <a:avLst/>
                    </a:prstGeom>
                  </pic:spPr>
                </pic:pic>
              </a:graphicData>
            </a:graphic>
          </wp:inline>
        </w:drawing>
      </w:r>
    </w:p>
    <w:p w14:paraId="5D711169" w14:textId="77777777" w:rsidR="00195275" w:rsidRDefault="00000000">
      <w:pPr>
        <w:jc w:val="center"/>
        <w:rPr>
          <w:lang w:eastAsia="zh-CN"/>
        </w:rPr>
      </w:pPr>
      <w:r>
        <w:t>图5 含水层扰动约束下最终规划布局与ODI场叠置图</w:t>
      </w:r>
    </w:p>
    <w:p w14:paraId="55B5BF16" w14:textId="77777777" w:rsidR="00DE4743" w:rsidRPr="00DE4743" w:rsidRDefault="00DE4743" w:rsidP="00DE4743">
      <w:pPr>
        <w:spacing w:after="40"/>
        <w:ind w:firstLine="420"/>
        <w:rPr>
          <w:rFonts w:ascii="宋体" w:hAnsi="宋体" w:hint="eastAsia"/>
          <w:lang w:eastAsia="zh-CN"/>
        </w:rPr>
      </w:pPr>
      <w:r>
        <w:t>从样例结果看，当前规划共形成3个工作面和11条巷道，巷道总长度为4817.50 m，工作面布置面积为176565.72 m²，相对于原始边界的有效覆盖率为69.17%。3个工作面的推进长度分别为WF-01推进515.1 m、WF-02推进536.6 m、WF-03推进551.1 m，平均推进长度为534.3 m。</w:t>
      </w:r>
    </w:p>
    <w:p w14:paraId="387095F2" w14:textId="77777777" w:rsidR="00DE4743" w:rsidRPr="00DE4743" w:rsidRDefault="00DE4743" w:rsidP="00DE4743">
      <w:pPr>
        <w:spacing w:after="40"/>
        <w:ind w:firstLine="420"/>
        <w:rPr>
          <w:rFonts w:ascii="宋体" w:hAnsi="宋体" w:hint="eastAsia"/>
          <w:lang w:eastAsia="zh-CN"/>
        </w:rPr>
      </w:pPr>
      <w:r>
        <w:t>从布局结果本身看，工作面并非直接贴附原始边界外轮廓，而是在有效布置域内形成必要的保护距离和工程边界。WF-01面积52181.16 m²、WF-02面积61822.04 m²、WF-03面积62562.51 m²，说明各工作面在空间上形成了连续且相互隔离的条带式布局；平均规划评分为68.8，其中WF-03评分最高，为71.5。</w:t>
      </w:r>
    </w:p>
    <w:p w14:paraId="52352E6B" w14:textId="77777777" w:rsidR="00195275" w:rsidRDefault="00000000">
      <w:pPr>
        <w:jc w:val="center"/>
      </w:pPr>
      <w:r>
        <w:rPr>
          <w:noProof/>
        </w:rPr>
        <w:lastRenderedPageBreak/>
        <w:drawing>
          <wp:inline distT="0" distB="0" distL="0" distR="0" wp14:anchorId="674E4A48" wp14:editId="4184A9E3">
            <wp:extent cx="5688000" cy="3362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采区规划布局结果图.png"/>
                    <pic:cNvPicPr/>
                  </pic:nvPicPr>
                  <pic:blipFill>
                    <a:blip r:embed="rId13"/>
                    <a:stretch>
                      <a:fillRect/>
                    </a:stretch>
                  </pic:blipFill>
                  <pic:spPr>
                    <a:xfrm>
                      <a:off x="0" y="0"/>
                      <a:ext cx="5688000" cy="3362181"/>
                    </a:xfrm>
                    <a:prstGeom prst="rect">
                      <a:avLst/>
                    </a:prstGeom>
                  </pic:spPr>
                </pic:pic>
              </a:graphicData>
            </a:graphic>
          </wp:inline>
        </w:drawing>
      </w:r>
    </w:p>
    <w:p w14:paraId="5D429FFA" w14:textId="77777777" w:rsidR="00195275" w:rsidRDefault="00000000">
      <w:pPr>
        <w:jc w:val="center"/>
        <w:rPr>
          <w:lang w:eastAsia="zh-CN"/>
        </w:rPr>
      </w:pPr>
      <w:r>
        <w:t>图6 采区规划布局结果图</w:t>
      </w:r>
    </w:p>
    <w:p>
      <w:r>
        <w:rPr>
          <w:rFonts w:ascii="宋体" w:hAnsi="宋体"/>
          <w:sz w:val="21"/>
        </w:rPr>
        <w:t>表3 当前样例规划结果统计表</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tcPr>
          <w:p>
            <w:r>
              <w:t>统计类别</w:t>
            </w:r>
          </w:p>
        </w:tc>
        <w:tc>
          <w:tcPr>
            <w:tcW w:type="dxa" w:w="2017"/>
          </w:tcPr>
          <w:p>
            <w:r>
              <w:t>指标</w:t>
            </w:r>
          </w:p>
        </w:tc>
        <w:tc>
          <w:tcPr>
            <w:tcW w:type="dxa" w:w="2017"/>
          </w:tcPr>
          <w:p>
            <w:r>
              <w:t>数值</w:t>
            </w:r>
          </w:p>
        </w:tc>
        <w:tc>
          <w:tcPr>
            <w:tcW w:type="dxa" w:w="2017"/>
          </w:tcPr>
          <w:p>
            <w:r>
              <w:t>单位/口径</w:t>
            </w:r>
          </w:p>
        </w:tc>
        <w:tc>
          <w:tcPr>
            <w:tcW w:type="dxa" w:w="2017"/>
          </w:tcPr>
          <w:p>
            <w:r>
              <w:t>说明</w:t>
            </w:r>
          </w:p>
        </w:tc>
      </w:tr>
      <w:tr>
        <w:tc>
          <w:tcPr>
            <w:tcW w:type="dxa" w:w="2017"/>
          </w:tcPr>
          <w:p>
            <w:r>
              <w:t>工程布置</w:t>
            </w:r>
          </w:p>
        </w:tc>
        <w:tc>
          <w:tcPr>
            <w:tcW w:type="dxa" w:w="2017"/>
          </w:tcPr>
          <w:p>
            <w:r>
              <w:t>工作面数量</w:t>
            </w:r>
          </w:p>
        </w:tc>
        <w:tc>
          <w:tcPr>
            <w:tcW w:type="dxa" w:w="2017"/>
          </w:tcPr>
          <w:p>
            <w:r>
              <w:t>3</w:t>
            </w:r>
          </w:p>
        </w:tc>
        <w:tc>
          <w:tcPr>
            <w:tcW w:type="dxa" w:w="2017"/>
          </w:tcPr>
          <w:p>
            <w:r>
              <w:t>个</w:t>
            </w:r>
          </w:p>
        </w:tc>
        <w:tc>
          <w:tcPr>
            <w:tcW w:type="dxa" w:w="2017"/>
          </w:tcPr>
          <w:p>
            <w:r>
              <w:t>当前样例输出</w:t>
            </w:r>
          </w:p>
        </w:tc>
      </w:tr>
      <w:tr>
        <w:tc>
          <w:tcPr>
            <w:tcW w:type="dxa" w:w="2017"/>
          </w:tcPr>
          <w:p>
            <w:r>
              <w:t>工程布置</w:t>
            </w:r>
          </w:p>
        </w:tc>
        <w:tc>
          <w:tcPr>
            <w:tcW w:type="dxa" w:w="2017"/>
          </w:tcPr>
          <w:p>
            <w:r>
              <w:t>巷道数量</w:t>
            </w:r>
          </w:p>
        </w:tc>
        <w:tc>
          <w:tcPr>
            <w:tcW w:type="dxa" w:w="2017"/>
          </w:tcPr>
          <w:p>
            <w:r>
              <w:t>11</w:t>
            </w:r>
          </w:p>
        </w:tc>
        <w:tc>
          <w:tcPr>
            <w:tcW w:type="dxa" w:w="2017"/>
          </w:tcPr>
          <w:p>
            <w:r>
              <w:t>条</w:t>
            </w:r>
          </w:p>
        </w:tc>
        <w:tc>
          <w:tcPr>
            <w:tcW w:type="dxa" w:w="2017"/>
          </w:tcPr>
          <w:p>
            <w:r>
              <w:t>当前样例输出</w:t>
            </w:r>
          </w:p>
        </w:tc>
      </w:tr>
      <w:tr>
        <w:tc>
          <w:tcPr>
            <w:tcW w:type="dxa" w:w="2017"/>
          </w:tcPr>
          <w:p>
            <w:r>
              <w:t>工程布置</w:t>
            </w:r>
          </w:p>
        </w:tc>
        <w:tc>
          <w:tcPr>
            <w:tcW w:type="dxa" w:w="2017"/>
          </w:tcPr>
          <w:p>
            <w:r>
              <w:t>巷道总长度</w:t>
            </w:r>
          </w:p>
        </w:tc>
        <w:tc>
          <w:tcPr>
            <w:tcW w:type="dxa" w:w="2017"/>
          </w:tcPr>
          <w:p>
            <w:r>
              <w:t>4817.50</w:t>
            </w:r>
          </w:p>
        </w:tc>
        <w:tc>
          <w:tcPr>
            <w:tcW w:type="dxa" w:w="2017"/>
          </w:tcPr>
          <w:p>
            <w:r>
              <w:t>m</w:t>
            </w:r>
          </w:p>
        </w:tc>
        <w:tc>
          <w:tcPr>
            <w:tcW w:type="dxa" w:w="2017"/>
          </w:tcPr>
          <w:p>
            <w:r>
              <w:t>按巷道对象长度汇总</w:t>
            </w:r>
          </w:p>
        </w:tc>
      </w:tr>
      <w:tr>
        <w:tc>
          <w:tcPr>
            <w:tcW w:type="dxa" w:w="2017"/>
          </w:tcPr>
          <w:p>
            <w:r>
              <w:t>工程布置</w:t>
            </w:r>
          </w:p>
        </w:tc>
        <w:tc>
          <w:tcPr>
            <w:tcW w:type="dxa" w:w="2017"/>
          </w:tcPr>
          <w:p>
            <w:r>
              <w:t>平均工作面长度</w:t>
            </w:r>
          </w:p>
        </w:tc>
        <w:tc>
          <w:tcPr>
            <w:tcW w:type="dxa" w:w="2017"/>
          </w:tcPr>
          <w:p>
            <w:r>
              <w:t>120.0</w:t>
            </w:r>
          </w:p>
        </w:tc>
        <w:tc>
          <w:tcPr>
            <w:tcW w:type="dxa" w:w="2017"/>
          </w:tcPr>
          <w:p>
            <w:r>
              <w:t>m</w:t>
            </w:r>
          </w:p>
        </w:tc>
        <w:tc>
          <w:tcPr>
            <w:tcW w:type="dxa" w:w="2017"/>
          </w:tcPr>
          <w:p>
            <w:r>
              <w:t>当前样例统计值</w:t>
            </w:r>
          </w:p>
        </w:tc>
      </w:tr>
      <w:tr>
        <w:tc>
          <w:tcPr>
            <w:tcW w:type="dxa" w:w="2017"/>
          </w:tcPr>
          <w:p>
            <w:r>
              <w:t>工程布置</w:t>
            </w:r>
          </w:p>
        </w:tc>
        <w:tc>
          <w:tcPr>
            <w:tcW w:type="dxa" w:w="2017"/>
          </w:tcPr>
          <w:p>
            <w:r>
              <w:t>平均推进长度</w:t>
            </w:r>
          </w:p>
        </w:tc>
        <w:tc>
          <w:tcPr>
            <w:tcW w:type="dxa" w:w="2017"/>
          </w:tcPr>
          <w:p>
            <w:r>
              <w:t>534.3</w:t>
            </w:r>
          </w:p>
        </w:tc>
        <w:tc>
          <w:tcPr>
            <w:tcW w:type="dxa" w:w="2017"/>
          </w:tcPr>
          <w:p>
            <w:r>
              <w:t>m</w:t>
            </w:r>
          </w:p>
        </w:tc>
        <w:tc>
          <w:tcPr>
            <w:tcW w:type="dxa" w:w="2017"/>
          </w:tcPr>
          <w:p>
            <w:r>
              <w:t>当前样例统计值</w:t>
            </w:r>
          </w:p>
        </w:tc>
      </w:tr>
      <w:tr>
        <w:tc>
          <w:tcPr>
            <w:tcW w:type="dxa" w:w="2017"/>
          </w:tcPr>
          <w:p>
            <w:r>
              <w:t>资源覆盖</w:t>
            </w:r>
          </w:p>
        </w:tc>
        <w:tc>
          <w:tcPr>
            <w:tcW w:type="dxa" w:w="2017"/>
          </w:tcPr>
          <w:p>
            <w:r>
              <w:t>布置面积</w:t>
            </w:r>
          </w:p>
        </w:tc>
        <w:tc>
          <w:tcPr>
            <w:tcW w:type="dxa" w:w="2017"/>
          </w:tcPr>
          <w:p>
            <w:r>
              <w:t>176565.72</w:t>
            </w:r>
          </w:p>
        </w:tc>
        <w:tc>
          <w:tcPr>
            <w:tcW w:type="dxa" w:w="2017"/>
          </w:tcPr>
          <w:p>
            <w:r>
              <w:t>m²</w:t>
            </w:r>
          </w:p>
        </w:tc>
        <w:tc>
          <w:tcPr>
            <w:tcW w:type="dxa" w:w="2017"/>
          </w:tcPr>
          <w:p>
            <w:r>
              <w:t>工作面布置面积汇总</w:t>
            </w:r>
          </w:p>
        </w:tc>
      </w:tr>
      <w:tr>
        <w:tc>
          <w:tcPr>
            <w:tcW w:type="dxa" w:w="2017"/>
          </w:tcPr>
          <w:p>
            <w:r>
              <w:t>资源覆盖</w:t>
            </w:r>
          </w:p>
        </w:tc>
        <w:tc>
          <w:tcPr>
            <w:tcW w:type="dxa" w:w="2017"/>
          </w:tcPr>
          <w:p>
            <w:r>
              <w:t>有效覆盖率</w:t>
            </w:r>
          </w:p>
        </w:tc>
        <w:tc>
          <w:tcPr>
            <w:tcW w:type="dxa" w:w="2017"/>
          </w:tcPr>
          <w:p>
            <w:r>
              <w:t>69.17</w:t>
            </w:r>
          </w:p>
        </w:tc>
        <w:tc>
          <w:tcPr>
            <w:tcW w:type="dxa" w:w="2017"/>
          </w:tcPr>
          <w:p>
            <w:r>
              <w:t>%</w:t>
            </w:r>
          </w:p>
        </w:tc>
        <w:tc>
          <w:tcPr>
            <w:tcW w:type="dxa" w:w="2017"/>
          </w:tcPr>
          <w:p>
            <w:r>
              <w:t>布置面积/原始边界面积</w:t>
            </w:r>
          </w:p>
        </w:tc>
      </w:tr>
      <w:tr>
        <w:tc>
          <w:tcPr>
            <w:tcW w:type="dxa" w:w="2017"/>
          </w:tcPr>
          <w:p>
            <w:r>
              <w:t>ODI风险</w:t>
            </w:r>
          </w:p>
        </w:tc>
        <w:tc>
          <w:tcPr>
            <w:tcW w:type="dxa" w:w="2017"/>
          </w:tcPr>
          <w:p>
            <w:r>
              <w:t>ODI均值</w:t>
            </w:r>
          </w:p>
        </w:tc>
        <w:tc>
          <w:tcPr>
            <w:tcW w:type="dxa" w:w="2017"/>
          </w:tcPr>
          <w:p>
            <w:r>
              <w:t>0.4669</w:t>
            </w:r>
          </w:p>
        </w:tc>
        <w:tc>
          <w:tcPr>
            <w:tcW w:type="dxa" w:w="2017"/>
          </w:tcPr>
          <w:p>
            <w:r>
              <w:t>—</w:t>
            </w:r>
          </w:p>
        </w:tc>
        <w:tc>
          <w:tcPr>
            <w:tcW w:type="dxa" w:w="2017"/>
          </w:tcPr>
          <w:p>
            <w:r>
              <w:t>80×56网格统计</w:t>
            </w:r>
          </w:p>
        </w:tc>
      </w:tr>
      <w:tr>
        <w:tc>
          <w:tcPr>
            <w:tcW w:type="dxa" w:w="2017"/>
          </w:tcPr>
          <w:p>
            <w:r>
              <w:t>ODI风险</w:t>
            </w:r>
          </w:p>
        </w:tc>
        <w:tc>
          <w:tcPr>
            <w:tcW w:type="dxa" w:w="2017"/>
          </w:tcPr>
          <w:p>
            <w:r>
              <w:t>ODI P90</w:t>
            </w:r>
          </w:p>
        </w:tc>
        <w:tc>
          <w:tcPr>
            <w:tcW w:type="dxa" w:w="2017"/>
          </w:tcPr>
          <w:p>
            <w:r>
              <w:t>0.7474</w:t>
            </w:r>
          </w:p>
        </w:tc>
        <w:tc>
          <w:tcPr>
            <w:tcW w:type="dxa" w:w="2017"/>
          </w:tcPr>
          <w:p>
            <w:r>
              <w:t>—</w:t>
            </w:r>
          </w:p>
        </w:tc>
        <w:tc>
          <w:tcPr>
            <w:tcW w:type="dxa" w:w="2017"/>
          </w:tcPr>
          <w:p>
            <w:r>
              <w:t>90%分位值</w:t>
            </w:r>
          </w:p>
        </w:tc>
      </w:tr>
      <w:tr>
        <w:tc>
          <w:tcPr>
            <w:tcW w:type="dxa" w:w="2017"/>
          </w:tcPr>
          <w:p>
            <w:r>
              <w:t>ODI风险</w:t>
            </w:r>
          </w:p>
        </w:tc>
        <w:tc>
          <w:tcPr>
            <w:tcW w:type="dxa" w:w="2017"/>
          </w:tcPr>
          <w:p>
            <w:r>
              <w:t>ODI&gt;0.70比例</w:t>
            </w:r>
          </w:p>
        </w:tc>
        <w:tc>
          <w:tcPr>
            <w:tcW w:type="dxa" w:w="2017"/>
          </w:tcPr>
          <w:p>
            <w:r>
              <w:t>15.89</w:t>
            </w:r>
          </w:p>
        </w:tc>
        <w:tc>
          <w:tcPr>
            <w:tcW w:type="dxa" w:w="2017"/>
          </w:tcPr>
          <w:p>
            <w:r>
              <w:t>%</w:t>
            </w:r>
          </w:p>
        </w:tc>
        <w:tc>
          <w:tcPr>
            <w:tcW w:type="dxa" w:w="2017"/>
          </w:tcPr>
          <w:p>
            <w:r>
              <w:t>本文统计口径</w:t>
            </w:r>
          </w:p>
        </w:tc>
      </w:tr>
      <w:tr>
        <w:tc>
          <w:tcPr>
            <w:tcW w:type="dxa" w:w="2017"/>
          </w:tcPr>
          <w:p>
            <w:r>
              <w:t>ODI风险</w:t>
            </w:r>
          </w:p>
        </w:tc>
        <w:tc>
          <w:tcPr>
            <w:tcW w:type="dxa" w:w="2017"/>
          </w:tcPr>
          <w:p>
            <w:r>
              <w:t>ODI&gt;0.80比例</w:t>
            </w:r>
          </w:p>
        </w:tc>
        <w:tc>
          <w:tcPr>
            <w:tcW w:type="dxa" w:w="2017"/>
          </w:tcPr>
          <w:p>
            <w:r>
              <w:t>3.55</w:t>
            </w:r>
          </w:p>
        </w:tc>
        <w:tc>
          <w:tcPr>
            <w:tcW w:type="dxa" w:w="2017"/>
          </w:tcPr>
          <w:p>
            <w:r>
              <w:t>%</w:t>
            </w:r>
          </w:p>
        </w:tc>
        <w:tc>
          <w:tcPr>
            <w:tcW w:type="dxa" w:w="2017"/>
          </w:tcPr>
          <w:p>
            <w:r>
              <w:t>本文统计口径</w:t>
            </w:r>
          </w:p>
        </w:tc>
      </w:tr>
      <w:tr>
        <w:tc>
          <w:tcPr>
            <w:tcW w:type="dxa" w:w="2017"/>
          </w:tcPr>
          <w:p>
            <w:r>
              <w:t>综合评价</w:t>
            </w:r>
          </w:p>
        </w:tc>
        <w:tc>
          <w:tcPr>
            <w:tcW w:type="dxa" w:w="2017"/>
          </w:tcPr>
          <w:p>
            <w:r>
              <w:t>平均评分</w:t>
            </w:r>
          </w:p>
        </w:tc>
        <w:tc>
          <w:tcPr>
            <w:tcW w:type="dxa" w:w="2017"/>
          </w:tcPr>
          <w:p>
            <w:r>
              <w:t>68.8</w:t>
            </w:r>
          </w:p>
        </w:tc>
        <w:tc>
          <w:tcPr>
            <w:tcW w:type="dxa" w:w="2017"/>
          </w:tcPr>
          <w:p>
            <w:r>
              <w:t>分</w:t>
            </w:r>
          </w:p>
        </w:tc>
        <w:tc>
          <w:tcPr>
            <w:tcW w:type="dxa" w:w="2017"/>
          </w:tcPr>
          <w:p>
            <w:r>
              <w:t>按设计评分权重汇总</w:t>
            </w:r>
          </w:p>
        </w:tc>
      </w:tr>
    </w:tbl>
    <w:p w14:paraId="154413C3" w14:textId="77777777" w:rsidR="00A046E0" w:rsidRDefault="00A046E0" w:rsidP="00A046E0">
      <w:pPr>
        <w:spacing w:after="40"/>
        <w:rPr>
          <w:rFonts w:ascii="宋体" w:hAnsi="宋体" w:hint="eastAsia"/>
          <w:lang w:eastAsia="zh-CN"/>
        </w:rPr>
      </w:pPr>
    </w:p>
    <w:p w14:paraId="6FB6EBE4" w14:textId="77777777" w:rsidR="00DE4743" w:rsidRPr="00DE4743" w:rsidRDefault="00DE4743" w:rsidP="00A046E0">
      <w:pPr>
        <w:pStyle w:val="21"/>
        <w:rPr>
          <w:lang w:eastAsia="zh-CN"/>
        </w:rPr>
      </w:pPr>
      <w:r>
        <w:t>3.2 规划结果向采掘接续与工程经济评价的传递</w:t>
      </w:r>
    </w:p>
    <w:p w14:paraId="578471AD" w14:textId="77777777" w:rsidR="00DE4743" w:rsidRPr="00DE4743" w:rsidRDefault="00DE4743" w:rsidP="00DE4743">
      <w:pPr>
        <w:spacing w:after="40"/>
        <w:ind w:firstLine="420"/>
        <w:rPr>
          <w:rFonts w:ascii="宋体" w:hAnsi="宋体" w:hint="eastAsia"/>
          <w:lang w:eastAsia="zh-CN"/>
        </w:rPr>
      </w:pPr>
      <w:r>
        <w:t>本文方法的一个重要特点，是不把采区规划的几何布局视为终点，而是强调规划结果可以继续作为采掘接续和工程经济评价的上游输入。在本样例中，工作面边界、巷道路径、推进长度、布置面积和ODI统计量均已形成可传递的规划结果，后续环节可据此组织生产顺序、产量核算和经济评价。</w:t>
      </w:r>
    </w:p>
    <w:p w14:paraId="0F09F0C3" w14:textId="77777777" w:rsidR="00DE4743" w:rsidRPr="00DE4743" w:rsidRDefault="00DE4743" w:rsidP="00DE4743">
      <w:pPr>
        <w:spacing w:after="40"/>
        <w:ind w:firstLine="420"/>
        <w:rPr>
          <w:rFonts w:ascii="宋体" w:hAnsi="宋体" w:hint="eastAsia"/>
          <w:lang w:eastAsia="zh-CN"/>
        </w:rPr>
      </w:pPr>
      <w:r>
        <w:t>在采掘接续层面，规划阶段形成的工作面边界和推进关系可映射为接续任务对象。当前样例已经给出由采区规划空间结果向采掘接续空间结果的传递路径，其证据重点是“对象可传递、链路可延伸”，而不是未经独立导出的接续优选评分。</w:t>
      </w:r>
    </w:p>
    <w:p w14:paraId="0B66266F" w14:textId="77777777" w:rsidR="00195275" w:rsidRDefault="00000000">
      <w:pPr>
        <w:jc w:val="center"/>
      </w:pPr>
      <w:r>
        <w:rPr>
          <w:noProof/>
        </w:rPr>
        <w:drawing>
          <wp:inline distT="0" distB="0" distL="0" distR="0" wp14:anchorId="376A22B5" wp14:editId="7DC246A0">
            <wp:extent cx="5760000" cy="3239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采掘接续时序安排图.png"/>
                    <pic:cNvPicPr/>
                  </pic:nvPicPr>
                  <pic:blipFill>
                    <a:blip r:embed="rId15"/>
                    <a:stretch>
                      <a:fillRect/>
                    </a:stretch>
                  </pic:blipFill>
                  <pic:spPr>
                    <a:xfrm>
                      <a:off x="0" y="0"/>
                      <a:ext cx="5760000" cy="3239546"/>
                    </a:xfrm>
                    <a:prstGeom prst="rect">
                      <a:avLst/>
                    </a:prstGeom>
                  </pic:spPr>
                </pic:pic>
              </a:graphicData>
            </a:graphic>
          </wp:inline>
        </w:drawing>
      </w:r>
    </w:p>
    <w:p w14:paraId="68DD2FA3" w14:textId="77777777" w:rsidR="00195275" w:rsidRDefault="00000000">
      <w:pPr>
        <w:jc w:val="center"/>
        <w:rPr>
          <w:lang w:eastAsia="zh-CN"/>
        </w:rPr>
      </w:pPr>
      <w:r>
        <w:t>图7 采掘接续时序安排图</w:t>
      </w:r>
    </w:p>
    <w:p w14:paraId="08796CB7" w14:textId="77777777" w:rsidR="00DE4743" w:rsidRPr="00DE4743" w:rsidRDefault="00DE4743" w:rsidP="00DE4743">
      <w:pPr>
        <w:spacing w:after="40"/>
        <w:ind w:firstLine="420"/>
        <w:rPr>
          <w:rFonts w:ascii="宋体" w:hAnsi="宋体" w:hint="eastAsia"/>
          <w:lang w:eastAsia="zh-CN"/>
        </w:rPr>
      </w:pPr>
      <w:r>
        <w:t>在调控层面，规划结果还可进一步转化为工作面级控制变量。当前样例明确给出了120.0 m工作面宽度、20.0 m区段煤柱宽度和30.0 m边界煤柱宽度，并可与ODI均值0.4669、P90=0.7474及ODI&gt;0.70比例15.89%等统计量对应，用于后续敏感性分析。</w:t>
      </w:r>
    </w:p>
    <w:p w14:paraId="354C5C8E" w14:textId="77777777" w:rsidR="00195275" w:rsidRDefault="00000000">
      <w:pPr>
        <w:jc w:val="center"/>
      </w:pPr>
      <w:r>
        <w:rPr>
          <w:noProof/>
        </w:rPr>
        <w:lastRenderedPageBreak/>
        <w:drawing>
          <wp:inline distT="0" distB="0" distL="0" distR="0" wp14:anchorId="211C7644" wp14:editId="5BF1D835">
            <wp:extent cx="5616000" cy="2927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月产量变化曲线图.png"/>
                    <pic:cNvPicPr/>
                  </pic:nvPicPr>
                  <pic:blipFill>
                    <a:blip r:embed="rId16"/>
                    <a:stretch>
                      <a:fillRect/>
                    </a:stretch>
                  </pic:blipFill>
                  <pic:spPr>
                    <a:xfrm>
                      <a:off x="0" y="0"/>
                      <a:ext cx="5616000" cy="2927685"/>
                    </a:xfrm>
                    <a:prstGeom prst="rect">
                      <a:avLst/>
                    </a:prstGeom>
                  </pic:spPr>
                </pic:pic>
              </a:graphicData>
            </a:graphic>
          </wp:inline>
        </w:drawing>
      </w:r>
    </w:p>
    <w:p w14:paraId="4D8796A4" w14:textId="77777777" w:rsidR="00195275" w:rsidRDefault="00000000">
      <w:pPr>
        <w:jc w:val="center"/>
        <w:rPr>
          <w:lang w:eastAsia="zh-CN"/>
        </w:rPr>
      </w:pPr>
      <w:r>
        <w:t>图8 月产量变化曲线图</w:t>
      </w:r>
    </w:p>
    <w:p w14:paraId="65AAF05C" w14:textId="77777777" w:rsidR="00DE4743" w:rsidRPr="00DE4743" w:rsidRDefault="00DE4743" w:rsidP="00DE4743">
      <w:pPr>
        <w:spacing w:after="40"/>
        <w:ind w:firstLine="420"/>
        <w:rPr>
          <w:rFonts w:ascii="宋体" w:hAnsi="宋体" w:hint="eastAsia"/>
          <w:lang w:eastAsia="zh-CN"/>
        </w:rPr>
      </w:pPr>
      <w:r>
        <w:t>在工程经济评价层面，规划与接续结果可以继续进入收入、成本、风险联动成本和现金流分析过程。当前样例已完成规划对象向后续评价口径的传递，但尚不具备独立导出的真实矿井经济对照数据，因此本文仅讨论其作为评价输入的可传递性，不给出未经数据支撑的经济优选结论。</w:t>
      </w:r>
    </w:p>
    <w:p w14:paraId="69D3F101" w14:textId="77777777" w:rsidR="00195275" w:rsidRDefault="00000000">
      <w:pPr>
        <w:jc w:val="center"/>
      </w:pPr>
      <w:r>
        <w:rPr>
          <w:noProof/>
        </w:rPr>
        <w:drawing>
          <wp:inline distT="0" distB="0" distL="0" distR="0" wp14:anchorId="68004A5C" wp14:editId="6E3194D8">
            <wp:extent cx="5688000" cy="2954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采掘接续方案现金流分析图.png"/>
                    <pic:cNvPicPr/>
                  </pic:nvPicPr>
                  <pic:blipFill>
                    <a:blip r:embed="rId17"/>
                    <a:stretch>
                      <a:fillRect/>
                    </a:stretch>
                  </pic:blipFill>
                  <pic:spPr>
                    <a:xfrm>
                      <a:off x="0" y="0"/>
                      <a:ext cx="5688000" cy="2954936"/>
                    </a:xfrm>
                    <a:prstGeom prst="rect">
                      <a:avLst/>
                    </a:prstGeom>
                  </pic:spPr>
                </pic:pic>
              </a:graphicData>
            </a:graphic>
          </wp:inline>
        </w:drawing>
      </w:r>
    </w:p>
    <w:p w14:paraId="02D1AFAC" w14:textId="77777777" w:rsidR="00195275" w:rsidRDefault="00000000">
      <w:pPr>
        <w:jc w:val="center"/>
        <w:rPr>
          <w:lang w:eastAsia="zh-CN"/>
        </w:rPr>
      </w:pPr>
      <w:r>
        <w:t>图9 采掘接续方案现金流分析图</w:t>
      </w:r>
    </w:p>
    <w:p w14:paraId="414D1A13" w14:textId="77777777" w:rsidR="00DE4743" w:rsidRDefault="00DE4743" w:rsidP="00DE4743">
      <w:pPr>
        <w:spacing w:after="40"/>
        <w:ind w:firstLine="420"/>
        <w:rPr>
          <w:rFonts w:ascii="宋体" w:hAnsi="宋体" w:hint="eastAsia"/>
          <w:lang w:eastAsia="zh-CN"/>
        </w:rPr>
      </w:pPr>
      <w:r>
        <w:t>综上，研究区样例表明，本文方法已完成“边界与钻孔输入—参数场构建—ODI风险组织—规划对象生成—后续评价输入”的连续运行过程。在15个钻孔、6个边界点和4480个ODI栅格的样例条件下，方法生成3个工作面、11条巷道、69.17%有效覆盖率和15.89%高ODI暴露比例等可复核结果。其核心价值在于证明方法链和对象链已经贯通，而非证明某一单独模块在真实矿井条件下达到普适最优。</w:t>
      </w:r>
    </w:p>
    <w:p w14:paraId="45EE1469" w14:textId="77777777" w:rsidR="00081B10" w:rsidRDefault="00081B10" w:rsidP="00081B10">
      <w:pPr>
        <w:spacing w:after="40"/>
        <w:ind w:firstLine="420"/>
        <w:jc w:val="center"/>
        <w:rPr>
          <w:rFonts w:ascii="宋体" w:hAnsi="宋体" w:hint="eastAsia"/>
          <w:lang w:eastAsia="zh-CN"/>
        </w:rPr>
      </w:pPr>
      <w:r>
        <w:rPr>
          <w:rFonts w:ascii="宋体" w:hAnsi="宋体"/>
          <w:sz w:val="21"/>
        </w:rPr>
        <w:t>表4 当前样例参数与ODI统计表</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tcPr>
          <w:p>
            <w:r>
              <w:t>对象</w:t>
            </w:r>
          </w:p>
        </w:tc>
        <w:tc>
          <w:tcPr>
            <w:tcW w:type="dxa" w:w="2017"/>
          </w:tcPr>
          <w:p>
            <w:r>
              <w:t>当前样例取值</w:t>
            </w:r>
          </w:p>
        </w:tc>
        <w:tc>
          <w:tcPr>
            <w:tcW w:type="dxa" w:w="2017"/>
          </w:tcPr>
          <w:p>
            <w:r>
              <w:t>关联指标</w:t>
            </w:r>
          </w:p>
        </w:tc>
        <w:tc>
          <w:tcPr>
            <w:tcW w:type="dxa" w:w="2017"/>
          </w:tcPr>
          <w:p>
            <w:r>
              <w:t>统计值</w:t>
            </w:r>
          </w:p>
        </w:tc>
        <w:tc>
          <w:tcPr>
            <w:tcW w:type="dxa" w:w="2017"/>
          </w:tcPr>
          <w:p>
            <w:r>
              <w:t>用途</w:t>
            </w:r>
          </w:p>
        </w:tc>
      </w:tr>
      <w:tr>
        <w:tc>
          <w:tcPr>
            <w:tcW w:type="dxa" w:w="2017"/>
          </w:tcPr>
          <w:p>
            <w:r>
              <w:t>工作面宽度</w:t>
            </w:r>
          </w:p>
        </w:tc>
        <w:tc>
          <w:tcPr>
            <w:tcW w:type="dxa" w:w="2017"/>
          </w:tcPr>
          <w:p>
            <w:r>
              <w:t>120.0 m</w:t>
            </w:r>
          </w:p>
        </w:tc>
        <w:tc>
          <w:tcPr>
            <w:tcW w:type="dxa" w:w="2017"/>
          </w:tcPr>
          <w:p>
            <w:r>
              <w:t>几何布置</w:t>
            </w:r>
          </w:p>
        </w:tc>
        <w:tc>
          <w:tcPr>
            <w:tcW w:type="dxa" w:w="2017"/>
          </w:tcPr>
          <w:p>
            <w:r>
              <w:t>用于工作面生成</w:t>
            </w:r>
          </w:p>
        </w:tc>
        <w:tc>
          <w:tcPr>
            <w:tcW w:type="dxa" w:w="2017"/>
          </w:tcPr>
          <w:p>
            <w:r>
              <w:t>约束工作面空间尺度</w:t>
            </w:r>
          </w:p>
        </w:tc>
      </w:tr>
      <w:tr>
        <w:tc>
          <w:tcPr>
            <w:tcW w:type="dxa" w:w="2017"/>
          </w:tcPr>
          <w:p>
            <w:r>
              <w:t>区段煤柱宽度</w:t>
            </w:r>
          </w:p>
        </w:tc>
        <w:tc>
          <w:tcPr>
            <w:tcW w:type="dxa" w:w="2017"/>
          </w:tcPr>
          <w:p>
            <w:r>
              <w:t>20.0 m</w:t>
            </w:r>
          </w:p>
        </w:tc>
        <w:tc>
          <w:tcPr>
            <w:tcW w:type="dxa" w:w="2017"/>
          </w:tcPr>
          <w:p>
            <w:r>
              <w:t>安全隔离</w:t>
            </w:r>
          </w:p>
        </w:tc>
        <w:tc>
          <w:tcPr>
            <w:tcW w:type="dxa" w:w="2017"/>
          </w:tcPr>
          <w:p>
            <w:r>
              <w:t>规则范围15-30 m</w:t>
            </w:r>
          </w:p>
        </w:tc>
        <w:tc>
          <w:tcPr>
            <w:tcW w:type="dxa" w:w="2017"/>
          </w:tcPr>
          <w:p>
            <w:r>
              <w:t>约束区段间距</w:t>
            </w:r>
          </w:p>
        </w:tc>
      </w:tr>
      <w:tr>
        <w:tc>
          <w:tcPr>
            <w:tcW w:type="dxa" w:w="2017"/>
          </w:tcPr>
          <w:p>
            <w:r>
              <w:t>边界煤柱宽度</w:t>
            </w:r>
          </w:p>
        </w:tc>
        <w:tc>
          <w:tcPr>
            <w:tcW w:type="dxa" w:w="2017"/>
          </w:tcPr>
          <w:p>
            <w:r>
              <w:t>30.0 m</w:t>
            </w:r>
          </w:p>
        </w:tc>
        <w:tc>
          <w:tcPr>
            <w:tcW w:type="dxa" w:w="2017"/>
          </w:tcPr>
          <w:p>
            <w:r>
              <w:t>边界保护</w:t>
            </w:r>
          </w:p>
        </w:tc>
        <w:tc>
          <w:tcPr>
            <w:tcW w:type="dxa" w:w="2017"/>
          </w:tcPr>
          <w:p>
            <w:r>
              <w:t>规则范围20-50 m</w:t>
            </w:r>
          </w:p>
        </w:tc>
        <w:tc>
          <w:tcPr>
            <w:tcW w:type="dxa" w:w="2017"/>
          </w:tcPr>
          <w:p>
            <w:r>
              <w:t>形成有效布置域</w:t>
            </w:r>
          </w:p>
        </w:tc>
      </w:tr>
      <w:tr>
        <w:tc>
          <w:tcPr>
            <w:tcW w:type="dxa" w:w="2017"/>
          </w:tcPr>
          <w:p>
            <w:r>
              <w:t>ODI权重</w:t>
            </w:r>
          </w:p>
        </w:tc>
        <w:tc>
          <w:tcPr>
            <w:tcW w:type="dxa" w:w="2017"/>
          </w:tcPr>
          <w:p>
            <w:r>
              <w:t>0.45/0.30/0.25</w:t>
            </w:r>
          </w:p>
        </w:tc>
        <w:tc>
          <w:tcPr>
            <w:tcW w:type="dxa" w:w="2017"/>
          </w:tcPr>
          <w:p>
            <w:r>
              <w:t>沉陷/含水层/上行开采</w:t>
            </w:r>
          </w:p>
        </w:tc>
        <w:tc>
          <w:tcPr>
            <w:tcW w:type="dxa" w:w="2017"/>
          </w:tcPr>
          <w:p>
            <w:r>
              <w:t>综合风险加权</w:t>
            </w:r>
          </w:p>
        </w:tc>
        <w:tc>
          <w:tcPr>
            <w:tcW w:type="dxa" w:w="2017"/>
          </w:tcPr>
          <w:p>
            <w:r>
              <w:t>形成统一风险场</w:t>
            </w:r>
          </w:p>
        </w:tc>
      </w:tr>
      <w:tr>
        <w:tc>
          <w:tcPr>
            <w:tcW w:type="dxa" w:w="2017"/>
          </w:tcPr>
          <w:p>
            <w:r>
              <w:t>ODI栅格</w:t>
            </w:r>
          </w:p>
        </w:tc>
        <w:tc>
          <w:tcPr>
            <w:tcW w:type="dxa" w:w="2017"/>
          </w:tcPr>
          <w:p>
            <w:r>
              <w:t>80×56，4480个栅格</w:t>
            </w:r>
          </w:p>
        </w:tc>
        <w:tc>
          <w:tcPr>
            <w:tcW w:type="dxa" w:w="2017"/>
          </w:tcPr>
          <w:p>
            <w:r>
              <w:t>风险统计</w:t>
            </w:r>
          </w:p>
        </w:tc>
        <w:tc>
          <w:tcPr>
            <w:tcW w:type="dxa" w:w="2017"/>
          </w:tcPr>
          <w:p>
            <w:r>
              <w:t>均值0.4669；P90=0.7474</w:t>
            </w:r>
          </w:p>
        </w:tc>
        <w:tc>
          <w:tcPr>
            <w:tcW w:type="dxa" w:w="2017"/>
          </w:tcPr>
          <w:p>
            <w:r>
              <w:t>描述研究区风险分布</w:t>
            </w:r>
          </w:p>
        </w:tc>
      </w:tr>
      <w:tr>
        <w:tc>
          <w:tcPr>
            <w:tcW w:type="dxa" w:w="2017"/>
          </w:tcPr>
          <w:p>
            <w:r>
              <w:t>高风险暴露</w:t>
            </w:r>
          </w:p>
        </w:tc>
        <w:tc>
          <w:tcPr>
            <w:tcW w:type="dxa" w:w="2017"/>
          </w:tcPr>
          <w:p>
            <w:r>
              <w:t>ODI阈值0.70/0.80</w:t>
            </w:r>
          </w:p>
        </w:tc>
        <w:tc>
          <w:tcPr>
            <w:tcW w:type="dxa" w:w="2017"/>
          </w:tcPr>
          <w:p>
            <w:r>
              <w:t>超限比例</w:t>
            </w:r>
          </w:p>
        </w:tc>
        <w:tc>
          <w:tcPr>
            <w:tcW w:type="dxa" w:w="2017"/>
          </w:tcPr>
          <w:p>
            <w:r>
              <w:t>15.89%/3.55%</w:t>
            </w:r>
          </w:p>
        </w:tc>
        <w:tc>
          <w:tcPr>
            <w:tcW w:type="dxa" w:w="2017"/>
          </w:tcPr>
          <w:p>
            <w:r>
              <w:t>识别高扰动敏感区</w:t>
            </w:r>
          </w:p>
        </w:tc>
      </w:tr>
    </w:tbl>
    <w:p w14:paraId="061F4C3F" w14:textId="77777777" w:rsidR="007E22B6" w:rsidRDefault="00DE4743" w:rsidP="00A046E0">
      <w:pPr>
        <w:pStyle w:val="1"/>
        <w:rPr>
          <w:lang w:eastAsia="zh-CN"/>
        </w:rPr>
      </w:pPr>
      <w:r>
        <w:t>4 讨论</w:t>
      </w:r>
    </w:p>
    <w:p w14:paraId="79BCD0B2" w14:textId="77777777" w:rsidR="007E22B6" w:rsidRDefault="00DE4743" w:rsidP="00A046E0">
      <w:pPr>
        <w:pStyle w:val="21"/>
        <w:rPr>
          <w:lang w:eastAsia="zh-CN"/>
        </w:rPr>
      </w:pPr>
      <w:r>
        <w:t>4.1 ODI 前置约束对采区规划的作用</w:t>
      </w:r>
    </w:p>
    <w:p w14:paraId="5B9F2543" w14:textId="77777777" w:rsidR="00DE4743" w:rsidRPr="00DE4743" w:rsidRDefault="00DE4743" w:rsidP="00DE4743">
      <w:pPr>
        <w:spacing w:after="40"/>
        <w:ind w:firstLine="420"/>
        <w:rPr>
          <w:rFonts w:ascii="宋体" w:hAnsi="宋体" w:hint="eastAsia"/>
          <w:lang w:eastAsia="zh-CN"/>
        </w:rPr>
      </w:pPr>
      <w:r>
        <w:t>传统采区规划多采用“先形成布局方案、再开展风险校核”的串行方式。该流程容易使地表沉陷、含水层扰动和上行开采等风险因素停留在后验修正环节，一旦校核不满足要求，往往需要重新调整边界、工作面和巷道布置。本文将ODI作为前置约束，使风险信息在候选布局形成阶段即参与空间筛选和统计评价。</w:t>
      </w:r>
    </w:p>
    <w:p w14:paraId="03656B10" w14:textId="77777777" w:rsidR="00DE4743" w:rsidRPr="00DE4743" w:rsidRDefault="00DE4743" w:rsidP="00DE4743">
      <w:pPr>
        <w:spacing w:after="40"/>
        <w:ind w:firstLine="420"/>
        <w:rPr>
          <w:rFonts w:ascii="宋体" w:hAnsi="宋体" w:hint="eastAsia"/>
          <w:lang w:eastAsia="zh-CN"/>
        </w:rPr>
      </w:pPr>
      <w:r>
        <w:t>从研究区样例看，ODI场提供了可量化的风险入口：均值0.4669反映总体扰动水平，P90=0.7474反映高分位风险，ODI&gt;0.70和ODI&gt;0.80比例分别为15.89%和3.55%，可用于识别高扰动敏感区并指导工作面避让或降权。</w:t>
      </w:r>
    </w:p>
    <w:p w14:paraId="64C8F19E" w14:textId="77777777" w:rsidR="000B659F" w:rsidRPr="000B659F" w:rsidRDefault="00DE4743" w:rsidP="00DE4743">
      <w:pPr>
        <w:spacing w:after="40"/>
        <w:ind w:firstLine="420"/>
        <w:rPr>
          <w:rFonts w:ascii="宋体" w:hAnsi="宋体" w:hint="eastAsia"/>
          <w:lang w:eastAsia="zh-CN"/>
        </w:rPr>
      </w:pPr>
      <w:r>
        <w:t>进一步看，ODI统一表达的价值还体现在连续传递能力上。由于ODI在规划阶段已形成方案级统计指标，因此可直接作为后续采高调控、采掘接续和经济评价的上游输入，不需要在下游环节重新定义风险口径。</w:t>
      </w:r>
    </w:p>
    <w:p w14:paraId="0BEA2C11"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31A950B5" w14:textId="77777777" w:rsidR="007E22B6" w:rsidRDefault="00DE4743" w:rsidP="00A046E0">
      <w:pPr>
        <w:pStyle w:val="21"/>
        <w:rPr>
          <w:lang w:eastAsia="zh-CN"/>
        </w:rPr>
      </w:pPr>
      <w:r>
        <w:t>4.2 参数场驱动的规划方法相对于传统经验布置的意义</w:t>
      </w:r>
    </w:p>
    <w:p w14:paraId="478A0300" w14:textId="77777777" w:rsidR="00DE4743" w:rsidRPr="00DE4743" w:rsidRDefault="00DE4743" w:rsidP="00DE4743">
      <w:pPr>
        <w:spacing w:after="40"/>
        <w:ind w:firstLine="420"/>
        <w:rPr>
          <w:rFonts w:ascii="宋体" w:hAnsi="宋体" w:hint="eastAsia"/>
          <w:lang w:eastAsia="zh-CN"/>
        </w:rPr>
      </w:pPr>
      <w:r>
        <w:t>采区规划结果的可靠性不仅取决于边界几何条件，还与地质属性的空间连续变化密切相关。传统经验式布置能够快速形成初始形态，但对钻孔控制下的厚度差异、资源富集区和低厚度区响应不足，容易造成资源评价与几何布置脱节。</w:t>
      </w:r>
    </w:p>
    <w:p w14:paraId="14A1E946" w14:textId="77777777" w:rsidR="00DE4743" w:rsidRPr="00DE4743" w:rsidRDefault="00DE4743" w:rsidP="00DE4743">
      <w:pPr>
        <w:spacing w:after="40"/>
        <w:ind w:firstLine="420"/>
        <w:rPr>
          <w:rFonts w:ascii="宋体" w:hAnsi="宋体" w:hint="eastAsia"/>
          <w:lang w:eastAsia="zh-CN"/>
        </w:rPr>
      </w:pPr>
      <w:r>
        <w:t>研究区样例表明，参数场引入后，高低厚度区在规划评价中的作用可以被区分：样点煤厚从2.8 m变化到4.8 m，平均值为3.7933 m。高厚度区在资源覆盖评价中更具吸引力，而低厚度区则提示布局需结合边界约束和风险约束进行权衡。</w:t>
      </w:r>
    </w:p>
    <w:p w14:paraId="227EE6D7" w14:textId="77777777" w:rsidR="000B659F" w:rsidRPr="000B659F" w:rsidRDefault="00DE4743" w:rsidP="00DE4743">
      <w:pPr>
        <w:spacing w:after="40"/>
        <w:ind w:firstLine="420"/>
        <w:rPr>
          <w:rFonts w:ascii="宋体" w:hAnsi="宋体" w:hint="eastAsia"/>
          <w:lang w:eastAsia="zh-CN"/>
        </w:rPr>
      </w:pPr>
      <w:r>
        <w:t>因此，参数场不是独立的地质建模结果，而是服务规划决策的中间环节。只有当参数场、风险场和几何对象被组织在统一空间参照之下，规划结果才可能进一步传递至采掘接续与工程经济分析。</w:t>
      </w:r>
    </w:p>
    <w:p w14:paraId="796A99B9" w14:textId="77777777" w:rsidR="007E22B6" w:rsidRDefault="00DE4743" w:rsidP="00A046E0">
      <w:pPr>
        <w:pStyle w:val="21"/>
        <w:rPr>
          <w:lang w:eastAsia="zh-CN"/>
        </w:rPr>
      </w:pPr>
      <w:r>
        <w:t>4.3 后续深化方向</w:t>
      </w:r>
    </w:p>
    <w:p w14:paraId="09984353" w14:textId="77777777" w:rsidR="00DE4743" w:rsidRPr="00DE4743" w:rsidRDefault="00DE4743" w:rsidP="00DE4743">
      <w:pPr>
        <w:spacing w:after="40"/>
        <w:ind w:firstLine="420"/>
        <w:rPr>
          <w:rFonts w:ascii="宋体" w:hAnsi="宋体" w:hint="eastAsia"/>
          <w:lang w:eastAsia="zh-CN"/>
        </w:rPr>
      </w:pPr>
      <w:r>
        <w:t>本文当前结果主要证明所提方法在样例条件下的链路贯通能力，即能够实现采区边界、钻孔样点、连续参数场、ODI风险场和规划对象之间的连续组织与传递。现有结果形成3个工作面、11条巷道和4817.50 m巷道总长度，说明该方法在方法链和对象链层面具有较好的完整性。</w:t>
      </w:r>
    </w:p>
    <w:p w14:paraId="315B7708" w14:textId="77777777" w:rsidR="00DE4743" w:rsidRPr="00DE4743" w:rsidRDefault="00DE4743" w:rsidP="00DE4743">
      <w:pPr>
        <w:spacing w:after="40"/>
        <w:ind w:firstLine="420"/>
        <w:rPr>
          <w:rFonts w:ascii="宋体" w:hAnsi="宋体" w:hint="eastAsia"/>
          <w:lang w:eastAsia="zh-CN"/>
        </w:rPr>
      </w:pPr>
      <w:r>
        <w:t>同时，本文结论具有明确适用边界。当前验证主要基于样例级输入和既有程序输出，尚未形成多个真实矿井案例下的系统对照，因此现阶段更适合支撑“方法可行”和“链路贯通”的结论，而不宜扩展为真实矿井条件下的优选幅度判断。</w:t>
      </w:r>
    </w:p>
    <w:p w14:paraId="1CF24A5F" w14:textId="77777777" w:rsidR="00DE4743" w:rsidRPr="00DE4743" w:rsidRDefault="00DE4743" w:rsidP="00DE4743">
      <w:pPr>
        <w:spacing w:after="40"/>
        <w:ind w:firstLine="420"/>
        <w:rPr>
          <w:rFonts w:ascii="宋体" w:hAnsi="宋体" w:hint="eastAsia"/>
          <w:lang w:eastAsia="zh-CN"/>
        </w:rPr>
      </w:pPr>
      <w:r>
        <w:t>后续研究应在实矿数据中补充多方案对照、调控参数敏感性分析、接续排程数值和经济评价结果，使当前已经打通的方法链进一步转化为可量化的工程优选依据。</w:t>
      </w:r>
    </w:p>
    <w:p w14:paraId="161BD789" w14:textId="77777777" w:rsidR="007E22B6" w:rsidRDefault="00DE4743" w:rsidP="00A046E0">
      <w:pPr>
        <w:pStyle w:val="1"/>
        <w:rPr>
          <w:lang w:eastAsia="zh-CN"/>
        </w:rPr>
      </w:pPr>
      <w:r>
        <w:t>5 结论</w:t>
      </w:r>
    </w:p>
    <w:p w14:paraId="45285F03" w14:textId="77777777" w:rsidR="00DE4743" w:rsidRPr="00DE4743" w:rsidRDefault="00DE4743" w:rsidP="00DE4743">
      <w:pPr>
        <w:spacing w:after="40"/>
        <w:ind w:firstLine="420"/>
        <w:rPr>
          <w:rFonts w:ascii="宋体" w:hAnsi="宋体" w:hint="eastAsia"/>
          <w:lang w:eastAsia="zh-CN"/>
        </w:rPr>
      </w:pPr>
      <w:r>
        <w:t>1）针对采区规划中地质信息离散、风险约束异构以及规划结果与后续评价脱节的问题，提出了基于ODI约束的采区多目标协同规划方法，构建了“有效布置域—连续参数场—ODI风险场—规划对象—后续评价输入”的一体化决策链。</w:t>
      </w:r>
    </w:p>
    <w:p w14:paraId="38D1D16E" w14:textId="77777777" w:rsidR="00DE4743" w:rsidRPr="00DE4743" w:rsidRDefault="00DE4743" w:rsidP="00DE4743">
      <w:pPr>
        <w:spacing w:after="40"/>
        <w:ind w:firstLine="420"/>
        <w:rPr>
          <w:rFonts w:ascii="宋体" w:hAnsi="宋体" w:hint="eastAsia"/>
          <w:lang w:eastAsia="zh-CN"/>
        </w:rPr>
      </w:pPr>
      <w:r>
        <w:t>2）通过将地表沉陷、含水层扰动和上行开采等多场景风险统一组织为ODI指标，实现了异构风险在同一尺度下的前置表达。样例ODI场均值为0.4669，P90为0.7474，ODI&gt;0.70栅格占15.89%，能够为高扰动敏感区识别和方案级风险统计提供依据。</w:t>
      </w:r>
    </w:p>
    <w:p w14:paraId="645C2C8B" w14:textId="77777777" w:rsidR="00DE4743" w:rsidRPr="00DE4743" w:rsidRDefault="00DE4743" w:rsidP="00DE4743">
      <w:pPr>
        <w:spacing w:after="40"/>
        <w:ind w:firstLine="420"/>
        <w:rPr>
          <w:rFonts w:ascii="宋体" w:hAnsi="宋体" w:hint="eastAsia"/>
          <w:lang w:eastAsia="zh-CN"/>
        </w:rPr>
      </w:pPr>
      <w:r>
        <w:t>3）研究区样例验证表明，在15个钻孔样点和6个边界点条件下，方法形成3个工作面和11条巷道，布置面积176565.72 m²，巷道总长度4817.50 m，有效覆盖率69.17%，平均规划评分68.8，说明规划结果能够由输入数据稳定传递为工程布置对象。</w:t>
      </w:r>
    </w:p>
    <w:p w14:paraId="3F25CA8E" w14:textId="77777777" w:rsidR="00DE4743" w:rsidRPr="00DE4743" w:rsidRDefault="00DE4743" w:rsidP="00DE4743">
      <w:pPr>
        <w:spacing w:after="40"/>
        <w:ind w:firstLine="420"/>
        <w:rPr>
          <w:rFonts w:ascii="宋体" w:hAnsi="宋体" w:hint="eastAsia"/>
          <w:lang w:eastAsia="zh-CN"/>
        </w:rPr>
      </w:pPr>
      <w:r>
        <w:t>4）当前结果主要支撑样例条件下的方法贯通和对象链有效性。真实矿井条件下的工程优选结论仍需结合实矿案例、参数标定、接续排程和经济评价结果进一步检验。</w:t>
      </w:r>
    </w:p>
    <w:p w14:paraId="27D87F4E" w14:textId="77777777" w:rsidR="007E22B6" w:rsidRDefault="00000000" w:rsidP="00A046E0">
      <w:pPr>
        <w:pStyle w:val="1"/>
      </w:pPr>
      <w:r>
        <w:t>参考文献</w:t>
      </w:r>
    </w:p>
    <w:p w14:paraId="3798A562" w14:textId="77777777" w:rsidR="007E22B6" w:rsidRDefault="00000000">
      <w:pPr>
        <w:spacing w:after="40"/>
        <w:ind w:left="420" w:hanging="420"/>
      </w:pPr>
      <w:r>
        <w:t>[1] WU Xuefei, LI Hongxia, WANG Baoli, et al. Review on improvements to the safety level of coal mines by applying intelligent coal mining[J]. Sustainability, 2022, 14(24): 16400. DOI: 10.3390/su142416400.</w:t>
      </w:r>
    </w:p>
    <w:p w14:paraId="760D7677" w14:textId="77777777" w:rsidR="007E22B6" w:rsidRDefault="00000000">
      <w:pPr>
        <w:spacing w:after="40"/>
        <w:ind w:left="420" w:hanging="420"/>
      </w:pPr>
      <w:r>
        <w:t>[2] WANG Guofa, REN Huaiwei, ZHAO Guorui, et al. Research and practice of intelligent coal mine technology systems in China[J]. International Journal of Coal Science &amp; Technology, 2022, 9(1). DOI: 10.1007/s40789-022-00491-3.</w:t>
      </w:r>
    </w:p>
    <w:p w14:paraId="7D86B993" w14:textId="77777777" w:rsidR="007E22B6" w:rsidRDefault="00000000">
      <w:pPr>
        <w:spacing w:after="40"/>
        <w:ind w:left="420" w:hanging="420"/>
      </w:pPr>
      <w:r>
        <w:t>[3] ZHANG Kexue, KANG Lei, CHEN Xuexi, et al. A review of intelligent unmanned mining current situation and development trend[J]. Energies, 2022, 15(2): 513. DOI: 10.3390/en15020513.</w:t>
      </w:r>
    </w:p>
    <w:p w14:paraId="348A3078" w14:textId="77777777" w:rsidR="007E22B6" w:rsidRDefault="00000000">
      <w:pPr>
        <w:spacing w:after="40"/>
        <w:ind w:left="420" w:hanging="420"/>
      </w:pPr>
      <w:r>
        <w:t>[4] YANG Yi, LI Yingchun, WANG Lujun, et al. On strata damage and stress disturbance induced by coal mining based on physical similarity simulation experiments[J]. Scientific Reports, 2023, 13(1). DOI: 10.1038/s41598-023-42148-4.</w:t>
      </w:r>
    </w:p>
    <w:p w14:paraId="34722D02" w14:textId="77777777" w:rsidR="007E22B6" w:rsidRDefault="00000000">
      <w:pPr>
        <w:spacing w:after="40"/>
        <w:ind w:left="420" w:hanging="420"/>
      </w:pPr>
      <w:r>
        <w:t>[5] REN Yiwei, YUAN Qiang, CHEN Jie, et al. Evolution characteristics of mining-induced fractures in overburden strata under close-multi coal seams mining based on optical fiber monitoring[J]. Engineering Geology, 2024, 343: 107802. DOI: 10.1016/j.enggeo.2024.107802.</w:t>
      </w:r>
    </w:p>
    <w:p w14:paraId="1B356F29" w14:textId="77777777" w:rsidR="007E22B6" w:rsidRDefault="00000000">
      <w:pPr>
        <w:spacing w:after="40"/>
        <w:ind w:left="420" w:hanging="420"/>
      </w:pPr>
      <w:r>
        <w:t>[6] YANG Xiao, SHI Longqing, QIU Mei, et al. Spatiotemporal evolution patterns of mining-induced overburden damage based on microseismic event response analysis[J]. Journal of Applied Geophysics, 2025, 242: 105876. DOI: 10.1016/j.jappgeo.2025.105876.</w:t>
      </w:r>
    </w:p>
    <w:p w14:paraId="6BF62BAB" w14:textId="77777777" w:rsidR="007E22B6" w:rsidRDefault="00000000">
      <w:pPr>
        <w:spacing w:after="40"/>
        <w:ind w:left="420" w:hanging="420"/>
      </w:pPr>
      <w:r>
        <w:t>[7] ZHANG Jie, WANG Li, YANG Tao, et al. Study on overburden failure characteristics and ground pressure behavior in shallow coal seam mining underneath the gully[J]. Frontiers in Earth Science, 2024, 12. DOI: 10.3389/feart.2024.1375979.</w:t>
      </w:r>
    </w:p>
    <w:p w14:paraId="5DF62CAA" w14:textId="77777777" w:rsidR="007E22B6" w:rsidRDefault="00000000">
      <w:pPr>
        <w:spacing w:after="40"/>
        <w:ind w:left="420" w:hanging="420"/>
      </w:pPr>
      <w:r>
        <w:t>[8] CAO Jian, HUANG Qingxiang, GUO Lingfei. Subsidence prediction of overburden strata and ground surface in shallow coal seam mining[J]. Scientific Reports, 2021, 11(1). DOI: 10.1038/s41598-021-98520-9.</w:t>
      </w:r>
    </w:p>
    <w:p w14:paraId="481C652D" w14:textId="77777777" w:rsidR="007E22B6" w:rsidRDefault="00000000">
      <w:pPr>
        <w:spacing w:after="40"/>
        <w:ind w:left="420" w:hanging="420"/>
      </w:pPr>
      <w:r>
        <w:t>[9] PRAKASH Amar, BHARTI Abhay Kumar, VERMA Aniket. Unearthing underground mining-induced strata disturbance by electrical resistivity tomography interpretation[J]. Environmental &amp; Engineering Geoscience, 2022, 28(4): 361-369. DOI: 10.2113/eeg-d-21-00073.</w:t>
      </w:r>
    </w:p>
    <w:p w14:paraId="04624D03" w14:textId="77777777" w:rsidR="007E22B6" w:rsidRDefault="00000000">
      <w:pPr>
        <w:spacing w:after="40"/>
        <w:ind w:left="420" w:hanging="420"/>
      </w:pPr>
      <w:r>
        <w:t>[10] SHI Xiuchang, ZHANG Jixing. Characteristics of overburden failure and fracture evolution in shallow buried working face with large mining height[J]. Sustainability, 2021, 13(24): 13775. DOI: 10.3390/su132413775.</w:t>
      </w:r>
    </w:p>
    <w:p w14:paraId="4A312183" w14:textId="77777777" w:rsidR="007E22B6" w:rsidRDefault="00000000">
      <w:pPr>
        <w:spacing w:after="40"/>
        <w:ind w:left="420" w:hanging="420"/>
      </w:pPr>
      <w: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59DF8BFC" w14:textId="77777777" w:rsidR="007E22B6" w:rsidRDefault="00000000">
      <w:pPr>
        <w:spacing w:after="40"/>
        <w:ind w:left="420" w:hanging="420"/>
      </w:pPr>
      <w:r>
        <w:t>[12] SHAN Yang, KE Li, XIANG Jun, et al. Multi-objective optimisation based on NSGA-II of mine cut-off grade from the perspective of resource security[J]. International Journal of Mining, Reclamation and Environment, 2025: 1-20. DOI: 10.1080/17480930.2025.2532460.</w:t>
      </w:r>
    </w:p>
    <w:p w14:paraId="700A23E0" w14:textId="77777777" w:rsidR="007E22B6" w:rsidRDefault="00000000">
      <w:pPr>
        <w:spacing w:after="40"/>
        <w:ind w:left="420" w:hanging="420"/>
      </w:pPr>
      <w:r>
        <w:t>[13] GU Xiaowei, WANG Xunhong, LIU Zaobao, et al. A multi-objective optimization model using improved NSGA-II for optimizing metal mines production process[J]. IEEE Access, 2020, 8: 28847-28858. DOI: 10.1109/access.2020.2972018.</w:t>
      </w:r>
    </w:p>
    <w:p w14:paraId="500F46B4" w14:textId="77777777" w:rsidR="007E22B6" w:rsidRDefault="00000000">
      <w:pPr>
        <w:spacing w:after="40"/>
        <w:ind w:left="420" w:hanging="420"/>
      </w:pPr>
      <w:r>
        <w:t>[14] NESBITT Peter, BLAKE Lewis R., LAMAS Patricio, et al. Underground mine scheduling under uncertainty[J]. European Journal of Operational Research, 2021, 294(1): 340-352. DOI: 10.1016/j.ejor.2021.01.011.</w:t>
      </w:r>
    </w:p>
    <w:p w14:paraId="75184AD1" w14:textId="77777777" w:rsidR="007E22B6" w:rsidRDefault="00000000">
      <w:pPr>
        <w:spacing w:after="40"/>
        <w:ind w:left="420" w:hanging="420"/>
      </w:pPr>
      <w:r>
        <w:t>[15] PATHIRANAGE Ishara Hewa, NEUMANN Aneta. Multi-objective evolutionary optimization for large-scale open pit mine scheduling[C]//2024 IEEE Congress on Evolutionary Computation (CEC). 2024: 1-8. DOI: 10.1109/CEC60901.2024.10612008.</w:t>
      </w:r>
    </w:p>
    <w:p w14:paraId="3FFB358D" w14:textId="77777777" w:rsidR="007E22B6" w:rsidRDefault="00000000">
      <w:pPr>
        <w:spacing w:after="40"/>
        <w:ind w:left="420" w:hanging="420"/>
      </w:pPr>
      <w:r>
        <w:t>[16] ZHANG Xuhui, LV Xinyuan, WANG Yan, et al. Production process management for intelligent coal mining based on digital twin[M]//Digital Twin Driven Service. 2022: 251-277. DOI: 10.1016/B978-0-323-91300-3.00008-5.</w:t>
      </w:r>
    </w:p>
    <w:p w14:paraId="2342455B" w14:textId="77777777" w:rsidR="007E22B6" w:rsidRDefault="00000000">
      <w:pPr>
        <w:spacing w:after="40"/>
        <w:ind w:left="420" w:hanging="420"/>
      </w:pPr>
      <w:r>
        <w:t>[17] QU Juncong, KIZIL Mehmet S., YAHYAEI Mohsen, et al. Digital twins in the minerals industry: a comprehensive review[J]. Mining Technology, 2023, 132(4): 267-289. DOI: 10.1080/25726668.2023.2257479.</w:t>
      </w:r>
    </w:p>
    <w:p w14:paraId="406B7373" w14:textId="77777777" w:rsidR="007E22B6" w:rsidRDefault="00000000">
      <w:pPr>
        <w:spacing w:after="40"/>
        <w:ind w:left="420" w:hanging="420"/>
      </w:pPr>
      <w:r>
        <w:t>[18] PAN Dongdong, XU Zhenhao, LU Xinming, et al. 3D scene and geological modeling using integrated multi-source spatial data: methodology, challenges, and suggestions[J]. Tunnelling and Underground Space Technology, 2020, 100: 103393. DOI: 10.1016/j.tust.2020.103393.</w:t>
      </w:r>
    </w:p>
    <w:p w14:paraId="7538CFE0" w14:textId="77777777" w:rsidR="007E22B6" w:rsidRDefault="00000000">
      <w:pPr>
        <w:spacing w:after="40"/>
        <w:ind w:left="420" w:hanging="420"/>
      </w:pPr>
      <w:r>
        <w:t>[19] AHMED Haitham M., ADEWUYI Sefiu, AHMED Hussin M. A. Continuous cash flow modeling for economic evaluation and risk analysis in mine planning using Monte Carlo simulation[J]. Journal of King Abdulaziz University: Engineering Sciences, 2024, 34(2). DOI: 10.4197/eng.34-2.6.</w:t>
      </w:r>
    </w:p>
    <w:p w14:paraId="1F8BC10F" w14:textId="77777777" w:rsidR="007E22B6" w:rsidRDefault="00000000">
      <w:pPr>
        <w:spacing w:after="40"/>
        <w:ind w:left="420" w:hanging="420"/>
      </w:pPr>
      <w:r>
        <w:t>[20] LI Jiaoqun, WU Tong, LU Zengxiang, et al. Investigation into mining economic evaluation approaches based on the Rosenblueth point estimate method[J]. Applied Sciences, 2023, 13(15): 9011. DOI: 10.3390/app13159011.</w:t>
      </w:r>
    </w:p>
    <w:p w14:paraId="4F7A1984" w14:textId="77777777" w:rsidR="007E22B6" w:rsidRDefault="00000000">
      <w:pPr>
        <w:spacing w:after="40"/>
        <w:ind w:left="420" w:hanging="420"/>
      </w:pPr>
      <w:r>
        <w:t>[21] DEHGHANI Hesam, ATAEE-POUR Majid, ESFAHANIPOUR Akbar. Evaluation of the mining projects under economic uncertainties using multidimensional binomial tree[J]. Resources Policy, 2014, 39: 124-133. DOI: 10.1016/j.resourpol.2014.01.003.</w:t>
      </w:r>
    </w:p>
    <w:p w14:paraId="1A31B838" w14:textId="77777777" w:rsidR="007E22B6" w:rsidRDefault="00000000">
      <w:pPr>
        <w:spacing w:after="40"/>
        <w:ind w:left="420" w:hanging="420"/>
      </w:pPr>
      <w:r>
        <w:t>[22] LIU Xiong, ZHENG Lulin, LIU Hao, et al. Evolution of overburden fractures and the water-conducting fracture zone in closely spaced coal mine seams under highly water-rich aquifers[J]. ACS Omega, 2025. DOI: 10.1021/acsomega.5c09774.</w:t>
      </w:r>
    </w:p>
    <w:p w14:paraId="0074F8F7" w14:textId="77777777" w:rsidR="007E22B6" w:rsidRDefault="00000000">
      <w:pPr>
        <w:spacing w:after="40"/>
        <w:ind w:left="420" w:hanging="420"/>
      </w:pPr>
      <w:r>
        <w:t>[23] XUE Sen, WANG Qiqing, SONG Zhen. Analysis of water-permeable fractured zone in weakly cemented overburden considering rock strain-softening[J]. Scientific Reports, 2026, 16(1). DOI: 10.1038/s41598-026-45413-4.</w:t>
      </w:r>
    </w:p>
    <w:p w14:paraId="227FCD2F" w14:textId="77777777" w:rsidR="007E22B6" w:rsidRDefault="00000000">
      <w:pPr>
        <w:spacing w:after="40"/>
        <w:ind w:left="420" w:hanging="420"/>
      </w:pPr>
      <w:r>
        <w:t>[24] ZHU Xiaojun, ZHA Feng, GUO Guangli, et al. Mechanical prediction method of strata movement and surface subsidence in backfill-strip mining[J]. Scientific Reports, 2024, 14(1). DOI: 10.1038/s41598-024-82761-5.</w:t>
      </w:r>
    </w:p>
    <w:p w14:paraId="1BEF596C"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r>
        <w:t xml:space="preserve">[25] KRATZSCH Helmut. Strata movement at the mining horizon[M]//Mining Subsidence Engineering. Berlin, </w:t>
      </w:r>
    </w:p>
    <w:p w14:paraId="48463EF1" w14:textId="77777777" w:rsidR="007E22B6" w:rsidRDefault="00000000">
      <w:pPr>
        <w:spacing w:after="40"/>
        <w:ind w:left="420" w:hanging="420"/>
      </w:pPr>
      <w: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C29" w14:textId="77777777" w:rsidR="002D5CF2" w:rsidRDefault="002D5CF2" w:rsidP="00A31ACE">
      <w:pPr>
        <w:spacing w:after="0" w:line="240" w:lineRule="auto"/>
      </w:pPr>
      <w:r>
        <w:separator/>
      </w:r>
    </w:p>
  </w:endnote>
  <w:endnote w:type="continuationSeparator" w:id="0">
    <w:p w14:paraId="37CDD74E" w14:textId="77777777" w:rsidR="002D5CF2" w:rsidRDefault="002D5CF2"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09C8" w14:textId="77777777" w:rsidR="002D5CF2" w:rsidRDefault="002D5CF2" w:rsidP="00A31ACE">
      <w:pPr>
        <w:spacing w:after="0" w:line="240" w:lineRule="auto"/>
      </w:pPr>
      <w:r>
        <w:separator/>
      </w:r>
    </w:p>
  </w:footnote>
  <w:footnote w:type="continuationSeparator" w:id="0">
    <w:p w14:paraId="7020D02B" w14:textId="77777777" w:rsidR="002D5CF2" w:rsidRDefault="002D5CF2"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9350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20</Pages>
  <Words>10317</Words>
  <Characters>14652</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2026-04-17T05:10:00Z</dcterms:modified>
  <cp:category/>
</cp:coreProperties>
</file>